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9DBF3" w14:textId="77777777" w:rsidR="00CD6B79" w:rsidRDefault="00CD6B79" w:rsidP="00EC2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27B2E5" w14:textId="77777777" w:rsidR="00CD6B79" w:rsidRDefault="00CD6B79" w:rsidP="00EC2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06EF2E" w14:textId="77777777" w:rsidR="00CD6B79" w:rsidRDefault="00CD6B79" w:rsidP="00EC2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12A3E7" w14:textId="77777777" w:rsidR="00CD6B79" w:rsidRDefault="00CD6B79" w:rsidP="00EC2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11697F" w14:textId="4F5E82A6" w:rsidR="00CD79D2" w:rsidRDefault="00CD79D2" w:rsidP="00EC2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SASKAŅOTS</w:t>
      </w:r>
    </w:p>
    <w:p w14:paraId="0BB8E60F" w14:textId="77777777" w:rsidR="00CD79D2" w:rsidRDefault="00CD79D2" w:rsidP="00EC2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C6F2CB" w14:textId="30626D14" w:rsidR="00CD79D2" w:rsidRDefault="00CD79D2" w:rsidP="00EC2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kapitāla daļu un valsts kapitālsabiedrību</w:t>
      </w:r>
    </w:p>
    <w:p w14:paraId="1ACC72F2" w14:textId="4074DD41" w:rsidR="00CD79D2" w:rsidRDefault="00CD79D2" w:rsidP="00EC2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pārvaldības koordinācijas institūcijas padomes</w:t>
      </w:r>
    </w:p>
    <w:p w14:paraId="0818F4D2" w14:textId="363E2355" w:rsidR="00CD79D2" w:rsidRDefault="00CD79D2" w:rsidP="00EC2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2016.gada 1.jūnija sēdē (prot. Nr.3. 1.§)</w:t>
      </w:r>
    </w:p>
    <w:p w14:paraId="1D7BECF5" w14:textId="77777777" w:rsidR="00CD79D2" w:rsidRDefault="00CD79D2" w:rsidP="00EC2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DE53CA" w14:textId="77777777" w:rsidR="00CD79D2" w:rsidRDefault="00CD79D2" w:rsidP="00EC2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08EAF4" w14:textId="77777777" w:rsidR="00CD79D2" w:rsidRDefault="00CD79D2" w:rsidP="00EC2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CEEF13" w14:textId="056A22E0" w:rsidR="009E3B46" w:rsidRPr="009E3B46" w:rsidRDefault="00ED19D3" w:rsidP="00EC2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</w:t>
      </w:r>
      <w:r w:rsidR="00CD79D2">
        <w:rPr>
          <w:rFonts w:ascii="Times New Roman" w:hAnsi="Times New Roman" w:cs="Times New Roman"/>
          <w:sz w:val="24"/>
          <w:szCs w:val="24"/>
        </w:rPr>
        <w:t>NĀTS</w:t>
      </w:r>
    </w:p>
    <w:p w14:paraId="64B6A97B" w14:textId="77777777" w:rsidR="009E3B46" w:rsidRPr="009E3B46" w:rsidRDefault="009E3B46" w:rsidP="00EC2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B46">
        <w:rPr>
          <w:rFonts w:ascii="Times New Roman" w:hAnsi="Times New Roman" w:cs="Times New Roman"/>
          <w:sz w:val="24"/>
          <w:szCs w:val="24"/>
        </w:rPr>
        <w:t>Pārresoru koordinācijas centra</w:t>
      </w:r>
    </w:p>
    <w:p w14:paraId="4E90BE02" w14:textId="77777777" w:rsidR="009E3B46" w:rsidRPr="009E3B46" w:rsidRDefault="009E3B46" w:rsidP="00EC2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B46">
        <w:rPr>
          <w:rFonts w:ascii="Times New Roman" w:hAnsi="Times New Roman" w:cs="Times New Roman"/>
          <w:sz w:val="24"/>
          <w:szCs w:val="24"/>
        </w:rPr>
        <w:t>vadītājs P.</w:t>
      </w:r>
      <w:r w:rsidR="00194224">
        <w:rPr>
          <w:rFonts w:ascii="Times New Roman" w:hAnsi="Times New Roman" w:cs="Times New Roman"/>
          <w:sz w:val="24"/>
          <w:szCs w:val="24"/>
        </w:rPr>
        <w:t> </w:t>
      </w:r>
      <w:r w:rsidRPr="009E3B46">
        <w:rPr>
          <w:rFonts w:ascii="Times New Roman" w:hAnsi="Times New Roman" w:cs="Times New Roman"/>
          <w:sz w:val="24"/>
          <w:szCs w:val="24"/>
        </w:rPr>
        <w:t>Vilks</w:t>
      </w:r>
    </w:p>
    <w:p w14:paraId="21D622E7" w14:textId="77777777" w:rsidR="009E3B46" w:rsidRPr="009E3B46" w:rsidRDefault="009E3B46" w:rsidP="00EC2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3BF847" w14:textId="77777777" w:rsidR="009E3B46" w:rsidRPr="009E3B46" w:rsidRDefault="009E3B46" w:rsidP="00C53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63FC51" w14:textId="53C89B2E" w:rsidR="009E3B46" w:rsidRPr="009E3B46" w:rsidRDefault="009E3B46" w:rsidP="00ED1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B46">
        <w:rPr>
          <w:rFonts w:ascii="Times New Roman" w:hAnsi="Times New Roman" w:cs="Times New Roman"/>
          <w:sz w:val="24"/>
          <w:szCs w:val="24"/>
        </w:rPr>
        <w:t>2016.</w:t>
      </w:r>
      <w:r w:rsidR="00194224">
        <w:rPr>
          <w:rFonts w:ascii="Times New Roman" w:hAnsi="Times New Roman" w:cs="Times New Roman"/>
          <w:sz w:val="24"/>
          <w:szCs w:val="24"/>
        </w:rPr>
        <w:t> </w:t>
      </w:r>
      <w:r w:rsidR="00E857E6">
        <w:rPr>
          <w:rFonts w:ascii="Times New Roman" w:hAnsi="Times New Roman" w:cs="Times New Roman"/>
          <w:sz w:val="24"/>
          <w:szCs w:val="24"/>
        </w:rPr>
        <w:t>gada 1.jūnijā</w:t>
      </w:r>
    </w:p>
    <w:p w14:paraId="2BD35E7B" w14:textId="7094119F" w:rsidR="0084197D" w:rsidRPr="000960F9" w:rsidRDefault="008C06BD" w:rsidP="00EC2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1.2-23/3/1</w:t>
      </w:r>
    </w:p>
    <w:p w14:paraId="66DC7138" w14:textId="77777777" w:rsidR="0084197D" w:rsidRPr="000960F9" w:rsidRDefault="0084197D" w:rsidP="00EC2A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F057B2" w14:textId="77777777" w:rsidR="0084197D" w:rsidRPr="000960F9" w:rsidRDefault="001E2BE3" w:rsidP="001E2BE3">
      <w:pPr>
        <w:tabs>
          <w:tab w:val="left" w:pos="74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612625" w14:textId="77777777" w:rsidR="0084197D" w:rsidRPr="000960F9" w:rsidRDefault="0084197D" w:rsidP="008419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015B84" w14:textId="77777777" w:rsidR="00194224" w:rsidRPr="006C6ECA" w:rsidRDefault="00194224" w:rsidP="0019422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6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Vadlīnijas darbības rezultātu izvērtēšanai kapitālsabiedrībās,</w:t>
      </w:r>
    </w:p>
    <w:p w14:paraId="5D20BD61" w14:textId="77777777" w:rsidR="00194224" w:rsidRPr="006C6ECA" w:rsidRDefault="00194224" w:rsidP="0019422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kurās valstij ir izšķirošā ietekme</w:t>
      </w:r>
    </w:p>
    <w:p w14:paraId="3FB8AA4A" w14:textId="77777777" w:rsidR="005F09C9" w:rsidRDefault="005F09C9" w:rsidP="00CD6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F60934" w14:textId="77777777" w:rsidR="00ED19D3" w:rsidRDefault="00ED19D3" w:rsidP="009E3B4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14:paraId="2A69ADEE" w14:textId="77777777" w:rsidR="005F09C9" w:rsidRDefault="005F09C9" w:rsidP="009E3B4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14:paraId="33423D28" w14:textId="77777777" w:rsidR="009E3B46" w:rsidRPr="006E2D14" w:rsidRDefault="009E3B46" w:rsidP="009E3B4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6E2D14">
        <w:rPr>
          <w:rFonts w:ascii="Times New Roman" w:hAnsi="Times New Roman"/>
          <w:sz w:val="24"/>
          <w:szCs w:val="24"/>
        </w:rPr>
        <w:t xml:space="preserve">Izdotas saskaņā ar </w:t>
      </w:r>
    </w:p>
    <w:p w14:paraId="0F30FC21" w14:textId="77777777" w:rsidR="009E3B46" w:rsidRPr="006E2D14" w:rsidRDefault="009E3B46" w:rsidP="009E3B4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6E2D14">
        <w:rPr>
          <w:rFonts w:ascii="Times New Roman" w:hAnsi="Times New Roman"/>
          <w:sz w:val="24"/>
          <w:szCs w:val="24"/>
        </w:rPr>
        <w:t xml:space="preserve">Publiskas personas kapitāla daļu un </w:t>
      </w:r>
    </w:p>
    <w:p w14:paraId="6545343C" w14:textId="77777777" w:rsidR="009E3B46" w:rsidRPr="006E2D14" w:rsidRDefault="009E3B46" w:rsidP="009E3B4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6E2D14">
        <w:rPr>
          <w:rFonts w:ascii="Times New Roman" w:hAnsi="Times New Roman"/>
          <w:sz w:val="24"/>
          <w:szCs w:val="24"/>
        </w:rPr>
        <w:t xml:space="preserve">kapitālsabiedrību pārvaldības likuma </w:t>
      </w:r>
    </w:p>
    <w:p w14:paraId="2AF1CF1E" w14:textId="77777777" w:rsidR="009E3B46" w:rsidRPr="006E2D14" w:rsidRDefault="007D6599" w:rsidP="009E3B4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="0019422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panta pirmo daļu</w:t>
      </w:r>
    </w:p>
    <w:p w14:paraId="19A38C44" w14:textId="77777777" w:rsidR="009E3B46" w:rsidRDefault="009E3B46" w:rsidP="00CD6B79">
      <w:pPr>
        <w:jc w:val="center"/>
        <w:rPr>
          <w:rFonts w:ascii="Times New Roman" w:hAnsi="Times New Roman"/>
          <w:b/>
          <w:color w:val="414142"/>
          <w:sz w:val="24"/>
          <w:szCs w:val="24"/>
        </w:rPr>
      </w:pPr>
    </w:p>
    <w:p w14:paraId="54A2F6C6" w14:textId="77777777" w:rsidR="00E857E6" w:rsidRDefault="00E857E6" w:rsidP="009E3B46">
      <w:pPr>
        <w:rPr>
          <w:rFonts w:ascii="Times New Roman" w:hAnsi="Times New Roman"/>
          <w:b/>
          <w:color w:val="414142"/>
          <w:sz w:val="24"/>
          <w:szCs w:val="24"/>
        </w:rPr>
      </w:pPr>
    </w:p>
    <w:p w14:paraId="180B414F" w14:textId="77777777" w:rsidR="00E857E6" w:rsidRDefault="00E857E6" w:rsidP="009E3B46">
      <w:pPr>
        <w:rPr>
          <w:rFonts w:ascii="Times New Roman" w:hAnsi="Times New Roman"/>
          <w:b/>
          <w:color w:val="414142"/>
          <w:sz w:val="24"/>
          <w:szCs w:val="24"/>
        </w:rPr>
      </w:pPr>
    </w:p>
    <w:p w14:paraId="3248C26E" w14:textId="77777777" w:rsidR="008E2004" w:rsidRDefault="009E3B46" w:rsidP="008E2004">
      <w:pPr>
        <w:jc w:val="center"/>
        <w:rPr>
          <w:rFonts w:ascii="Times New Roman" w:hAnsi="Times New Roman"/>
          <w:sz w:val="24"/>
          <w:szCs w:val="24"/>
        </w:rPr>
      </w:pPr>
      <w:r w:rsidRPr="006E2D14">
        <w:rPr>
          <w:rFonts w:ascii="Times New Roman" w:hAnsi="Times New Roman"/>
          <w:sz w:val="24"/>
          <w:szCs w:val="24"/>
        </w:rPr>
        <w:t>Rīga</w:t>
      </w:r>
      <w:bookmarkStart w:id="1" w:name="_Toc436647211"/>
    </w:p>
    <w:bookmarkEnd w:id="1"/>
    <w:p w14:paraId="3B67CFB6" w14:textId="02D5309F" w:rsidR="00187FDE" w:rsidRPr="00E857E6" w:rsidRDefault="00AB34ED" w:rsidP="00E857E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>
        <w:rPr>
          <w:sz w:val="24"/>
          <w:szCs w:val="24"/>
        </w:rPr>
        <w:br w:type="page"/>
      </w:r>
      <w:r w:rsidR="00D002F3" w:rsidRPr="00E857E6">
        <w:rPr>
          <w:rFonts w:ascii="Times New Roman" w:hAnsi="Times New Roman" w:cs="Times New Roman"/>
          <w:b/>
          <w:sz w:val="24"/>
          <w:szCs w:val="24"/>
        </w:rPr>
        <w:lastRenderedPageBreak/>
        <w:t>I. </w:t>
      </w:r>
      <w:r w:rsidR="00CD1926" w:rsidRPr="00E857E6">
        <w:rPr>
          <w:rFonts w:ascii="Times New Roman" w:hAnsi="Times New Roman" w:cs="Times New Roman"/>
          <w:b/>
          <w:sz w:val="24"/>
          <w:szCs w:val="24"/>
        </w:rPr>
        <w:t>Vispārīgie jautājumi</w:t>
      </w:r>
    </w:p>
    <w:p w14:paraId="18985296" w14:textId="77777777" w:rsidR="00D002F3" w:rsidRPr="00795373" w:rsidRDefault="00D002F3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left="709"/>
        <w:jc w:val="center"/>
        <w:rPr>
          <w:b w:val="0"/>
          <w:sz w:val="24"/>
          <w:szCs w:val="24"/>
        </w:rPr>
      </w:pPr>
    </w:p>
    <w:p w14:paraId="26A4F353" w14:textId="373EB351" w:rsidR="004F52B8" w:rsidRDefault="001207E9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194224">
        <w:rPr>
          <w:b w:val="0"/>
          <w:sz w:val="24"/>
          <w:szCs w:val="24"/>
        </w:rPr>
        <w:t> Saskaņā a</w:t>
      </w:r>
      <w:r w:rsidR="00DB43C0" w:rsidRPr="00CA10E9">
        <w:rPr>
          <w:b w:val="0"/>
          <w:sz w:val="24"/>
          <w:szCs w:val="24"/>
        </w:rPr>
        <w:t>r Publiskas personas kapitāla daļu un kapitālsabiedrību pārvaldības likum</w:t>
      </w:r>
      <w:r w:rsidR="0068407D">
        <w:rPr>
          <w:b w:val="0"/>
          <w:sz w:val="24"/>
          <w:szCs w:val="24"/>
        </w:rPr>
        <w:t>a 27.pantu</w:t>
      </w:r>
      <w:r w:rsidR="00DB43C0" w:rsidRPr="00CA10E9">
        <w:rPr>
          <w:b w:val="0"/>
          <w:sz w:val="24"/>
          <w:szCs w:val="24"/>
        </w:rPr>
        <w:t xml:space="preserve"> kapitālsabiedrībām</w:t>
      </w:r>
      <w:r w:rsidR="009F158C">
        <w:rPr>
          <w:b w:val="0"/>
          <w:sz w:val="24"/>
          <w:szCs w:val="24"/>
        </w:rPr>
        <w:t>,</w:t>
      </w:r>
      <w:r w:rsidR="00DB43C0" w:rsidRPr="00CA10E9">
        <w:rPr>
          <w:b w:val="0"/>
          <w:sz w:val="24"/>
          <w:szCs w:val="24"/>
        </w:rPr>
        <w:t xml:space="preserve"> </w:t>
      </w:r>
      <w:r w:rsidR="009F158C" w:rsidRPr="009F158C">
        <w:rPr>
          <w:b w:val="0"/>
          <w:sz w:val="24"/>
          <w:szCs w:val="24"/>
        </w:rPr>
        <w:t>kurās valstij ir izšķirošā ietekme</w:t>
      </w:r>
      <w:r w:rsidR="009F158C" w:rsidRPr="009F158C">
        <w:rPr>
          <w:b w:val="0"/>
          <w:sz w:val="28"/>
          <w:szCs w:val="28"/>
        </w:rPr>
        <w:t xml:space="preserve"> </w:t>
      </w:r>
      <w:r w:rsidR="00DB43C0" w:rsidRPr="00CA10E9">
        <w:rPr>
          <w:b w:val="0"/>
          <w:sz w:val="24"/>
          <w:szCs w:val="24"/>
        </w:rPr>
        <w:t>(turpmāk</w:t>
      </w:r>
      <w:r w:rsidR="009F158C">
        <w:rPr>
          <w:b w:val="0"/>
          <w:sz w:val="24"/>
          <w:szCs w:val="24"/>
        </w:rPr>
        <w:t> </w:t>
      </w:r>
      <w:r w:rsidR="00DB43C0" w:rsidRPr="00CA10E9">
        <w:rPr>
          <w:b w:val="0"/>
          <w:sz w:val="24"/>
          <w:szCs w:val="24"/>
        </w:rPr>
        <w:t>– kapitālsabiedrība)</w:t>
      </w:r>
      <w:r w:rsidR="009F158C">
        <w:rPr>
          <w:b w:val="0"/>
          <w:sz w:val="24"/>
          <w:szCs w:val="24"/>
        </w:rPr>
        <w:t>,</w:t>
      </w:r>
      <w:r w:rsidR="00A849A6">
        <w:rPr>
          <w:b w:val="0"/>
          <w:sz w:val="24"/>
          <w:szCs w:val="24"/>
        </w:rPr>
        <w:t xml:space="preserve"> jāveic </w:t>
      </w:r>
      <w:r w:rsidR="00DB43C0" w:rsidRPr="00CA10E9">
        <w:rPr>
          <w:b w:val="0"/>
          <w:sz w:val="24"/>
          <w:szCs w:val="24"/>
        </w:rPr>
        <w:t>regulārs to darbības</w:t>
      </w:r>
      <w:r w:rsidR="008D1F10">
        <w:rPr>
          <w:b w:val="0"/>
          <w:sz w:val="24"/>
          <w:szCs w:val="24"/>
        </w:rPr>
        <w:t xml:space="preserve"> rezultātu </w:t>
      </w:r>
      <w:r w:rsidR="00DB43C0" w:rsidRPr="00CA10E9">
        <w:rPr>
          <w:b w:val="0"/>
          <w:sz w:val="24"/>
          <w:szCs w:val="24"/>
        </w:rPr>
        <w:t xml:space="preserve">izvērtējums. </w:t>
      </w:r>
    </w:p>
    <w:p w14:paraId="21177EC9" w14:textId="77777777" w:rsidR="0003417A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14:paraId="1D67B160" w14:textId="08885F50" w:rsidR="00E4382E" w:rsidRPr="00CA055B" w:rsidRDefault="004F52B8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194224">
        <w:rPr>
          <w:b w:val="0"/>
          <w:sz w:val="24"/>
          <w:szCs w:val="24"/>
        </w:rPr>
        <w:t> </w:t>
      </w:r>
      <w:r w:rsidR="00DC022F">
        <w:rPr>
          <w:b w:val="0"/>
          <w:sz w:val="24"/>
          <w:szCs w:val="24"/>
        </w:rPr>
        <w:t xml:space="preserve">Vadlīniju </w:t>
      </w:r>
      <w:r w:rsidR="00DB43C0" w:rsidRPr="00CA10E9">
        <w:rPr>
          <w:b w:val="0"/>
          <w:sz w:val="24"/>
          <w:szCs w:val="24"/>
        </w:rPr>
        <w:t xml:space="preserve">mērķis ir </w:t>
      </w:r>
      <w:r w:rsidR="001A1EDD">
        <w:rPr>
          <w:b w:val="0"/>
          <w:sz w:val="24"/>
          <w:szCs w:val="24"/>
        </w:rPr>
        <w:t>nodrošināt metodoloģisko atbalstu kapitālsabiedrības darbības rezultātu izvērtēšanai, paredzot, ka pārskati par finanšu mērķu sasniegšan</w:t>
      </w:r>
      <w:r w:rsidR="007531AE">
        <w:rPr>
          <w:b w:val="0"/>
          <w:sz w:val="24"/>
          <w:szCs w:val="24"/>
        </w:rPr>
        <w:t>u</w:t>
      </w:r>
      <w:r w:rsidR="001A1EDD">
        <w:rPr>
          <w:b w:val="0"/>
          <w:sz w:val="24"/>
          <w:szCs w:val="24"/>
        </w:rPr>
        <w:t xml:space="preserve"> tiek sniegti pēc vienotas formas. </w:t>
      </w:r>
      <w:r w:rsidR="008F3AB7">
        <w:rPr>
          <w:b w:val="0"/>
          <w:sz w:val="24"/>
          <w:szCs w:val="24"/>
        </w:rPr>
        <w:t>Kapitālsabiedrību darbības rezultātu izvērtējuma</w:t>
      </w:r>
      <w:r w:rsidR="001A1EDD">
        <w:rPr>
          <w:b w:val="0"/>
          <w:sz w:val="24"/>
          <w:szCs w:val="24"/>
        </w:rPr>
        <w:t xml:space="preserve"> mērķis ir </w:t>
      </w:r>
      <w:r w:rsidR="008F3AB7">
        <w:rPr>
          <w:b w:val="0"/>
          <w:sz w:val="24"/>
          <w:szCs w:val="24"/>
        </w:rPr>
        <w:t>sekot līdz</w:t>
      </w:r>
      <w:r w:rsidR="00194224">
        <w:rPr>
          <w:b w:val="0"/>
          <w:sz w:val="24"/>
          <w:szCs w:val="24"/>
        </w:rPr>
        <w:t>,</w:t>
      </w:r>
      <w:r w:rsidR="00DB43C0" w:rsidRPr="00CA10E9">
        <w:rPr>
          <w:b w:val="0"/>
          <w:sz w:val="24"/>
          <w:szCs w:val="24"/>
        </w:rPr>
        <w:t xml:space="preserve"> vai kapitālsabiedrība savā darbībā sasniedz tās vidēj</w:t>
      </w:r>
      <w:r w:rsidR="00194224">
        <w:rPr>
          <w:b w:val="0"/>
          <w:sz w:val="24"/>
          <w:szCs w:val="24"/>
        </w:rPr>
        <w:t>a</w:t>
      </w:r>
      <w:r w:rsidR="00DB43C0" w:rsidRPr="00CA10E9">
        <w:rPr>
          <w:b w:val="0"/>
          <w:sz w:val="24"/>
          <w:szCs w:val="24"/>
        </w:rPr>
        <w:t xml:space="preserve"> termiņ</w:t>
      </w:r>
      <w:r w:rsidR="00194224">
        <w:rPr>
          <w:b w:val="0"/>
          <w:sz w:val="24"/>
          <w:szCs w:val="24"/>
        </w:rPr>
        <w:t>a</w:t>
      </w:r>
      <w:r w:rsidR="00DB43C0" w:rsidRPr="00CA10E9">
        <w:rPr>
          <w:b w:val="0"/>
          <w:sz w:val="24"/>
          <w:szCs w:val="24"/>
        </w:rPr>
        <w:t xml:space="preserve"> </w:t>
      </w:r>
      <w:r w:rsidR="00D3440E">
        <w:rPr>
          <w:b w:val="0"/>
          <w:sz w:val="24"/>
          <w:szCs w:val="24"/>
        </w:rPr>
        <w:t xml:space="preserve">darbības </w:t>
      </w:r>
      <w:r w:rsidR="00DB43C0" w:rsidRPr="00CA10E9">
        <w:rPr>
          <w:b w:val="0"/>
          <w:sz w:val="24"/>
          <w:szCs w:val="24"/>
        </w:rPr>
        <w:t>stratēģijā noteiktos mērķus, kā arī konstatēt</w:t>
      </w:r>
      <w:r w:rsidR="00194224">
        <w:rPr>
          <w:b w:val="0"/>
          <w:sz w:val="24"/>
          <w:szCs w:val="24"/>
        </w:rPr>
        <w:t>,</w:t>
      </w:r>
      <w:r w:rsidR="00DB43C0" w:rsidRPr="00CA10E9">
        <w:rPr>
          <w:b w:val="0"/>
          <w:sz w:val="24"/>
          <w:szCs w:val="24"/>
        </w:rPr>
        <w:t xml:space="preserve"> cik sekmīgi un efektīvi tie tiek sasniegti. </w:t>
      </w:r>
      <w:r w:rsidR="008D1F10">
        <w:rPr>
          <w:b w:val="0"/>
          <w:sz w:val="24"/>
          <w:szCs w:val="24"/>
        </w:rPr>
        <w:t>S</w:t>
      </w:r>
      <w:r w:rsidR="00DB43C0" w:rsidRPr="00CA10E9">
        <w:rPr>
          <w:b w:val="0"/>
          <w:sz w:val="24"/>
          <w:szCs w:val="24"/>
        </w:rPr>
        <w:t xml:space="preserve">istemātiski veicot </w:t>
      </w:r>
      <w:r w:rsidR="00DB43C0">
        <w:rPr>
          <w:b w:val="0"/>
          <w:sz w:val="24"/>
          <w:szCs w:val="24"/>
        </w:rPr>
        <w:t xml:space="preserve">kapitālsabiedrības </w:t>
      </w:r>
      <w:r w:rsidR="00DB43C0" w:rsidRPr="00CA10E9">
        <w:rPr>
          <w:b w:val="0"/>
          <w:sz w:val="24"/>
          <w:szCs w:val="24"/>
        </w:rPr>
        <w:t xml:space="preserve">faktisko darbības rezultātu salīdzinājumu ar plānotajiem kapitālsabiedrības rezultātiem, valsts var </w:t>
      </w:r>
      <w:r w:rsidR="00D841DD">
        <w:rPr>
          <w:b w:val="0"/>
          <w:sz w:val="24"/>
          <w:szCs w:val="24"/>
        </w:rPr>
        <w:t>kā atbildīgs īpašnieks</w:t>
      </w:r>
      <w:r w:rsidR="00DB43C0">
        <w:rPr>
          <w:b w:val="0"/>
          <w:sz w:val="24"/>
          <w:szCs w:val="24"/>
        </w:rPr>
        <w:t xml:space="preserve"> </w:t>
      </w:r>
      <w:r w:rsidR="00DB43C0" w:rsidRPr="00CA10E9">
        <w:rPr>
          <w:b w:val="0"/>
          <w:sz w:val="24"/>
          <w:szCs w:val="24"/>
        </w:rPr>
        <w:t>nodrošin</w:t>
      </w:r>
      <w:r w:rsidR="00194224">
        <w:rPr>
          <w:b w:val="0"/>
          <w:sz w:val="24"/>
          <w:szCs w:val="24"/>
        </w:rPr>
        <w:t>ā</w:t>
      </w:r>
      <w:r w:rsidR="00DB43C0" w:rsidRPr="00CA10E9">
        <w:rPr>
          <w:b w:val="0"/>
          <w:sz w:val="24"/>
          <w:szCs w:val="24"/>
        </w:rPr>
        <w:t>t, ka valsts īpašums tiek izmantots</w:t>
      </w:r>
      <w:r w:rsidR="00DB43C0" w:rsidRPr="00CA10E9">
        <w:rPr>
          <w:sz w:val="24"/>
          <w:szCs w:val="24"/>
        </w:rPr>
        <w:t xml:space="preserve"> </w:t>
      </w:r>
      <w:r w:rsidR="00DB43C0" w:rsidRPr="00CA10E9">
        <w:rPr>
          <w:b w:val="0"/>
          <w:sz w:val="24"/>
          <w:szCs w:val="24"/>
        </w:rPr>
        <w:t>maksimāli efektīvi un atbilstoši sabiedrības interesēm</w:t>
      </w:r>
      <w:r w:rsidR="00DB43C0">
        <w:rPr>
          <w:b w:val="0"/>
          <w:sz w:val="24"/>
          <w:szCs w:val="24"/>
        </w:rPr>
        <w:t xml:space="preserve">. </w:t>
      </w:r>
    </w:p>
    <w:p w14:paraId="2E0C66E0" w14:textId="77777777" w:rsidR="0003417A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14:paraId="2CD35F4A" w14:textId="77777777" w:rsidR="00505803" w:rsidRDefault="004F52B8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1207E9">
        <w:rPr>
          <w:b w:val="0"/>
          <w:sz w:val="24"/>
          <w:szCs w:val="24"/>
        </w:rPr>
        <w:t>.</w:t>
      </w:r>
      <w:r w:rsidR="00194224">
        <w:rPr>
          <w:b w:val="0"/>
          <w:sz w:val="24"/>
          <w:szCs w:val="24"/>
        </w:rPr>
        <w:t> </w:t>
      </w:r>
      <w:r w:rsidR="00505803" w:rsidRPr="00795373">
        <w:rPr>
          <w:b w:val="0"/>
          <w:sz w:val="24"/>
          <w:szCs w:val="24"/>
        </w:rPr>
        <w:t>Kapitālsabiedrīb</w:t>
      </w:r>
      <w:r w:rsidR="00795373" w:rsidRPr="00795373">
        <w:rPr>
          <w:b w:val="0"/>
          <w:sz w:val="24"/>
          <w:szCs w:val="24"/>
        </w:rPr>
        <w:t xml:space="preserve">u </w:t>
      </w:r>
      <w:r w:rsidR="00505803" w:rsidRPr="00795373">
        <w:rPr>
          <w:b w:val="0"/>
          <w:sz w:val="24"/>
          <w:szCs w:val="24"/>
        </w:rPr>
        <w:t xml:space="preserve">darbības rezultātu izvērtēšanas vadlīniju (turpmāk – vērtēšanas vadlīnijas) mērķis ir konkretizēt Ministru kabineta </w:t>
      </w:r>
      <w:r w:rsidR="000E30DD" w:rsidRPr="00795373">
        <w:rPr>
          <w:b w:val="0"/>
          <w:sz w:val="24"/>
          <w:szCs w:val="24"/>
        </w:rPr>
        <w:t>2016.</w:t>
      </w:r>
      <w:r w:rsidR="00AB34ED" w:rsidRPr="00795373">
        <w:rPr>
          <w:b w:val="0"/>
          <w:sz w:val="24"/>
          <w:szCs w:val="24"/>
        </w:rPr>
        <w:t> </w:t>
      </w:r>
      <w:r w:rsidR="000E30DD" w:rsidRPr="00795373">
        <w:rPr>
          <w:b w:val="0"/>
          <w:sz w:val="24"/>
          <w:szCs w:val="24"/>
        </w:rPr>
        <w:t>gada</w:t>
      </w:r>
      <w:r w:rsidR="00505803" w:rsidRPr="00795373">
        <w:rPr>
          <w:b w:val="0"/>
          <w:sz w:val="24"/>
          <w:szCs w:val="24"/>
        </w:rPr>
        <w:t xml:space="preserve"> </w:t>
      </w:r>
      <w:r w:rsidR="000E30DD" w:rsidRPr="00795373">
        <w:rPr>
          <w:b w:val="0"/>
          <w:sz w:val="24"/>
          <w:szCs w:val="24"/>
        </w:rPr>
        <w:t>9.</w:t>
      </w:r>
      <w:r w:rsidR="00AB34ED" w:rsidRPr="00795373">
        <w:rPr>
          <w:b w:val="0"/>
          <w:sz w:val="24"/>
          <w:szCs w:val="24"/>
        </w:rPr>
        <w:t> </w:t>
      </w:r>
      <w:r w:rsidR="000E30DD" w:rsidRPr="00795373">
        <w:rPr>
          <w:b w:val="0"/>
          <w:sz w:val="24"/>
          <w:szCs w:val="24"/>
        </w:rPr>
        <w:t>februāra</w:t>
      </w:r>
      <w:r w:rsidR="00505803" w:rsidRPr="00795373">
        <w:rPr>
          <w:b w:val="0"/>
          <w:sz w:val="24"/>
          <w:szCs w:val="24"/>
        </w:rPr>
        <w:t xml:space="preserve"> notei</w:t>
      </w:r>
      <w:r w:rsidR="00505803">
        <w:rPr>
          <w:b w:val="0"/>
          <w:sz w:val="24"/>
          <w:szCs w:val="24"/>
        </w:rPr>
        <w:t>kumu Nr.</w:t>
      </w:r>
      <w:r w:rsidR="00AB34ED">
        <w:rPr>
          <w:b w:val="0"/>
          <w:sz w:val="24"/>
          <w:szCs w:val="24"/>
        </w:rPr>
        <w:t> </w:t>
      </w:r>
      <w:r w:rsidR="00505803">
        <w:rPr>
          <w:b w:val="0"/>
          <w:sz w:val="24"/>
          <w:szCs w:val="24"/>
        </w:rPr>
        <w:t>95</w:t>
      </w:r>
      <w:r w:rsidR="00E4382E">
        <w:rPr>
          <w:b w:val="0"/>
          <w:sz w:val="24"/>
          <w:szCs w:val="24"/>
        </w:rPr>
        <w:t xml:space="preserve"> </w:t>
      </w:r>
      <w:r w:rsidR="00AB34ED">
        <w:rPr>
          <w:b w:val="0"/>
          <w:sz w:val="24"/>
          <w:szCs w:val="24"/>
        </w:rPr>
        <w:t>"</w:t>
      </w:r>
      <w:r w:rsidR="00505803" w:rsidRPr="00505803">
        <w:rPr>
          <w:b w:val="0"/>
          <w:sz w:val="24"/>
          <w:szCs w:val="24"/>
        </w:rPr>
        <w:t xml:space="preserve">Kārtība, kādā tiek vērtēti </w:t>
      </w:r>
      <w:r w:rsidR="00795373" w:rsidRPr="00505803">
        <w:rPr>
          <w:b w:val="0"/>
          <w:sz w:val="24"/>
          <w:szCs w:val="24"/>
        </w:rPr>
        <w:t>darbība</w:t>
      </w:r>
      <w:r w:rsidR="00795373">
        <w:rPr>
          <w:b w:val="0"/>
          <w:sz w:val="24"/>
          <w:szCs w:val="24"/>
        </w:rPr>
        <w:t>s rezultāti un finanšu rādītāji</w:t>
      </w:r>
      <w:r w:rsidR="00795373" w:rsidRPr="00505803">
        <w:rPr>
          <w:b w:val="0"/>
          <w:sz w:val="24"/>
          <w:szCs w:val="24"/>
        </w:rPr>
        <w:t xml:space="preserve"> </w:t>
      </w:r>
      <w:r w:rsidR="00505803" w:rsidRPr="00505803">
        <w:rPr>
          <w:b w:val="0"/>
          <w:sz w:val="24"/>
          <w:szCs w:val="24"/>
        </w:rPr>
        <w:t>kapitālsabiedrība</w:t>
      </w:r>
      <w:r w:rsidR="00795373">
        <w:rPr>
          <w:b w:val="0"/>
          <w:sz w:val="24"/>
          <w:szCs w:val="24"/>
        </w:rPr>
        <w:t>i</w:t>
      </w:r>
      <w:r w:rsidR="00505803" w:rsidRPr="00505803">
        <w:rPr>
          <w:b w:val="0"/>
          <w:sz w:val="24"/>
          <w:szCs w:val="24"/>
        </w:rPr>
        <w:t>, kurā valstij i</w:t>
      </w:r>
      <w:r w:rsidR="00E4382E">
        <w:rPr>
          <w:b w:val="0"/>
          <w:sz w:val="24"/>
          <w:szCs w:val="24"/>
        </w:rPr>
        <w:t>r izšķirošā</w:t>
      </w:r>
      <w:r w:rsidR="00505803" w:rsidRPr="00505803">
        <w:rPr>
          <w:b w:val="0"/>
          <w:sz w:val="24"/>
          <w:szCs w:val="24"/>
        </w:rPr>
        <w:t xml:space="preserve"> ietekme</w:t>
      </w:r>
      <w:r w:rsidR="00AB34ED">
        <w:rPr>
          <w:b w:val="0"/>
          <w:sz w:val="24"/>
          <w:szCs w:val="24"/>
        </w:rPr>
        <w:t>"</w:t>
      </w:r>
      <w:r w:rsidR="00505803" w:rsidRPr="00505803">
        <w:rPr>
          <w:b w:val="0"/>
          <w:sz w:val="24"/>
          <w:szCs w:val="24"/>
        </w:rPr>
        <w:t xml:space="preserve"> </w:t>
      </w:r>
      <w:r w:rsidR="00E4382E">
        <w:rPr>
          <w:b w:val="0"/>
          <w:sz w:val="24"/>
          <w:szCs w:val="24"/>
        </w:rPr>
        <w:t xml:space="preserve">(turpmāk – </w:t>
      </w:r>
      <w:r w:rsidR="00AB34ED">
        <w:rPr>
          <w:b w:val="0"/>
          <w:sz w:val="24"/>
          <w:szCs w:val="24"/>
        </w:rPr>
        <w:t>v</w:t>
      </w:r>
      <w:r w:rsidR="001207E9" w:rsidRPr="00AB34ED">
        <w:rPr>
          <w:b w:val="0"/>
          <w:sz w:val="24"/>
          <w:szCs w:val="24"/>
        </w:rPr>
        <w:t>ērtēšanas</w:t>
      </w:r>
      <w:r w:rsidR="00DC4A2A" w:rsidRPr="00AB34ED">
        <w:rPr>
          <w:b w:val="0"/>
          <w:sz w:val="24"/>
          <w:szCs w:val="24"/>
        </w:rPr>
        <w:t xml:space="preserve"> noteikumi</w:t>
      </w:r>
      <w:r w:rsidR="00E4382E">
        <w:rPr>
          <w:b w:val="0"/>
          <w:sz w:val="24"/>
          <w:szCs w:val="24"/>
        </w:rPr>
        <w:t xml:space="preserve">) </w:t>
      </w:r>
      <w:r w:rsidR="00E4382E" w:rsidRPr="00795373">
        <w:rPr>
          <w:b w:val="0"/>
          <w:sz w:val="24"/>
          <w:szCs w:val="24"/>
        </w:rPr>
        <w:t>piemērošanu</w:t>
      </w:r>
      <w:r w:rsidR="00FD5194" w:rsidRPr="00FD5194">
        <w:rPr>
          <w:b w:val="0"/>
          <w:sz w:val="24"/>
          <w:szCs w:val="24"/>
        </w:rPr>
        <w:t xml:space="preserve"> </w:t>
      </w:r>
      <w:r w:rsidR="00FD5194">
        <w:rPr>
          <w:b w:val="0"/>
          <w:sz w:val="24"/>
          <w:szCs w:val="24"/>
        </w:rPr>
        <w:t>un sekmēt to vienotu izpratni</w:t>
      </w:r>
      <w:r w:rsidR="00E4382E" w:rsidRPr="00795373">
        <w:rPr>
          <w:b w:val="0"/>
          <w:sz w:val="24"/>
          <w:szCs w:val="24"/>
        </w:rPr>
        <w:t>, ietver</w:t>
      </w:r>
      <w:r w:rsidR="00795373" w:rsidRPr="00795373">
        <w:rPr>
          <w:b w:val="0"/>
          <w:sz w:val="24"/>
          <w:szCs w:val="24"/>
        </w:rPr>
        <w:t>ot</w:t>
      </w:r>
      <w:r w:rsidR="00E4382E" w:rsidRPr="00795373">
        <w:rPr>
          <w:b w:val="0"/>
          <w:sz w:val="24"/>
          <w:szCs w:val="24"/>
        </w:rPr>
        <w:t xml:space="preserve"> vērtēšanā izmantoto jēdzienu </w:t>
      </w:r>
      <w:r w:rsidR="00795373" w:rsidRPr="00795373">
        <w:rPr>
          <w:b w:val="0"/>
          <w:sz w:val="24"/>
          <w:szCs w:val="24"/>
        </w:rPr>
        <w:t>skaidrojumu</w:t>
      </w:r>
      <w:r w:rsidR="00E4382E" w:rsidRPr="00795373">
        <w:rPr>
          <w:b w:val="0"/>
          <w:sz w:val="24"/>
          <w:szCs w:val="24"/>
        </w:rPr>
        <w:t xml:space="preserve">, </w:t>
      </w:r>
      <w:r w:rsidR="00FD5194" w:rsidRPr="00FD5194">
        <w:rPr>
          <w:b w:val="0"/>
          <w:sz w:val="24"/>
          <w:szCs w:val="24"/>
        </w:rPr>
        <w:t xml:space="preserve">jautājumus par darbības rezultātu </w:t>
      </w:r>
      <w:r w:rsidR="00E4382E" w:rsidRPr="00FD5194">
        <w:rPr>
          <w:b w:val="0"/>
          <w:sz w:val="24"/>
          <w:szCs w:val="24"/>
        </w:rPr>
        <w:t>pārskat</w:t>
      </w:r>
      <w:r w:rsidR="00FD5194" w:rsidRPr="00FD5194">
        <w:rPr>
          <w:b w:val="0"/>
          <w:sz w:val="24"/>
          <w:szCs w:val="24"/>
        </w:rPr>
        <w:t>u</w:t>
      </w:r>
      <w:r w:rsidR="00E4382E" w:rsidRPr="00FD5194">
        <w:rPr>
          <w:b w:val="0"/>
          <w:sz w:val="24"/>
          <w:szCs w:val="24"/>
        </w:rPr>
        <w:t xml:space="preserve"> </w:t>
      </w:r>
      <w:r w:rsidR="00FD5194" w:rsidRPr="00FD5194">
        <w:rPr>
          <w:b w:val="0"/>
          <w:sz w:val="24"/>
          <w:szCs w:val="24"/>
        </w:rPr>
        <w:t>un atzinumu (vērtējumu) sagatavošanu, kā arī cit</w:t>
      </w:r>
      <w:r w:rsidR="00FD5194">
        <w:rPr>
          <w:b w:val="0"/>
          <w:sz w:val="24"/>
          <w:szCs w:val="24"/>
        </w:rPr>
        <w:t>us kapitāldaļu turētājam, valdēm un padomēm (ja tādas izveidotas)</w:t>
      </w:r>
      <w:r w:rsidR="00FD5194" w:rsidRPr="00FD5194">
        <w:rPr>
          <w:b w:val="0"/>
          <w:sz w:val="24"/>
          <w:szCs w:val="24"/>
        </w:rPr>
        <w:t xml:space="preserve"> </w:t>
      </w:r>
      <w:r w:rsidR="00FD5194">
        <w:rPr>
          <w:b w:val="0"/>
          <w:sz w:val="24"/>
          <w:szCs w:val="24"/>
        </w:rPr>
        <w:t>svarīgus jautājumus.</w:t>
      </w:r>
      <w:r w:rsidR="00E4382E">
        <w:rPr>
          <w:b w:val="0"/>
          <w:sz w:val="24"/>
          <w:szCs w:val="24"/>
        </w:rPr>
        <w:t xml:space="preserve"> </w:t>
      </w:r>
    </w:p>
    <w:p w14:paraId="43FB7166" w14:textId="77777777" w:rsidR="0003417A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14:paraId="203A35E4" w14:textId="77777777" w:rsidR="004E0A62" w:rsidRDefault="00FD5194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A055B">
        <w:rPr>
          <w:b w:val="0"/>
          <w:sz w:val="24"/>
          <w:szCs w:val="24"/>
        </w:rPr>
        <w:t>.</w:t>
      </w:r>
      <w:r w:rsidR="00AB34ED">
        <w:rPr>
          <w:b w:val="0"/>
          <w:sz w:val="24"/>
          <w:szCs w:val="24"/>
        </w:rPr>
        <w:t> </w:t>
      </w:r>
      <w:r w:rsidR="007934CD">
        <w:rPr>
          <w:b w:val="0"/>
          <w:sz w:val="24"/>
          <w:szCs w:val="24"/>
        </w:rPr>
        <w:t>V</w:t>
      </w:r>
      <w:r w:rsidRPr="00795373">
        <w:rPr>
          <w:b w:val="0"/>
          <w:sz w:val="24"/>
          <w:szCs w:val="24"/>
        </w:rPr>
        <w:t>ērtēšanas</w:t>
      </w:r>
      <w:r>
        <w:rPr>
          <w:b w:val="0"/>
          <w:sz w:val="24"/>
          <w:szCs w:val="24"/>
        </w:rPr>
        <w:t xml:space="preserve"> </w:t>
      </w:r>
      <w:r w:rsidR="007934CD">
        <w:rPr>
          <w:b w:val="0"/>
          <w:sz w:val="24"/>
          <w:szCs w:val="24"/>
        </w:rPr>
        <w:t>v</w:t>
      </w:r>
      <w:r w:rsidR="000E30DD" w:rsidRPr="00FD5194">
        <w:rPr>
          <w:b w:val="0"/>
          <w:sz w:val="24"/>
          <w:szCs w:val="24"/>
        </w:rPr>
        <w:t>adlīnijās</w:t>
      </w:r>
      <w:r w:rsidR="000E30DD">
        <w:rPr>
          <w:b w:val="0"/>
          <w:sz w:val="24"/>
          <w:szCs w:val="24"/>
        </w:rPr>
        <w:t xml:space="preserve"> sniegts skaidrojums, kā</w:t>
      </w:r>
      <w:r w:rsidR="001207E9">
        <w:rPr>
          <w:b w:val="0"/>
          <w:sz w:val="24"/>
          <w:szCs w:val="24"/>
        </w:rPr>
        <w:t>da informācija</w:t>
      </w:r>
      <w:r w:rsidR="008D1F10">
        <w:rPr>
          <w:b w:val="0"/>
          <w:sz w:val="24"/>
          <w:szCs w:val="24"/>
        </w:rPr>
        <w:t xml:space="preserve"> </w:t>
      </w:r>
      <w:r w:rsidR="001207E9">
        <w:rPr>
          <w:b w:val="0"/>
          <w:sz w:val="24"/>
          <w:szCs w:val="24"/>
        </w:rPr>
        <w:t>ietverama</w:t>
      </w:r>
      <w:r w:rsidR="000E30DD">
        <w:rPr>
          <w:b w:val="0"/>
          <w:sz w:val="24"/>
          <w:szCs w:val="24"/>
        </w:rPr>
        <w:t xml:space="preserve"> koordinācijas institūcijas un nozares ministrijas atzinum</w:t>
      </w:r>
      <w:r w:rsidR="00AD6969">
        <w:rPr>
          <w:b w:val="0"/>
          <w:sz w:val="24"/>
          <w:szCs w:val="24"/>
        </w:rPr>
        <w:t>o</w:t>
      </w:r>
      <w:r w:rsidR="000E30DD">
        <w:rPr>
          <w:b w:val="0"/>
          <w:sz w:val="24"/>
          <w:szCs w:val="24"/>
        </w:rPr>
        <w:t>s par kapitālsabiedrības darbības rezultātiem</w:t>
      </w:r>
      <w:r w:rsidR="00AD6969">
        <w:rPr>
          <w:b w:val="0"/>
          <w:sz w:val="24"/>
          <w:szCs w:val="24"/>
        </w:rPr>
        <w:t xml:space="preserve"> pārskata gadā</w:t>
      </w:r>
      <w:r w:rsidR="000E30DD">
        <w:rPr>
          <w:b w:val="0"/>
          <w:sz w:val="24"/>
          <w:szCs w:val="24"/>
        </w:rPr>
        <w:t xml:space="preserve"> un to novērtēšanu.</w:t>
      </w:r>
    </w:p>
    <w:p w14:paraId="74322B84" w14:textId="77777777" w:rsidR="0003417A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14:paraId="43BC4FEE" w14:textId="77777777" w:rsidR="003318DC" w:rsidRDefault="00FD5194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3318DC" w:rsidRPr="003318DC">
        <w:rPr>
          <w:b w:val="0"/>
          <w:sz w:val="24"/>
          <w:szCs w:val="24"/>
        </w:rPr>
        <w:t>.</w:t>
      </w:r>
      <w:r w:rsidR="00AB34ED">
        <w:rPr>
          <w:sz w:val="24"/>
          <w:szCs w:val="24"/>
        </w:rPr>
        <w:t> </w:t>
      </w:r>
      <w:r w:rsidR="007934CD">
        <w:rPr>
          <w:b w:val="0"/>
          <w:sz w:val="24"/>
          <w:szCs w:val="24"/>
        </w:rPr>
        <w:t>V</w:t>
      </w:r>
      <w:r w:rsidRPr="00795373">
        <w:rPr>
          <w:b w:val="0"/>
          <w:sz w:val="24"/>
          <w:szCs w:val="24"/>
        </w:rPr>
        <w:t>ērtēšanas</w:t>
      </w:r>
      <w:r w:rsidRPr="00AB34ED">
        <w:rPr>
          <w:b w:val="0"/>
          <w:sz w:val="24"/>
          <w:szCs w:val="24"/>
        </w:rPr>
        <w:t xml:space="preserve"> </w:t>
      </w:r>
      <w:r w:rsidR="007934CD">
        <w:rPr>
          <w:b w:val="0"/>
          <w:sz w:val="24"/>
          <w:szCs w:val="24"/>
        </w:rPr>
        <w:t>v</w:t>
      </w:r>
      <w:r w:rsidR="004E0A62" w:rsidRPr="00AB34ED">
        <w:rPr>
          <w:b w:val="0"/>
          <w:sz w:val="24"/>
          <w:szCs w:val="24"/>
        </w:rPr>
        <w:t>adlīniju mērķauditorija</w:t>
      </w:r>
      <w:r w:rsidR="008D1F10" w:rsidRPr="003318DC">
        <w:rPr>
          <w:b w:val="0"/>
          <w:sz w:val="24"/>
          <w:szCs w:val="24"/>
        </w:rPr>
        <w:t xml:space="preserve"> </w:t>
      </w:r>
      <w:r w:rsidR="00AB34ED" w:rsidRPr="0085075B">
        <w:rPr>
          <w:b w:val="0"/>
          <w:sz w:val="24"/>
          <w:szCs w:val="24"/>
        </w:rPr>
        <w:t>ir</w:t>
      </w:r>
      <w:r w:rsidR="00AB34ED">
        <w:rPr>
          <w:b w:val="0"/>
          <w:sz w:val="24"/>
          <w:szCs w:val="24"/>
        </w:rPr>
        <w:t xml:space="preserve"> </w:t>
      </w:r>
      <w:r w:rsidR="00AB34ED" w:rsidRPr="0085075B">
        <w:rPr>
          <w:b w:val="0"/>
          <w:sz w:val="24"/>
          <w:szCs w:val="24"/>
        </w:rPr>
        <w:t>kapitālsabiedrīb</w:t>
      </w:r>
      <w:r w:rsidR="00AB34ED">
        <w:rPr>
          <w:b w:val="0"/>
          <w:sz w:val="24"/>
          <w:szCs w:val="24"/>
        </w:rPr>
        <w:t>as</w:t>
      </w:r>
      <w:r w:rsidR="00AB34ED" w:rsidRPr="0085075B">
        <w:rPr>
          <w:b w:val="0"/>
          <w:sz w:val="24"/>
          <w:szCs w:val="24"/>
        </w:rPr>
        <w:t>, kurā</w:t>
      </w:r>
      <w:r w:rsidR="00C02858">
        <w:rPr>
          <w:b w:val="0"/>
          <w:sz w:val="24"/>
          <w:szCs w:val="24"/>
        </w:rPr>
        <w:t>s</w:t>
      </w:r>
      <w:r w:rsidR="00AB34ED" w:rsidRPr="0085075B">
        <w:rPr>
          <w:b w:val="0"/>
          <w:sz w:val="24"/>
          <w:szCs w:val="24"/>
        </w:rPr>
        <w:t xml:space="preserve"> valstij ir izšķirošā ietek</w:t>
      </w:r>
      <w:r w:rsidR="00AB34ED">
        <w:rPr>
          <w:b w:val="0"/>
          <w:sz w:val="24"/>
          <w:szCs w:val="24"/>
        </w:rPr>
        <w:t>m</w:t>
      </w:r>
      <w:r w:rsidR="00AB34ED" w:rsidRPr="0085075B">
        <w:rPr>
          <w:b w:val="0"/>
          <w:sz w:val="24"/>
          <w:szCs w:val="24"/>
        </w:rPr>
        <w:t>e</w:t>
      </w:r>
      <w:r w:rsidR="00AB34ED">
        <w:rPr>
          <w:b w:val="0"/>
          <w:sz w:val="24"/>
          <w:szCs w:val="24"/>
        </w:rPr>
        <w:t xml:space="preserve">, kā arī </w:t>
      </w:r>
      <w:r w:rsidR="003318DC">
        <w:rPr>
          <w:b w:val="0"/>
          <w:sz w:val="24"/>
          <w:szCs w:val="24"/>
        </w:rPr>
        <w:t>koordinācijas institūcija un nozares ministrija.</w:t>
      </w:r>
      <w:r w:rsidR="003318DC" w:rsidRPr="0085075B">
        <w:rPr>
          <w:b w:val="0"/>
          <w:sz w:val="24"/>
          <w:szCs w:val="24"/>
        </w:rPr>
        <w:t xml:space="preserve"> </w:t>
      </w:r>
      <w:r w:rsidR="00AB34ED">
        <w:rPr>
          <w:b w:val="0"/>
          <w:sz w:val="24"/>
          <w:szCs w:val="24"/>
        </w:rPr>
        <w:t>Attiecībā uz</w:t>
      </w:r>
      <w:r w:rsidR="003318DC" w:rsidRPr="0085075B">
        <w:rPr>
          <w:b w:val="0"/>
          <w:sz w:val="24"/>
          <w:szCs w:val="24"/>
        </w:rPr>
        <w:t xml:space="preserve"> </w:t>
      </w:r>
      <w:r w:rsidR="00AB34ED">
        <w:rPr>
          <w:b w:val="0"/>
          <w:sz w:val="24"/>
          <w:szCs w:val="24"/>
        </w:rPr>
        <w:t>p</w:t>
      </w:r>
      <w:r w:rsidR="003318DC" w:rsidRPr="0085075B">
        <w:rPr>
          <w:b w:val="0"/>
          <w:sz w:val="24"/>
          <w:szCs w:val="24"/>
        </w:rPr>
        <w:t xml:space="preserve">ašvaldību kapitālsabiedrībām un citu atvasināto publisko personu kapitālsabiedrībām </w:t>
      </w:r>
      <w:r w:rsidR="007934CD">
        <w:rPr>
          <w:b w:val="0"/>
          <w:sz w:val="24"/>
          <w:szCs w:val="24"/>
        </w:rPr>
        <w:t xml:space="preserve">vērtēšanas </w:t>
      </w:r>
      <w:r w:rsidR="003318DC" w:rsidRPr="0085075B">
        <w:rPr>
          <w:b w:val="0"/>
          <w:sz w:val="24"/>
          <w:szCs w:val="24"/>
        </w:rPr>
        <w:t xml:space="preserve">vadlīnijām ir </w:t>
      </w:r>
      <w:r w:rsidR="005E6657">
        <w:rPr>
          <w:b w:val="0"/>
          <w:sz w:val="24"/>
          <w:szCs w:val="24"/>
        </w:rPr>
        <w:t>ieteikuma</w:t>
      </w:r>
      <w:r w:rsidR="003318DC" w:rsidRPr="0085075B">
        <w:rPr>
          <w:b w:val="0"/>
          <w:sz w:val="24"/>
          <w:szCs w:val="24"/>
        </w:rPr>
        <w:t xml:space="preserve"> raksturs. </w:t>
      </w:r>
    </w:p>
    <w:p w14:paraId="2A53235F" w14:textId="77777777" w:rsidR="0003417A" w:rsidRDefault="0003417A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>
        <w:rPr>
          <w:sz w:val="24"/>
          <w:szCs w:val="24"/>
        </w:rPr>
        <w:br w:type="page"/>
      </w:r>
    </w:p>
    <w:p w14:paraId="5280B90B" w14:textId="77777777" w:rsidR="004A32ED" w:rsidRDefault="001A13AF" w:rsidP="0003417A">
      <w:pPr>
        <w:pStyle w:val="Heading1"/>
        <w:numPr>
          <w:ilvl w:val="0"/>
          <w:numId w:val="0"/>
        </w:numPr>
        <w:spacing w:before="0" w:beforeAutospacing="0" w:after="0" w:afterAutospacing="0"/>
        <w:jc w:val="center"/>
        <w:rPr>
          <w:rFonts w:eastAsiaTheme="minorHAnsi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Cs w:val="0"/>
          <w:kern w:val="0"/>
          <w:sz w:val="24"/>
          <w:szCs w:val="24"/>
          <w:lang w:eastAsia="en-US"/>
        </w:rPr>
        <w:lastRenderedPageBreak/>
        <w:t>II</w:t>
      </w:r>
      <w:r w:rsidR="00AB34ED">
        <w:rPr>
          <w:rFonts w:eastAsiaTheme="minorHAnsi"/>
          <w:bCs w:val="0"/>
          <w:kern w:val="0"/>
          <w:sz w:val="24"/>
          <w:szCs w:val="24"/>
          <w:lang w:eastAsia="en-US"/>
        </w:rPr>
        <w:t>. </w:t>
      </w:r>
      <w:r w:rsidR="004A32ED" w:rsidRPr="00AC4D35">
        <w:rPr>
          <w:rFonts w:eastAsiaTheme="minorHAnsi"/>
          <w:bCs w:val="0"/>
          <w:kern w:val="0"/>
          <w:sz w:val="24"/>
          <w:szCs w:val="24"/>
          <w:lang w:eastAsia="en-US"/>
        </w:rPr>
        <w:t>Pārskats par kapitālsabiedrības darbības rezultātiem</w:t>
      </w:r>
    </w:p>
    <w:p w14:paraId="2F47CA6A" w14:textId="77777777" w:rsidR="0003417A" w:rsidRPr="006C5C92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center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</w:p>
    <w:p w14:paraId="702D222A" w14:textId="2D67DF8F" w:rsidR="004A32ED" w:rsidRDefault="00C01FE5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6</w:t>
      </w:r>
      <w:r w:rsidR="004A32ED" w:rsidRPr="00AC069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AB34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4A32ED" w:rsidRPr="00DC6DB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Pārskat</w:t>
      </w:r>
      <w:r w:rsidR="0003417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u</w:t>
      </w:r>
      <w:r w:rsidR="004A32ED" w:rsidRPr="00DC6DB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par kapitālsabiedrības darbības rezultātiem pārskata gadā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sagatavo atbilstoši </w:t>
      </w:r>
      <w:r w:rsidR="0003417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v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ērtēšanas noteikumu prasībām, iekļaujot pilnīgu un vispusīgu informāciju, kas nepieciešama, lai sniegtu objektīvu priekšstatu par kapitālsabiedrības darbības rezultātiem</w:t>
      </w:r>
      <w:r w:rsidR="000734F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un tos ietekmējošiem apstākļiem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pārskata gadā. </w:t>
      </w:r>
      <w:r w:rsidR="00DA7985" w:rsidRPr="00DA798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Kapitālsabiedrība pārskatā iekļauj aizpildītu </w:t>
      </w:r>
      <w:r w:rsidR="0003417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v</w:t>
      </w:r>
      <w:r w:rsidR="00DA7985" w:rsidRPr="00DA798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ērtēšanas noteikumu pielikumu</w:t>
      </w:r>
      <w:r w:rsidR="0003417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norādot</w:t>
      </w:r>
      <w:r w:rsidR="00DA7985" w:rsidRPr="00DA798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finanšu mērķ</w:t>
      </w:r>
      <w:r w:rsidR="0003417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us</w:t>
      </w:r>
      <w:r w:rsidR="00DA7985" w:rsidRPr="00DA798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un </w:t>
      </w:r>
      <w:r w:rsidR="001F319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nefinanšu mērķus</w:t>
      </w:r>
      <w:r w:rsidR="008B15C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(arī konsolidētos finanšu un nefinanšu mērķus, ja tādi ir noteikti</w:t>
      </w:r>
      <w:r w:rsidR="008B15C5" w:rsidRPr="008B15C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8B15C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kapitālsabiedrības vidēja termiņa darbības stratēģijā)</w:t>
      </w:r>
      <w:r w:rsidR="001F3194" w:rsidRPr="00DA798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03417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atbilstoši</w:t>
      </w:r>
      <w:r w:rsidR="00DA7985" w:rsidRPr="00DA798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vidēja termiņa </w:t>
      </w:r>
      <w:r w:rsidR="00D841D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darbības </w:t>
      </w:r>
      <w:r w:rsidR="00DA7985" w:rsidRPr="00DA798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stratēģija</w:t>
      </w:r>
      <w:r w:rsidR="0003417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</w:t>
      </w:r>
      <w:r w:rsidR="00DA7985" w:rsidRPr="00DA798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0734F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un citiem kapitālsabiedrības iekšējiem dokumentiem </w:t>
      </w:r>
      <w:r w:rsidR="0068407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vai </w:t>
      </w:r>
      <w:r w:rsidR="000734F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tikai</w:t>
      </w:r>
      <w:r w:rsidR="000734F8" w:rsidRPr="00DA798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DA7985" w:rsidRPr="00DA798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citiem </w:t>
      </w:r>
      <w:r w:rsidR="000734F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kapitālsabiedrības iekšējiem dokumentiem</w:t>
      </w:r>
      <w:r w:rsidR="00DA7985" w:rsidRPr="00DA798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ja </w:t>
      </w:r>
      <w:r w:rsidR="00D841DD" w:rsidRPr="00DA798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vidēja termiņa </w:t>
      </w:r>
      <w:r w:rsidR="00D841D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darbības </w:t>
      </w:r>
      <w:r w:rsidR="00DA7985" w:rsidRPr="00DA798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stratēģija nav apstiprināta), ko salīdzina ar faktiskajiem datiem</w:t>
      </w:r>
      <w:r w:rsidR="00AE181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(absolūtos skaitļos)</w:t>
      </w:r>
      <w:r w:rsidR="00DA7985" w:rsidRPr="00DA798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un aprēķina novirzi</w:t>
      </w:r>
      <w:r w:rsidR="00AE181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(procentos)</w:t>
      </w:r>
      <w:r w:rsidR="00DA798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(noviržu vērtēšanu skatīt </w:t>
      </w:r>
      <w:r w:rsidR="0062575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</w:t>
      </w:r>
      <w:r w:rsidR="00DA798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V</w:t>
      </w:r>
      <w:r w:rsidR="0003417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DA798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sadaļ</w:t>
      </w:r>
      <w:r w:rsidR="0003417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ā</w:t>
      </w:r>
      <w:r w:rsidR="00DA798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)</w:t>
      </w:r>
      <w:r w:rsidR="00DA7985" w:rsidRPr="00DA798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</w:p>
    <w:p w14:paraId="0E84A769" w14:textId="77777777" w:rsidR="0003417A" w:rsidRPr="006C5C92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</w:p>
    <w:p w14:paraId="12172E41" w14:textId="182532F4" w:rsidR="004A32ED" w:rsidRDefault="00C01FE5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7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AB34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Būtisko noviržu skaidrošanai kapitālsabiedrība sniedz informāciju, kas </w:t>
      </w:r>
      <w:r w:rsidR="000734F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izskaidro </w:t>
      </w:r>
      <w:r w:rsidR="00C24DC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noviržu 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iemeslus</w:t>
      </w:r>
      <w:r w:rsidR="000734F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un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iekļauj pamatojumu</w:t>
      </w:r>
      <w:r w:rsidR="000734F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(ja ir) par </w:t>
      </w:r>
      <w:r w:rsidR="001A1ED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objektīviem attaisnojošiem </w:t>
      </w:r>
      <w:r w:rsidR="00D1105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apstākļiem</w:t>
      </w:r>
      <w:r w:rsidR="000734F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ka</w:t>
      </w:r>
      <w:r w:rsidR="00D1105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 apliecina, ka</w:t>
      </w:r>
      <w:r w:rsidR="000734F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šie noviržu rašanās iemesli </w:t>
      </w:r>
      <w:r w:rsidR="00D1105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nav bijuši atkarīgi no kapitālsabiedrības darbības un kapitālsabiedrība tos nebūtu varējusi ietekmēt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. </w:t>
      </w:r>
      <w:r w:rsidR="00593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Kapitālsabiedrība sniedz vērtējumu par būtisko noviržu ietekmi uz </w:t>
      </w:r>
      <w:r w:rsidR="004A622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iespējām sasniegt </w:t>
      </w:r>
      <w:r w:rsidR="00593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kapitālsabiedrības vidēja termiņa </w:t>
      </w:r>
      <w:r w:rsidR="00D841D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darbības </w:t>
      </w:r>
      <w:r w:rsidR="00593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stratēģijā noteikto</w:t>
      </w:r>
      <w:r w:rsidR="004A622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s vidēja termiņa mērķus, kā arī par būtisko noviržu radītajiem riskiem un to būtiskumu kapitālsabiedrības finanšu stabilitātei un ilgtspējīgai attīstībai. </w:t>
      </w:r>
      <w:r w:rsidR="00593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</w:p>
    <w:p w14:paraId="02940DD6" w14:textId="77777777" w:rsidR="0003417A" w:rsidRPr="006C5C92" w:rsidRDefault="0003417A" w:rsidP="00993B39">
      <w:pPr>
        <w:pStyle w:val="Heading1"/>
        <w:numPr>
          <w:ilvl w:val="0"/>
          <w:numId w:val="0"/>
        </w:numPr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</w:p>
    <w:p w14:paraId="04E36E56" w14:textId="7BC55477" w:rsidR="004A32ED" w:rsidRDefault="008B15C5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8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AB34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N</w:t>
      </w:r>
      <w:r w:rsidR="00DA798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oviržu p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amatojumā norāda, k</w:t>
      </w:r>
      <w:r w:rsidR="00C24DC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ād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i apstākļi kapitālsabiedrības ieskatā ir uzskatāmi par attaisnojamiem, raksturo cēloņsakarību starp </w:t>
      </w:r>
      <w:r w:rsidR="00C24DC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šiem 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apstākļiem un sekām (būtisko noviržu rašanos), kā arī </w:t>
      </w:r>
      <w:r w:rsidR="0003417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norāda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kādas darbības kapitālsabiedrība veik</w:t>
      </w:r>
      <w:r w:rsidR="00D27A2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u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</w:t>
      </w:r>
      <w:r w:rsidR="00D27A2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lai mazinātu vai novērstu šo apstākļu negatīvo ietekmi.  </w:t>
      </w:r>
    </w:p>
    <w:p w14:paraId="240C9770" w14:textId="77777777" w:rsidR="0003417A" w:rsidRPr="006C5C92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</w:p>
    <w:p w14:paraId="121A6505" w14:textId="0FD6A09D" w:rsidR="004A32ED" w:rsidRDefault="008B15C5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9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AB34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B663A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Ja </w:t>
      </w:r>
      <w:r w:rsidR="00D1105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nav sasniegti kapitālsabiedrības finanšu mērķi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</w:t>
      </w:r>
      <w:r w:rsidR="00D1105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kapitālsabiedrība 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papildus sniedz skaidrojumu</w:t>
      </w:r>
      <w:r w:rsidR="00D27A2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vai </w:t>
      </w:r>
      <w:r w:rsidR="00D1105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un kādā veidā 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nefinanšu mērķu izpilde ietekmējusi finanšu mērķu </w:t>
      </w:r>
      <w:r w:rsidR="001F319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izpildi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. </w:t>
      </w:r>
    </w:p>
    <w:p w14:paraId="19A22408" w14:textId="77777777" w:rsidR="0003417A" w:rsidRPr="006C5C92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</w:p>
    <w:p w14:paraId="7C4D135E" w14:textId="37DC4FCC" w:rsidR="004A32ED" w:rsidRDefault="008B15C5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10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AB34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4A32ED" w:rsidRPr="003460D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Padome savā vērtējumā par kapitālsabiedrības darbības rezultātiem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3460D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iekļauj </w:t>
      </w:r>
      <w:r w:rsidR="00593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papildus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informāciju</w:t>
      </w:r>
      <w:r w:rsidR="00D3440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ja tāda pastāv,</w:t>
      </w:r>
      <w:r w:rsidR="00593B7B" w:rsidRPr="00593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593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par apstākļiem, kas ietekmējuši kapitālsabiedrības darbības rezultātus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kas tās ieskatā ir nepieciešama, lai raksturotu kapitālsabiedrības darbības rezultātus finanšu un nefinanšu mērķu sasniegšanā</w:t>
      </w:r>
      <w:r w:rsidR="004A32ED" w:rsidRPr="00C24DC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kā arī snie</w:t>
      </w:r>
      <w:r w:rsidR="00C24DC0" w:rsidRPr="00C24DC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dz</w:t>
      </w:r>
      <w:r w:rsidR="004A32ED" w:rsidRPr="00C24DC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novērtējumu </w:t>
      </w:r>
      <w:r w:rsidR="001549A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par kapitālsabiedrības darbības rezultāt</w:t>
      </w:r>
      <w:r w:rsidR="00593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iem</w:t>
      </w:r>
      <w:r w:rsidR="00C24DC0" w:rsidRPr="00C24DC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4A32ED" w:rsidRPr="00C24DC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t</w:t>
      </w:r>
      <w:r w:rsidR="00C24DC0" w:rsidRPr="00C24DC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ai </w:t>
      </w:r>
      <w:r w:rsidR="004A32ED" w:rsidRPr="00C24DC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sk</w:t>
      </w:r>
      <w:r w:rsidR="00C24DC0" w:rsidRPr="00C24DC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aitā norādot,</w:t>
      </w:r>
      <w:r w:rsidR="004A32ED" w:rsidRPr="00C24DC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piekr</w:t>
      </w:r>
      <w:r w:rsidR="00C24DC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ī</w:t>
      </w:r>
      <w:r w:rsidR="004A32ED" w:rsidRPr="00C24DC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 vai nepiekr</w:t>
      </w:r>
      <w:r w:rsidR="00C24DC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ī</w:t>
      </w:r>
      <w:r w:rsidR="004A32ED" w:rsidRPr="00C24DC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valdes pārskatā sniegtaja</w:t>
      </w:r>
      <w:r w:rsidR="00C24DC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informācijai un skaidrojumiem. </w:t>
      </w:r>
    </w:p>
    <w:p w14:paraId="33ECF825" w14:textId="77777777" w:rsidR="0003417A" w:rsidRPr="006C5C92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</w:p>
    <w:p w14:paraId="24F87065" w14:textId="19EE17C2" w:rsidR="004A32ED" w:rsidRDefault="008B15C5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11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AB34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Ja pārskatā </w:t>
      </w:r>
      <w:r w:rsidR="008F3AB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par kapitālsabiedrības 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darbības rezultāti</w:t>
      </w:r>
      <w:r w:rsidR="008F3AB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em iepriekšējā gadā faktiskie darbības rezultāti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būtiski atšķiras no plānot</w:t>
      </w:r>
      <w:r w:rsidR="00D27A2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jiem, padome vērtējumā sniedz sav</w:t>
      </w:r>
      <w:r w:rsidR="0028519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u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viedokli par </w:t>
      </w:r>
      <w:r w:rsidR="003460D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būtisko 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noviržu </w:t>
      </w:r>
      <w:r w:rsidR="003460D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rašanās </w:t>
      </w:r>
      <w:r w:rsidR="001549A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iemesliem un to pamatotību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. </w:t>
      </w:r>
    </w:p>
    <w:p w14:paraId="69FC9B12" w14:textId="77777777" w:rsidR="0003417A" w:rsidRPr="006C5C92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</w:p>
    <w:p w14:paraId="1AD5ED37" w14:textId="5E122E5D" w:rsidR="0006763B" w:rsidRDefault="008B15C5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12</w:t>
      </w:r>
      <w:r w:rsid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AB34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Padome vērtējumā iekļauj </w:t>
      </w:r>
      <w:r w:rsidR="0081109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priekšlikumu par </w:t>
      </w:r>
      <w:r w:rsid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kapitālsabiedrības darbības rezultātu novērtējumu atbilstoši </w:t>
      </w:r>
      <w:r w:rsidR="00D27A2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v</w:t>
      </w:r>
      <w:r w:rsid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ērtēšanas noteikum</w:t>
      </w:r>
      <w:r w:rsidR="00C7648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u 9.punktam</w:t>
      </w:r>
      <w:r w:rsid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</w:p>
    <w:p w14:paraId="1BFA0B22" w14:textId="77777777" w:rsidR="0003417A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14:paraId="6289DB03" w14:textId="3DB06F26" w:rsidR="0006763B" w:rsidRDefault="008B15C5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13</w:t>
      </w:r>
      <w:r w:rsidR="004A32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AB34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4A32ED" w:rsidRP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Kapi</w:t>
      </w:r>
      <w:r w:rsid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tāla daļu turētāja pārstāvis</w:t>
      </w:r>
      <w:r w:rsidR="004A32ED" w:rsidRP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06763B" w:rsidRP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savā </w:t>
      </w:r>
      <w:r w:rsidR="001F319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sākotnējā </w:t>
      </w:r>
      <w:r w:rsidR="0006763B" w:rsidRP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vērtējumā par kapitālsabiedrības darbības rezultātiem iekļauj</w:t>
      </w:r>
      <w:r w:rsidR="0062575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ja uzskata par nepieciešamu,</w:t>
      </w:r>
      <w:r w:rsidR="0006763B" w:rsidRP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593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papildus</w:t>
      </w:r>
      <w:r w:rsidR="0006763B" w:rsidRP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informāciju</w:t>
      </w:r>
      <w:r w:rsidR="00593B7B" w:rsidRPr="00593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593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par apstākļiem, kas ietekmējuši kapitālsabiedrības </w:t>
      </w:r>
      <w:r w:rsidR="001F319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finanšu mērķu un nefinanšu mērķu sasniegšanu</w:t>
      </w:r>
      <w:r w:rsidR="0006763B" w:rsidRP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</w:p>
    <w:p w14:paraId="5DA3DCC0" w14:textId="77777777" w:rsidR="0003417A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14:paraId="7258A9B5" w14:textId="3DBE94A9" w:rsidR="005A614E" w:rsidRDefault="008B15C5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14</w:t>
      </w:r>
      <w:r w:rsid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AB34ED" w:rsidRPr="00B663A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62575A" w:rsidRP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Kapi</w:t>
      </w:r>
      <w:r w:rsidR="0062575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tāla daļu turētāja pārstāvis</w:t>
      </w:r>
      <w:r w:rsidR="0062575A" w:rsidRP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snie</w:t>
      </w:r>
      <w:r w:rsidR="0062575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dz</w:t>
      </w:r>
      <w:r w:rsidR="0062575A" w:rsidRP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1F319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sākotnējo </w:t>
      </w:r>
      <w:r w:rsidR="0062575A" w:rsidRP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vērtējumu </w:t>
      </w:r>
      <w:r w:rsidR="0062575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par kapitālsabiedrības darbības rezultātiem,</w:t>
      </w:r>
      <w:r w:rsidR="0062575A" w:rsidRP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62575A" w:rsidRPr="00C24DC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tai skaitā norādot, piekr</w:t>
      </w:r>
      <w:r w:rsidR="0062575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ī</w:t>
      </w:r>
      <w:r w:rsidR="0062575A" w:rsidRPr="00C24DC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 vai nepiekr</w:t>
      </w:r>
      <w:r w:rsidR="0062575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ī</w:t>
      </w:r>
      <w:r w:rsidR="0062575A" w:rsidRPr="00C24DC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</w:t>
      </w:r>
      <w:r w:rsidR="0062575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62575A" w:rsidRP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valdes </w:t>
      </w:r>
      <w:r w:rsidR="0062575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vai padomes (ja tāda ir izveidota) </w:t>
      </w:r>
      <w:r w:rsidR="0062575A" w:rsidRP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pārskatā sniegtaja</w:t>
      </w:r>
      <w:r w:rsidR="0062575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</w:t>
      </w:r>
      <w:r w:rsidR="0062575A" w:rsidRP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informācijai un skaidrojumiem</w:t>
      </w:r>
      <w:r w:rsidR="001F319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. </w:t>
      </w:r>
      <w:r w:rsidR="0006763B" w:rsidRP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Ja kapitālsabiedrības </w:t>
      </w:r>
      <w:r w:rsidR="001F319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pārskata gada </w:t>
      </w:r>
      <w:r w:rsidR="0006763B" w:rsidRP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darbības rezultāti būtiski </w:t>
      </w:r>
      <w:r w:rsid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atšķiras no </w:t>
      </w:r>
      <w:r w:rsidR="00D841D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vidēja termiņa darbības </w:t>
      </w:r>
      <w:r w:rsidR="00593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stratēģijā un citos kapitālsabiedrības iekšējos dokumentos </w:t>
      </w:r>
      <w:r w:rsid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plānot</w:t>
      </w:r>
      <w:r w:rsidR="005935F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</w:t>
      </w:r>
      <w:r w:rsid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jiem</w:t>
      </w:r>
      <w:r w:rsidR="004A622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rezultātiem</w:t>
      </w:r>
      <w:r w:rsid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k</w:t>
      </w:r>
      <w:r w:rsidR="0006763B" w:rsidRP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apitāla daļu turēt</w:t>
      </w:r>
      <w:r w:rsid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āja pārstāvi</w:t>
      </w:r>
      <w:r w:rsidR="005935F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</w:t>
      </w:r>
      <w:r w:rsidR="0006763B" w:rsidRP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vērtējumā sniedz sav</w:t>
      </w:r>
      <w:r w:rsidR="005935F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u</w:t>
      </w:r>
      <w:r w:rsidR="0006763B" w:rsidRP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viedokli par būtisko noviržu rašanās </w:t>
      </w:r>
      <w:r w:rsidR="00593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iemesliem</w:t>
      </w:r>
      <w:r w:rsidR="0006763B" w:rsidRP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</w:p>
    <w:p w14:paraId="4E737D8A" w14:textId="77777777" w:rsidR="0003417A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14:paraId="0E40DF11" w14:textId="0328D13A" w:rsidR="001F3194" w:rsidRDefault="008B15C5" w:rsidP="00993B39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15</w:t>
      </w:r>
      <w:r w:rsidR="0006763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AB34E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811098" w:rsidRPr="0081109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Kapitāla daļu turētāja pārstāvis</w:t>
      </w:r>
      <w:r w:rsidR="0081109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1F319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savā sākotnējā </w:t>
      </w:r>
      <w:r w:rsidR="00811098" w:rsidRPr="0081109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vērtējumā iekļauj</w:t>
      </w:r>
      <w:r w:rsidR="0081109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priekšlikumu par </w:t>
      </w:r>
      <w:r w:rsidR="00811098" w:rsidRPr="0081109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kapitālsabiedrības darbības rezultātu novērtējumu atbilstoši </w:t>
      </w:r>
      <w:r w:rsidR="00D27A2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v</w:t>
      </w:r>
      <w:r w:rsidR="00811098" w:rsidRPr="0081109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ērtēšanas noteikum</w:t>
      </w:r>
      <w:r w:rsidR="00593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u 9.punktam</w:t>
      </w:r>
      <w:r w:rsidR="00811098" w:rsidRPr="0081109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</w:p>
    <w:p w14:paraId="1FE1D11E" w14:textId="7D87DAF1" w:rsidR="00811098" w:rsidRPr="00993B39" w:rsidRDefault="00A849A6" w:rsidP="00993B3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993B39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811098" w:rsidRPr="00993B39">
        <w:rPr>
          <w:rFonts w:ascii="Times New Roman" w:hAnsi="Times New Roman" w:cs="Times New Roman"/>
          <w:b/>
          <w:sz w:val="24"/>
          <w:szCs w:val="24"/>
        </w:rPr>
        <w:t>.</w:t>
      </w:r>
      <w:r w:rsidR="00AB34ED" w:rsidRPr="00993B39">
        <w:rPr>
          <w:rFonts w:ascii="Times New Roman" w:hAnsi="Times New Roman" w:cs="Times New Roman"/>
          <w:b/>
          <w:sz w:val="24"/>
          <w:szCs w:val="24"/>
        </w:rPr>
        <w:t> </w:t>
      </w:r>
      <w:r w:rsidR="00811098" w:rsidRPr="00993B39">
        <w:rPr>
          <w:rFonts w:ascii="Times New Roman" w:hAnsi="Times New Roman" w:cs="Times New Roman"/>
          <w:b/>
          <w:sz w:val="24"/>
          <w:szCs w:val="24"/>
        </w:rPr>
        <w:t>Koordinācijas institūcijas un nozares ministrijas atzinums</w:t>
      </w:r>
    </w:p>
    <w:p w14:paraId="35203C86" w14:textId="77777777" w:rsidR="0003417A" w:rsidRPr="00D27A26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p w14:paraId="30BEA53E" w14:textId="16AEA1D6" w:rsidR="00021217" w:rsidRDefault="008B15C5" w:rsidP="00021217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16</w:t>
      </w:r>
      <w:r w:rsidR="00811098" w:rsidRPr="005F63E7">
        <w:rPr>
          <w:b w:val="0"/>
          <w:sz w:val="24"/>
          <w:szCs w:val="24"/>
        </w:rPr>
        <w:t>.</w:t>
      </w:r>
      <w:r w:rsidR="00AB34ED" w:rsidRPr="005F63E7">
        <w:rPr>
          <w:b w:val="0"/>
          <w:sz w:val="24"/>
          <w:szCs w:val="24"/>
        </w:rPr>
        <w:t> </w:t>
      </w:r>
      <w:r w:rsidR="00811098" w:rsidRPr="005F63E7">
        <w:rPr>
          <w:b w:val="0"/>
          <w:sz w:val="24"/>
          <w:szCs w:val="24"/>
        </w:rPr>
        <w:t>K</w:t>
      </w:r>
      <w:r w:rsidR="00811098" w:rsidRPr="00AF4D35">
        <w:rPr>
          <w:b w:val="0"/>
          <w:sz w:val="24"/>
          <w:szCs w:val="24"/>
        </w:rPr>
        <w:t>oordinācijas institūcija</w:t>
      </w:r>
      <w:r w:rsidR="00811098">
        <w:rPr>
          <w:b w:val="0"/>
          <w:sz w:val="24"/>
          <w:szCs w:val="24"/>
        </w:rPr>
        <w:t xml:space="preserve"> pēc iepazīšanās ar kapitālsabiedrības darbības rezultātu pārskatā iekļauto informāciju </w:t>
      </w:r>
      <w:r w:rsidR="00D27A26">
        <w:rPr>
          <w:b w:val="0"/>
          <w:sz w:val="24"/>
          <w:szCs w:val="24"/>
        </w:rPr>
        <w:t xml:space="preserve">un </w:t>
      </w:r>
      <w:r w:rsidR="00811098">
        <w:rPr>
          <w:b w:val="0"/>
          <w:sz w:val="24"/>
          <w:szCs w:val="24"/>
        </w:rPr>
        <w:t xml:space="preserve">tam pievienoto padomes un kapitāldaļu turētāja vērtējumu par kapitālsabiedrības darbības rezultātiem sniedz </w:t>
      </w:r>
      <w:r w:rsidR="00811098" w:rsidRPr="00D87178">
        <w:rPr>
          <w:b w:val="0"/>
          <w:sz w:val="24"/>
          <w:szCs w:val="24"/>
        </w:rPr>
        <w:t>savu vērtējumu par finanšu mērķu izpildi.</w:t>
      </w:r>
    </w:p>
    <w:p w14:paraId="1CD5F6B8" w14:textId="77777777" w:rsidR="00021217" w:rsidRDefault="00021217" w:rsidP="008B15C5">
      <w:pPr>
        <w:pStyle w:val="Heading1"/>
        <w:numPr>
          <w:ilvl w:val="0"/>
          <w:numId w:val="0"/>
        </w:numPr>
        <w:spacing w:before="0" w:beforeAutospacing="0" w:after="0" w:afterAutospacing="0"/>
        <w:ind w:left="4685" w:hanging="432"/>
        <w:jc w:val="both"/>
        <w:rPr>
          <w:b w:val="0"/>
          <w:sz w:val="24"/>
          <w:szCs w:val="24"/>
        </w:rPr>
      </w:pPr>
    </w:p>
    <w:p w14:paraId="1A94CE9D" w14:textId="44833BB3" w:rsidR="00811098" w:rsidRDefault="008B15C5" w:rsidP="008B19B5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</w:t>
      </w:r>
      <w:r w:rsidR="00811098">
        <w:rPr>
          <w:b w:val="0"/>
          <w:sz w:val="24"/>
          <w:szCs w:val="24"/>
        </w:rPr>
        <w:t>.</w:t>
      </w:r>
      <w:r w:rsidR="00AB34ED">
        <w:rPr>
          <w:b w:val="0"/>
          <w:sz w:val="24"/>
          <w:szCs w:val="24"/>
        </w:rPr>
        <w:t> </w:t>
      </w:r>
      <w:r w:rsidR="00811098">
        <w:rPr>
          <w:b w:val="0"/>
          <w:sz w:val="24"/>
          <w:szCs w:val="24"/>
        </w:rPr>
        <w:t xml:space="preserve">Koordinācijas institūcija novērtē kapitālsabiedrības finanšu mērķu rezultatīvos rādītājus </w:t>
      </w:r>
      <w:r w:rsidR="00D27A26">
        <w:rPr>
          <w:b w:val="0"/>
          <w:sz w:val="24"/>
          <w:szCs w:val="24"/>
        </w:rPr>
        <w:t>salīdzinājumā ar</w:t>
      </w:r>
      <w:r w:rsidR="00811098">
        <w:rPr>
          <w:b w:val="0"/>
          <w:sz w:val="24"/>
          <w:szCs w:val="24"/>
        </w:rPr>
        <w:t xml:space="preserve"> </w:t>
      </w:r>
      <w:r w:rsidR="00D841D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vidēja termiņa darbības </w:t>
      </w:r>
      <w:r w:rsidR="00811098">
        <w:rPr>
          <w:b w:val="0"/>
          <w:sz w:val="24"/>
          <w:szCs w:val="24"/>
        </w:rPr>
        <w:t xml:space="preserve">stratēģijā plānotajiem rezultatīvajiem rādītājiem atbilstoši </w:t>
      </w:r>
      <w:r w:rsidR="00D27A26">
        <w:rPr>
          <w:b w:val="0"/>
          <w:sz w:val="24"/>
          <w:szCs w:val="24"/>
        </w:rPr>
        <w:t>v</w:t>
      </w:r>
      <w:r w:rsidR="00811098">
        <w:rPr>
          <w:b w:val="0"/>
          <w:sz w:val="24"/>
          <w:szCs w:val="24"/>
        </w:rPr>
        <w:t>ērtēšanas noteikum</w:t>
      </w:r>
      <w:r w:rsidR="00D27A26">
        <w:rPr>
          <w:b w:val="0"/>
          <w:sz w:val="24"/>
          <w:szCs w:val="24"/>
        </w:rPr>
        <w:t>u</w:t>
      </w:r>
      <w:r w:rsidR="00811098">
        <w:rPr>
          <w:b w:val="0"/>
          <w:sz w:val="24"/>
          <w:szCs w:val="24"/>
        </w:rPr>
        <w:t xml:space="preserve"> </w:t>
      </w:r>
      <w:r w:rsidR="00C7648F">
        <w:rPr>
          <w:b w:val="0"/>
          <w:sz w:val="24"/>
          <w:szCs w:val="24"/>
        </w:rPr>
        <w:t xml:space="preserve">9.punkta nosacījumiem </w:t>
      </w:r>
      <w:r w:rsidR="00811098">
        <w:rPr>
          <w:b w:val="0"/>
          <w:sz w:val="24"/>
          <w:szCs w:val="24"/>
        </w:rPr>
        <w:t xml:space="preserve">un </w:t>
      </w:r>
      <w:r w:rsidR="00C7648F">
        <w:rPr>
          <w:b w:val="0"/>
          <w:sz w:val="24"/>
          <w:szCs w:val="24"/>
        </w:rPr>
        <w:t xml:space="preserve">sniedz vērtējumu par </w:t>
      </w:r>
      <w:r w:rsidR="004A622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kapitālsabiedrības </w:t>
      </w:r>
      <w:r w:rsidR="00D841D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vidēja termiņa darbības </w:t>
      </w:r>
      <w:r w:rsidR="004A622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stratēģijā noteikto</w:t>
      </w:r>
      <w:r w:rsidR="00C7648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finanšu mērķu sasniegšanu iepriekšējā gadā</w:t>
      </w:r>
      <w:r w:rsidR="00D27A26">
        <w:rPr>
          <w:b w:val="0"/>
          <w:sz w:val="24"/>
          <w:szCs w:val="24"/>
        </w:rPr>
        <w:t>, piešķirot</w:t>
      </w:r>
      <w:r w:rsidR="00811098">
        <w:rPr>
          <w:b w:val="0"/>
          <w:sz w:val="24"/>
          <w:szCs w:val="24"/>
        </w:rPr>
        <w:t xml:space="preserve"> </w:t>
      </w:r>
      <w:r w:rsidR="00D27A26">
        <w:rPr>
          <w:b w:val="0"/>
          <w:sz w:val="24"/>
          <w:szCs w:val="24"/>
        </w:rPr>
        <w:t>vienu no vērtējumiem</w:t>
      </w:r>
      <w:r w:rsidR="00C7648F">
        <w:rPr>
          <w:b w:val="0"/>
          <w:sz w:val="24"/>
          <w:szCs w:val="24"/>
        </w:rPr>
        <w:t>, atbilstoši vērtēšanas noteikumu 9.punktam</w:t>
      </w:r>
      <w:r w:rsidR="00811098">
        <w:rPr>
          <w:b w:val="0"/>
          <w:sz w:val="24"/>
          <w:szCs w:val="24"/>
        </w:rPr>
        <w:t xml:space="preserve">.  </w:t>
      </w:r>
    </w:p>
    <w:p w14:paraId="59C72B7C" w14:textId="77777777" w:rsidR="0003417A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14:paraId="48DC14B4" w14:textId="79961B44" w:rsidR="00811098" w:rsidRDefault="008B15C5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="00811098">
        <w:rPr>
          <w:b w:val="0"/>
          <w:sz w:val="24"/>
          <w:szCs w:val="24"/>
        </w:rPr>
        <w:t>.</w:t>
      </w:r>
      <w:r w:rsidR="00AB34ED">
        <w:rPr>
          <w:b w:val="0"/>
          <w:sz w:val="24"/>
          <w:szCs w:val="24"/>
        </w:rPr>
        <w:t> </w:t>
      </w:r>
      <w:r w:rsidR="00D3440E" w:rsidRPr="00D3440E">
        <w:rPr>
          <w:b w:val="0"/>
          <w:sz w:val="24"/>
          <w:szCs w:val="24"/>
        </w:rPr>
        <w:t>Koordinācijas institūcija, atbilstoši vērtēšanas noteikumu 7.punktā noteiktajam, atzinumu sniedz, sagatavojot vērtējumu šādā secībā:</w:t>
      </w:r>
      <w:r w:rsidR="00811098">
        <w:rPr>
          <w:b w:val="0"/>
          <w:sz w:val="24"/>
          <w:szCs w:val="24"/>
        </w:rPr>
        <w:t xml:space="preserve">: </w:t>
      </w:r>
    </w:p>
    <w:p w14:paraId="3E13235E" w14:textId="0EA0E65C" w:rsidR="00811098" w:rsidRDefault="008B15C5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="00811098">
        <w:rPr>
          <w:b w:val="0"/>
          <w:sz w:val="24"/>
          <w:szCs w:val="24"/>
        </w:rPr>
        <w:t>.1.</w:t>
      </w:r>
      <w:r w:rsidR="00AB34ED">
        <w:rPr>
          <w:b w:val="0"/>
          <w:sz w:val="24"/>
          <w:szCs w:val="24"/>
        </w:rPr>
        <w:t> </w:t>
      </w:r>
      <w:r w:rsidR="00D27A26">
        <w:rPr>
          <w:b w:val="0"/>
          <w:sz w:val="24"/>
          <w:szCs w:val="24"/>
        </w:rPr>
        <w:t>k</w:t>
      </w:r>
      <w:r w:rsidR="00811098">
        <w:rPr>
          <w:b w:val="0"/>
          <w:sz w:val="24"/>
          <w:szCs w:val="24"/>
        </w:rPr>
        <w:t xml:space="preserve">oordinācijas institūcija salīdzina </w:t>
      </w:r>
      <w:r w:rsidR="00D841D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vidēja termiņa darbības </w:t>
      </w:r>
      <w:r w:rsidR="00811098">
        <w:rPr>
          <w:b w:val="0"/>
          <w:sz w:val="24"/>
          <w:szCs w:val="24"/>
        </w:rPr>
        <w:t>stratēģijā pārskata gadā plānotos rezultātus ar faktisko izpildi;</w:t>
      </w:r>
    </w:p>
    <w:p w14:paraId="7F40AF27" w14:textId="4DB2050D" w:rsidR="00811098" w:rsidRDefault="008B15C5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="00811098">
        <w:rPr>
          <w:b w:val="0"/>
          <w:sz w:val="24"/>
          <w:szCs w:val="24"/>
        </w:rPr>
        <w:t>.2.</w:t>
      </w:r>
      <w:r w:rsidR="00AB34ED">
        <w:rPr>
          <w:b w:val="0"/>
          <w:sz w:val="24"/>
          <w:szCs w:val="24"/>
        </w:rPr>
        <w:t> </w:t>
      </w:r>
      <w:r w:rsidR="00D27A26">
        <w:rPr>
          <w:b w:val="0"/>
          <w:sz w:val="24"/>
          <w:szCs w:val="24"/>
        </w:rPr>
        <w:t>k</w:t>
      </w:r>
      <w:r w:rsidR="00811098">
        <w:rPr>
          <w:b w:val="0"/>
          <w:sz w:val="24"/>
          <w:szCs w:val="24"/>
        </w:rPr>
        <w:t>oordinācijas institūcija pārbauda</w:t>
      </w:r>
      <w:r w:rsidR="00D27A26">
        <w:rPr>
          <w:b w:val="0"/>
          <w:sz w:val="24"/>
          <w:szCs w:val="24"/>
        </w:rPr>
        <w:t>,</w:t>
      </w:r>
      <w:r w:rsidR="00811098">
        <w:rPr>
          <w:b w:val="0"/>
          <w:sz w:val="24"/>
          <w:szCs w:val="24"/>
        </w:rPr>
        <w:t xml:space="preserve"> vai novirzes, ja tādas ir, uzskatāmas par būtiskām</w:t>
      </w:r>
      <w:r w:rsidR="00D27A26">
        <w:rPr>
          <w:b w:val="0"/>
          <w:sz w:val="24"/>
          <w:szCs w:val="24"/>
        </w:rPr>
        <w:t>;</w:t>
      </w:r>
    </w:p>
    <w:p w14:paraId="6F8C5B7C" w14:textId="4178B550" w:rsidR="00811098" w:rsidRDefault="008B15C5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="00811098">
        <w:rPr>
          <w:b w:val="0"/>
          <w:sz w:val="24"/>
          <w:szCs w:val="24"/>
        </w:rPr>
        <w:t>.3.</w:t>
      </w:r>
      <w:r w:rsidR="00AB34ED">
        <w:rPr>
          <w:b w:val="0"/>
          <w:sz w:val="24"/>
          <w:szCs w:val="24"/>
        </w:rPr>
        <w:t> </w:t>
      </w:r>
      <w:r w:rsidR="00D27A26">
        <w:rPr>
          <w:b w:val="0"/>
          <w:sz w:val="24"/>
          <w:szCs w:val="24"/>
        </w:rPr>
        <w:t>j</w:t>
      </w:r>
      <w:r w:rsidR="00811098">
        <w:rPr>
          <w:b w:val="0"/>
          <w:sz w:val="24"/>
          <w:szCs w:val="24"/>
        </w:rPr>
        <w:t xml:space="preserve">a novirzes no plānotā koordinācijas institūcijas ieskatā ir </w:t>
      </w:r>
      <w:r w:rsidR="004A6220">
        <w:rPr>
          <w:b w:val="0"/>
          <w:sz w:val="24"/>
          <w:szCs w:val="24"/>
        </w:rPr>
        <w:t>būtiskas</w:t>
      </w:r>
      <w:r w:rsidR="00811098">
        <w:rPr>
          <w:b w:val="0"/>
          <w:sz w:val="24"/>
          <w:szCs w:val="24"/>
        </w:rPr>
        <w:t>, koordinācijas institūcija vērtē</w:t>
      </w:r>
      <w:r w:rsidR="00D27A26">
        <w:rPr>
          <w:b w:val="0"/>
          <w:sz w:val="24"/>
          <w:szCs w:val="24"/>
        </w:rPr>
        <w:t>,</w:t>
      </w:r>
      <w:r w:rsidR="00811098">
        <w:rPr>
          <w:b w:val="0"/>
          <w:sz w:val="24"/>
          <w:szCs w:val="24"/>
        </w:rPr>
        <w:t xml:space="preserve"> vai tās rada </w:t>
      </w:r>
      <w:r w:rsidR="00811098" w:rsidRPr="00CD47B3">
        <w:rPr>
          <w:b w:val="0"/>
          <w:sz w:val="24"/>
          <w:szCs w:val="24"/>
        </w:rPr>
        <w:t>būtiskus riskus kapitālsabiedrības finanšu stabilitātei un ilgtspējīgai attīstībai</w:t>
      </w:r>
      <w:r w:rsidR="00D27A26">
        <w:rPr>
          <w:b w:val="0"/>
          <w:sz w:val="24"/>
          <w:szCs w:val="24"/>
        </w:rPr>
        <w:t>;</w:t>
      </w:r>
      <w:r w:rsidR="00811098">
        <w:rPr>
          <w:b w:val="0"/>
          <w:sz w:val="24"/>
          <w:szCs w:val="24"/>
        </w:rPr>
        <w:t xml:space="preserve"> </w:t>
      </w:r>
    </w:p>
    <w:p w14:paraId="769E88AC" w14:textId="4ED0A5FD" w:rsidR="00811098" w:rsidRDefault="008B15C5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="00811098">
        <w:rPr>
          <w:b w:val="0"/>
          <w:sz w:val="24"/>
          <w:szCs w:val="24"/>
        </w:rPr>
        <w:t>.4.</w:t>
      </w:r>
      <w:r w:rsidR="00AB34ED">
        <w:rPr>
          <w:b w:val="0"/>
          <w:sz w:val="24"/>
          <w:szCs w:val="24"/>
        </w:rPr>
        <w:t> </w:t>
      </w:r>
      <w:r w:rsidR="00D27A26">
        <w:rPr>
          <w:b w:val="0"/>
          <w:sz w:val="24"/>
          <w:szCs w:val="24"/>
        </w:rPr>
        <w:t>k</w:t>
      </w:r>
      <w:r w:rsidR="00811098">
        <w:rPr>
          <w:b w:val="0"/>
          <w:sz w:val="24"/>
          <w:szCs w:val="24"/>
        </w:rPr>
        <w:t>oordin</w:t>
      </w:r>
      <w:r w:rsidR="00D27A26">
        <w:rPr>
          <w:b w:val="0"/>
          <w:sz w:val="24"/>
          <w:szCs w:val="24"/>
        </w:rPr>
        <w:t>ā</w:t>
      </w:r>
      <w:r w:rsidR="00811098">
        <w:rPr>
          <w:b w:val="0"/>
          <w:sz w:val="24"/>
          <w:szCs w:val="24"/>
        </w:rPr>
        <w:t>cijas institūcija iepazīstas ar kapitālsabiedrības sniegto skaidrojumu par noviržu cēloņiem, kā arī ar padomes un/vai kapitāldaļu turētāja vērtējumā iekļauto viedokli pa</w:t>
      </w:r>
      <w:r w:rsidR="00D27A26">
        <w:rPr>
          <w:b w:val="0"/>
          <w:sz w:val="24"/>
          <w:szCs w:val="24"/>
        </w:rPr>
        <w:t>r</w:t>
      </w:r>
      <w:r w:rsidR="00811098">
        <w:rPr>
          <w:b w:val="0"/>
          <w:sz w:val="24"/>
          <w:szCs w:val="24"/>
        </w:rPr>
        <w:t xml:space="preserve"> būtisko noviržu rašanās iemesliem</w:t>
      </w:r>
      <w:r w:rsidR="00D27A26">
        <w:rPr>
          <w:b w:val="0"/>
          <w:sz w:val="24"/>
          <w:szCs w:val="24"/>
        </w:rPr>
        <w:t>;</w:t>
      </w:r>
      <w:r w:rsidR="00811098">
        <w:rPr>
          <w:b w:val="0"/>
          <w:sz w:val="24"/>
          <w:szCs w:val="24"/>
        </w:rPr>
        <w:t xml:space="preserve"> </w:t>
      </w:r>
    </w:p>
    <w:p w14:paraId="3AEE2C97" w14:textId="357CB247" w:rsidR="00811098" w:rsidRDefault="008B15C5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="00811098">
        <w:rPr>
          <w:b w:val="0"/>
          <w:sz w:val="24"/>
          <w:szCs w:val="24"/>
        </w:rPr>
        <w:t>.5.</w:t>
      </w:r>
      <w:r w:rsidR="00AB34ED">
        <w:rPr>
          <w:b w:val="0"/>
          <w:sz w:val="24"/>
          <w:szCs w:val="24"/>
        </w:rPr>
        <w:t> </w:t>
      </w:r>
      <w:r w:rsidR="00D27A26">
        <w:rPr>
          <w:b w:val="0"/>
          <w:sz w:val="24"/>
          <w:szCs w:val="24"/>
        </w:rPr>
        <w:t>j</w:t>
      </w:r>
      <w:r w:rsidR="00811098">
        <w:rPr>
          <w:b w:val="0"/>
          <w:sz w:val="24"/>
          <w:szCs w:val="24"/>
        </w:rPr>
        <w:t xml:space="preserve">a </w:t>
      </w:r>
      <w:r w:rsidR="004A6220">
        <w:rPr>
          <w:b w:val="0"/>
          <w:sz w:val="24"/>
          <w:szCs w:val="24"/>
        </w:rPr>
        <w:t xml:space="preserve">konstatētas būtiskas novirzes </w:t>
      </w:r>
      <w:r w:rsidR="00811098">
        <w:rPr>
          <w:b w:val="0"/>
          <w:sz w:val="24"/>
          <w:szCs w:val="24"/>
        </w:rPr>
        <w:t xml:space="preserve">un skaidrojumā sniegtie noviržu iemesli nav uzskatāmi par objektīviem apstākļiem vai skaidrojums netiek sniegts vispār, </w:t>
      </w:r>
      <w:r w:rsidR="004A6220">
        <w:rPr>
          <w:b w:val="0"/>
          <w:sz w:val="24"/>
          <w:szCs w:val="24"/>
        </w:rPr>
        <w:t xml:space="preserve">koordinācijas institūcija </w:t>
      </w:r>
      <w:r w:rsidR="00811098">
        <w:rPr>
          <w:b w:val="0"/>
          <w:sz w:val="24"/>
          <w:szCs w:val="24"/>
        </w:rPr>
        <w:t xml:space="preserve">atzinumā var iekļaut ierosinājumu </w:t>
      </w:r>
      <w:r w:rsidR="00482AFC">
        <w:rPr>
          <w:b w:val="0"/>
          <w:sz w:val="24"/>
          <w:szCs w:val="24"/>
        </w:rPr>
        <w:t xml:space="preserve">kapitāla daļu turētāja pārstāvim </w:t>
      </w:r>
      <w:r w:rsidR="00811098">
        <w:rPr>
          <w:b w:val="0"/>
          <w:sz w:val="24"/>
          <w:szCs w:val="24"/>
        </w:rPr>
        <w:t>kapitālsabiedrībā veikt auditu attiecīgajā jautājumā</w:t>
      </w:r>
      <w:r w:rsidR="00D27A26">
        <w:rPr>
          <w:b w:val="0"/>
          <w:sz w:val="24"/>
          <w:szCs w:val="24"/>
        </w:rPr>
        <w:t>;</w:t>
      </w:r>
    </w:p>
    <w:p w14:paraId="5E316B4E" w14:textId="0BD01FB1" w:rsidR="0003417A" w:rsidRDefault="008B15C5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="00811098">
        <w:rPr>
          <w:b w:val="0"/>
          <w:sz w:val="24"/>
          <w:szCs w:val="24"/>
        </w:rPr>
        <w:t>.6.</w:t>
      </w:r>
      <w:r w:rsidR="00AB34ED">
        <w:rPr>
          <w:b w:val="0"/>
          <w:sz w:val="24"/>
          <w:szCs w:val="24"/>
        </w:rPr>
        <w:t> </w:t>
      </w:r>
      <w:r w:rsidR="00D27A26">
        <w:rPr>
          <w:b w:val="0"/>
          <w:sz w:val="24"/>
          <w:szCs w:val="24"/>
        </w:rPr>
        <w:t>j</w:t>
      </w:r>
      <w:r w:rsidR="00811098">
        <w:rPr>
          <w:b w:val="0"/>
          <w:sz w:val="24"/>
          <w:szCs w:val="24"/>
        </w:rPr>
        <w:t xml:space="preserve">a koordinācijas institūcijas ieskatā </w:t>
      </w:r>
      <w:r w:rsidR="008E6F19">
        <w:rPr>
          <w:b w:val="0"/>
          <w:sz w:val="24"/>
          <w:szCs w:val="24"/>
        </w:rPr>
        <w:t xml:space="preserve">novirzes </w:t>
      </w:r>
      <w:r w:rsidR="00811098">
        <w:rPr>
          <w:b w:val="0"/>
          <w:sz w:val="24"/>
          <w:szCs w:val="24"/>
        </w:rPr>
        <w:t>vērtējamas kā būtisk</w:t>
      </w:r>
      <w:r w:rsidR="008E6F19">
        <w:rPr>
          <w:b w:val="0"/>
          <w:sz w:val="24"/>
          <w:szCs w:val="24"/>
        </w:rPr>
        <w:t>a</w:t>
      </w:r>
      <w:r w:rsidR="00811098">
        <w:rPr>
          <w:b w:val="0"/>
          <w:sz w:val="24"/>
          <w:szCs w:val="24"/>
        </w:rPr>
        <w:t xml:space="preserve">s un tās rada </w:t>
      </w:r>
      <w:r w:rsidR="00811098" w:rsidRPr="00262754">
        <w:rPr>
          <w:b w:val="0"/>
          <w:sz w:val="24"/>
          <w:szCs w:val="24"/>
        </w:rPr>
        <w:t>būtiskus riskus kapitālsabiedrības finanšu stabilit</w:t>
      </w:r>
      <w:r w:rsidR="00811098">
        <w:rPr>
          <w:b w:val="0"/>
          <w:sz w:val="24"/>
          <w:szCs w:val="24"/>
        </w:rPr>
        <w:t>ātei un ilgtspējīgai attīstībai, koordin</w:t>
      </w:r>
      <w:r w:rsidR="00D27A26">
        <w:rPr>
          <w:b w:val="0"/>
          <w:sz w:val="24"/>
          <w:szCs w:val="24"/>
        </w:rPr>
        <w:t>ā</w:t>
      </w:r>
      <w:r w:rsidR="00811098">
        <w:rPr>
          <w:b w:val="0"/>
          <w:sz w:val="24"/>
          <w:szCs w:val="24"/>
        </w:rPr>
        <w:t>cijas institūcija neatkarīgi no tā</w:t>
      </w:r>
      <w:r w:rsidR="00D27A26">
        <w:rPr>
          <w:b w:val="0"/>
          <w:sz w:val="24"/>
          <w:szCs w:val="24"/>
        </w:rPr>
        <w:t>,</w:t>
      </w:r>
      <w:r w:rsidR="00811098">
        <w:rPr>
          <w:b w:val="0"/>
          <w:sz w:val="24"/>
          <w:szCs w:val="24"/>
        </w:rPr>
        <w:t xml:space="preserve"> vai noviržu skaidrojumā sniegtie iemesli atzīstami par objektīviem vai </w:t>
      </w:r>
      <w:r w:rsidR="008E6F19">
        <w:rPr>
          <w:b w:val="0"/>
          <w:sz w:val="24"/>
          <w:szCs w:val="24"/>
        </w:rPr>
        <w:t xml:space="preserve">par tādiem </w:t>
      </w:r>
      <w:r w:rsidR="00811098">
        <w:rPr>
          <w:b w:val="0"/>
          <w:sz w:val="24"/>
          <w:szCs w:val="24"/>
        </w:rPr>
        <w:t>nav atzīstami, atzinumā iekļauj ierosinājumu par audita veikšanu kapitālsabiedrībā</w:t>
      </w:r>
      <w:r w:rsidR="00F24576">
        <w:rPr>
          <w:b w:val="0"/>
          <w:sz w:val="24"/>
          <w:szCs w:val="24"/>
        </w:rPr>
        <w:t>.</w:t>
      </w:r>
      <w:r w:rsidR="00811098">
        <w:rPr>
          <w:b w:val="0"/>
          <w:sz w:val="24"/>
          <w:szCs w:val="24"/>
        </w:rPr>
        <w:t xml:space="preserve"> </w:t>
      </w:r>
    </w:p>
    <w:p w14:paraId="28EE6FFF" w14:textId="77777777" w:rsidR="0062575A" w:rsidRDefault="0062575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14:paraId="5E4B4940" w14:textId="4A5C913B" w:rsidR="00811098" w:rsidRDefault="008B15C5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</w:t>
      </w:r>
      <w:r w:rsidR="00482AFC" w:rsidRPr="00D27A26">
        <w:rPr>
          <w:b w:val="0"/>
          <w:sz w:val="24"/>
          <w:szCs w:val="24"/>
        </w:rPr>
        <w:t>.</w:t>
      </w:r>
      <w:r w:rsidR="00D27A26">
        <w:rPr>
          <w:b w:val="0"/>
          <w:sz w:val="24"/>
          <w:szCs w:val="24"/>
        </w:rPr>
        <w:t> </w:t>
      </w:r>
      <w:r w:rsidR="00811098" w:rsidRPr="00D27A26">
        <w:rPr>
          <w:b w:val="0"/>
          <w:sz w:val="24"/>
          <w:szCs w:val="24"/>
        </w:rPr>
        <w:t>Nozares ministrija</w:t>
      </w:r>
      <w:r w:rsidR="0062575A">
        <w:rPr>
          <w:b w:val="0"/>
          <w:sz w:val="24"/>
          <w:szCs w:val="24"/>
        </w:rPr>
        <w:t xml:space="preserve"> </w:t>
      </w:r>
      <w:r w:rsidR="00811098" w:rsidRPr="00262754">
        <w:rPr>
          <w:b w:val="0"/>
          <w:sz w:val="24"/>
          <w:szCs w:val="24"/>
        </w:rPr>
        <w:t>pēc</w:t>
      </w:r>
      <w:r w:rsidR="00811098">
        <w:rPr>
          <w:sz w:val="24"/>
          <w:szCs w:val="24"/>
        </w:rPr>
        <w:t xml:space="preserve"> </w:t>
      </w:r>
      <w:r w:rsidR="00811098" w:rsidRPr="00262754">
        <w:rPr>
          <w:b w:val="0"/>
          <w:sz w:val="24"/>
          <w:szCs w:val="24"/>
        </w:rPr>
        <w:t>iepazīšanās ar kapitālsabiedrības darbības rezultātu pārskatā iekļauto informāciju</w:t>
      </w:r>
      <w:r w:rsidR="008E6F19">
        <w:rPr>
          <w:b w:val="0"/>
          <w:sz w:val="24"/>
          <w:szCs w:val="24"/>
        </w:rPr>
        <w:t xml:space="preserve"> un</w:t>
      </w:r>
      <w:r w:rsidR="00811098" w:rsidRPr="00262754">
        <w:rPr>
          <w:b w:val="0"/>
          <w:sz w:val="24"/>
          <w:szCs w:val="24"/>
        </w:rPr>
        <w:t xml:space="preserve"> tam pievienoto padomes un kapitāldaļu turētāja vērtējumu par kapitālsabiedrības darbības rezultātiem sniedz savu vērtējumu par </w:t>
      </w:r>
      <w:r w:rsidR="00811098">
        <w:rPr>
          <w:b w:val="0"/>
          <w:sz w:val="24"/>
          <w:szCs w:val="24"/>
        </w:rPr>
        <w:t>ne</w:t>
      </w:r>
      <w:r w:rsidR="00811098" w:rsidRPr="00262754">
        <w:rPr>
          <w:b w:val="0"/>
          <w:sz w:val="24"/>
          <w:szCs w:val="24"/>
        </w:rPr>
        <w:t>finanšu mērķu izpildi</w:t>
      </w:r>
      <w:r w:rsidR="008F3AB7">
        <w:rPr>
          <w:b w:val="0"/>
          <w:sz w:val="24"/>
          <w:szCs w:val="24"/>
        </w:rPr>
        <w:t>, kuri var būt izteikti gan skaitliskās vērtībās, gan konkrētas darbības izpildes vai neizpildes fakta līmenī</w:t>
      </w:r>
      <w:r w:rsidR="00811098" w:rsidRPr="00262754">
        <w:rPr>
          <w:b w:val="0"/>
          <w:sz w:val="24"/>
          <w:szCs w:val="24"/>
        </w:rPr>
        <w:t>.</w:t>
      </w:r>
      <w:r w:rsidR="00811098">
        <w:rPr>
          <w:b w:val="0"/>
          <w:sz w:val="24"/>
          <w:szCs w:val="24"/>
        </w:rPr>
        <w:t xml:space="preserve"> </w:t>
      </w:r>
    </w:p>
    <w:p w14:paraId="59F703C4" w14:textId="77777777" w:rsidR="008B15C5" w:rsidRDefault="008B15C5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14:paraId="4695D604" w14:textId="72BD43A5" w:rsidR="008912D1" w:rsidRDefault="008B15C5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</w:t>
      </w:r>
      <w:r w:rsidR="008912D1">
        <w:rPr>
          <w:b w:val="0"/>
          <w:sz w:val="24"/>
          <w:szCs w:val="24"/>
        </w:rPr>
        <w:t>.</w:t>
      </w:r>
      <w:r w:rsidR="007531AE">
        <w:rPr>
          <w:b w:val="0"/>
          <w:sz w:val="24"/>
          <w:szCs w:val="24"/>
        </w:rPr>
        <w:t xml:space="preserve"> </w:t>
      </w:r>
      <w:r w:rsidR="008912D1">
        <w:rPr>
          <w:b w:val="0"/>
          <w:sz w:val="24"/>
          <w:szCs w:val="24"/>
        </w:rPr>
        <w:t xml:space="preserve">Ja nozares ministrija ir arī kapitāla daļu turētājs, tad ministrija sniedz vienu vērtējumu, kurā iekļauj </w:t>
      </w:r>
      <w:r>
        <w:rPr>
          <w:b w:val="0"/>
          <w:sz w:val="24"/>
          <w:szCs w:val="24"/>
        </w:rPr>
        <w:t>informāciju gan par finanšu mērķu, gan</w:t>
      </w:r>
      <w:r w:rsidR="008912D1">
        <w:rPr>
          <w:b w:val="0"/>
          <w:sz w:val="24"/>
          <w:szCs w:val="24"/>
        </w:rPr>
        <w:t xml:space="preserve"> par nefinanšu mērķu rezultatīvo rādītāju izpildi.</w:t>
      </w:r>
      <w:r>
        <w:rPr>
          <w:b w:val="0"/>
          <w:sz w:val="24"/>
          <w:szCs w:val="24"/>
        </w:rPr>
        <w:t xml:space="preserve"> </w:t>
      </w:r>
      <w:r w:rsidR="008912D1">
        <w:rPr>
          <w:b w:val="0"/>
          <w:sz w:val="24"/>
          <w:szCs w:val="24"/>
        </w:rPr>
        <w:t xml:space="preserve">Lai novērtētu kapitālsabiedrības </w:t>
      </w:r>
      <w:r>
        <w:rPr>
          <w:b w:val="0"/>
          <w:sz w:val="24"/>
          <w:szCs w:val="24"/>
        </w:rPr>
        <w:t xml:space="preserve">finanšu mērķu un </w:t>
      </w:r>
      <w:r w:rsidR="008912D1">
        <w:rPr>
          <w:b w:val="0"/>
          <w:sz w:val="24"/>
          <w:szCs w:val="24"/>
        </w:rPr>
        <w:t xml:space="preserve">nefinanšu </w:t>
      </w:r>
      <w:r w:rsidR="006D6333">
        <w:rPr>
          <w:b w:val="0"/>
          <w:sz w:val="24"/>
          <w:szCs w:val="24"/>
        </w:rPr>
        <w:t>mērķu rezultatīvo rādītāju izpildi, attiecīgās ministrijas valsts sekretārs iesaista tās ministrijas struktūrvienības, kuru kompetencē ietilpst</w:t>
      </w:r>
      <w:r>
        <w:rPr>
          <w:b w:val="0"/>
          <w:sz w:val="24"/>
          <w:szCs w:val="24"/>
        </w:rPr>
        <w:t xml:space="preserve"> attiecīgie</w:t>
      </w:r>
      <w:r w:rsidR="006D6333">
        <w:rPr>
          <w:b w:val="0"/>
          <w:sz w:val="24"/>
          <w:szCs w:val="24"/>
        </w:rPr>
        <w:t xml:space="preserve"> jautājumi. </w:t>
      </w:r>
    </w:p>
    <w:p w14:paraId="7D402826" w14:textId="77777777" w:rsidR="00D27689" w:rsidRDefault="00D27689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14:paraId="01639155" w14:textId="3852F6D4" w:rsidR="00811098" w:rsidRDefault="00811098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21.</w:t>
      </w:r>
      <w:r w:rsidR="00644C70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Nozares ministrija </w:t>
      </w:r>
      <w:r w:rsidRPr="00461290">
        <w:rPr>
          <w:b w:val="0"/>
          <w:sz w:val="24"/>
          <w:szCs w:val="24"/>
        </w:rPr>
        <w:t xml:space="preserve">novērtē kapitālsabiedrības </w:t>
      </w:r>
      <w:r w:rsidR="006A7F0E">
        <w:rPr>
          <w:b w:val="0"/>
          <w:sz w:val="24"/>
          <w:szCs w:val="24"/>
        </w:rPr>
        <w:t>ne</w:t>
      </w:r>
      <w:r w:rsidRPr="00461290">
        <w:rPr>
          <w:b w:val="0"/>
          <w:sz w:val="24"/>
          <w:szCs w:val="24"/>
        </w:rPr>
        <w:t xml:space="preserve">finanšu mērķu rezultatīvos rādītājus </w:t>
      </w:r>
      <w:r w:rsidR="00644C70">
        <w:rPr>
          <w:b w:val="0"/>
          <w:sz w:val="24"/>
          <w:szCs w:val="24"/>
        </w:rPr>
        <w:t>salīdzinājumā ar</w:t>
      </w:r>
      <w:r w:rsidRPr="00461290">
        <w:rPr>
          <w:b w:val="0"/>
          <w:sz w:val="24"/>
          <w:szCs w:val="24"/>
        </w:rPr>
        <w:t xml:space="preserve"> </w:t>
      </w:r>
      <w:r w:rsidR="00D841D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vidēja termiņa darbības </w:t>
      </w:r>
      <w:r w:rsidRPr="00461290">
        <w:rPr>
          <w:b w:val="0"/>
          <w:sz w:val="24"/>
          <w:szCs w:val="24"/>
        </w:rPr>
        <w:t xml:space="preserve">stratēģijā plānotajiem rezultatīvajiem rādītājiem atbilstoši </w:t>
      </w:r>
      <w:r w:rsidR="00644C70">
        <w:rPr>
          <w:b w:val="0"/>
          <w:sz w:val="24"/>
          <w:szCs w:val="24"/>
        </w:rPr>
        <w:t>v</w:t>
      </w:r>
      <w:r>
        <w:rPr>
          <w:b w:val="0"/>
          <w:sz w:val="24"/>
          <w:szCs w:val="24"/>
        </w:rPr>
        <w:t>ērtēšanas</w:t>
      </w:r>
      <w:r w:rsidRPr="00461290">
        <w:rPr>
          <w:b w:val="0"/>
          <w:sz w:val="24"/>
          <w:szCs w:val="24"/>
        </w:rPr>
        <w:t xml:space="preserve"> noteikum</w:t>
      </w:r>
      <w:r w:rsidR="00644C70">
        <w:rPr>
          <w:b w:val="0"/>
          <w:sz w:val="24"/>
          <w:szCs w:val="24"/>
        </w:rPr>
        <w:t xml:space="preserve">u </w:t>
      </w:r>
      <w:r w:rsidR="008F3AB7">
        <w:rPr>
          <w:b w:val="0"/>
          <w:sz w:val="24"/>
          <w:szCs w:val="24"/>
        </w:rPr>
        <w:t>9.punktam</w:t>
      </w:r>
      <w:r w:rsidR="008F3AB7" w:rsidRPr="00461290">
        <w:rPr>
          <w:b w:val="0"/>
          <w:sz w:val="24"/>
          <w:szCs w:val="24"/>
        </w:rPr>
        <w:t xml:space="preserve"> </w:t>
      </w:r>
      <w:r w:rsidRPr="00461290">
        <w:rPr>
          <w:b w:val="0"/>
          <w:sz w:val="24"/>
          <w:szCs w:val="24"/>
        </w:rPr>
        <w:t xml:space="preserve">un </w:t>
      </w:r>
      <w:r w:rsidR="00644C70">
        <w:rPr>
          <w:b w:val="0"/>
          <w:sz w:val="24"/>
          <w:szCs w:val="24"/>
        </w:rPr>
        <w:t>sniedz atbilstošu</w:t>
      </w:r>
      <w:r w:rsidRPr="00461290">
        <w:rPr>
          <w:b w:val="0"/>
          <w:sz w:val="24"/>
          <w:szCs w:val="24"/>
        </w:rPr>
        <w:t xml:space="preserve"> vērtējumu.</w:t>
      </w:r>
    </w:p>
    <w:p w14:paraId="63CB16E9" w14:textId="77777777" w:rsidR="0003417A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14:paraId="013AC8DC" w14:textId="3BDDAAD8" w:rsidR="00811098" w:rsidRDefault="00811098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</w:t>
      </w:r>
      <w:r w:rsidR="00644C70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Nozares ministrija kapitālsabiedrības darbības rezultātus</w:t>
      </w:r>
      <w:r w:rsidR="00CA20D4" w:rsidRPr="00CA20D4">
        <w:rPr>
          <w:b w:val="0"/>
          <w:sz w:val="24"/>
          <w:szCs w:val="24"/>
        </w:rPr>
        <w:t xml:space="preserve"> </w:t>
      </w:r>
      <w:r w:rsidR="00CA20D4">
        <w:rPr>
          <w:b w:val="0"/>
          <w:sz w:val="24"/>
          <w:szCs w:val="24"/>
        </w:rPr>
        <w:t>vērtē</w:t>
      </w:r>
      <w:r w:rsidR="00644C70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ievērojot </w:t>
      </w:r>
      <w:r w:rsidR="00CA20D4">
        <w:rPr>
          <w:b w:val="0"/>
          <w:sz w:val="24"/>
          <w:szCs w:val="24"/>
        </w:rPr>
        <w:t xml:space="preserve">vadlīniju </w:t>
      </w:r>
      <w:r w:rsidR="007531AE">
        <w:rPr>
          <w:b w:val="0"/>
          <w:sz w:val="24"/>
          <w:szCs w:val="24"/>
        </w:rPr>
        <w:t>18</w:t>
      </w:r>
      <w:r w:rsidR="00CA20D4">
        <w:rPr>
          <w:b w:val="0"/>
          <w:sz w:val="24"/>
          <w:szCs w:val="24"/>
        </w:rPr>
        <w:t>.</w:t>
      </w:r>
      <w:r w:rsidR="00C7648F">
        <w:rPr>
          <w:b w:val="0"/>
          <w:sz w:val="24"/>
          <w:szCs w:val="24"/>
        </w:rPr>
        <w:t>1-</w:t>
      </w:r>
      <w:r w:rsidR="007531AE">
        <w:rPr>
          <w:b w:val="0"/>
          <w:sz w:val="24"/>
          <w:szCs w:val="24"/>
        </w:rPr>
        <w:t>18</w:t>
      </w:r>
      <w:r w:rsidR="00C7648F">
        <w:rPr>
          <w:b w:val="0"/>
          <w:sz w:val="24"/>
          <w:szCs w:val="24"/>
        </w:rPr>
        <w:t>.4.</w:t>
      </w:r>
      <w:r w:rsidR="00CA20D4">
        <w:rPr>
          <w:b w:val="0"/>
          <w:sz w:val="24"/>
          <w:szCs w:val="24"/>
        </w:rPr>
        <w:t> </w:t>
      </w:r>
      <w:r w:rsidR="00C7648F">
        <w:rPr>
          <w:b w:val="0"/>
          <w:sz w:val="24"/>
          <w:szCs w:val="24"/>
        </w:rPr>
        <w:t xml:space="preserve">apakšpunktos </w:t>
      </w:r>
      <w:r w:rsidR="00CA20D4">
        <w:rPr>
          <w:b w:val="0"/>
          <w:sz w:val="24"/>
          <w:szCs w:val="24"/>
        </w:rPr>
        <w:t xml:space="preserve">minēto </w:t>
      </w:r>
      <w:r>
        <w:rPr>
          <w:b w:val="0"/>
          <w:sz w:val="24"/>
          <w:szCs w:val="24"/>
        </w:rPr>
        <w:t>darbību secību</w:t>
      </w:r>
      <w:r w:rsidR="00CA20D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6D080BB0" w14:textId="77777777" w:rsidR="008B15C5" w:rsidRDefault="008B15C5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14:paraId="5F945424" w14:textId="77777777" w:rsidR="008B15C5" w:rsidRDefault="008B15C5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14:paraId="5429C127" w14:textId="05DCFC83" w:rsidR="00811098" w:rsidRPr="00461290" w:rsidRDefault="007531AE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F85644">
        <w:rPr>
          <w:b w:val="0"/>
          <w:sz w:val="24"/>
          <w:szCs w:val="24"/>
        </w:rPr>
        <w:t>3</w:t>
      </w:r>
      <w:r w:rsidR="00811098">
        <w:rPr>
          <w:b w:val="0"/>
          <w:sz w:val="24"/>
          <w:szCs w:val="24"/>
        </w:rPr>
        <w:t>.</w:t>
      </w:r>
      <w:r w:rsidR="00644C70">
        <w:rPr>
          <w:b w:val="0"/>
          <w:sz w:val="24"/>
          <w:szCs w:val="24"/>
        </w:rPr>
        <w:t> </w:t>
      </w:r>
      <w:r w:rsidR="00811098">
        <w:rPr>
          <w:b w:val="0"/>
          <w:sz w:val="24"/>
          <w:szCs w:val="24"/>
        </w:rPr>
        <w:t>Pēc rezultātu izvērtēšanas nozares ministrija savā atzinumā var iekļaut šādus priekšlikumus kapitāl</w:t>
      </w:r>
      <w:r w:rsidR="00482AFC">
        <w:rPr>
          <w:b w:val="0"/>
          <w:sz w:val="24"/>
          <w:szCs w:val="24"/>
        </w:rPr>
        <w:t xml:space="preserve">a </w:t>
      </w:r>
      <w:r w:rsidR="00811098">
        <w:rPr>
          <w:b w:val="0"/>
          <w:sz w:val="24"/>
          <w:szCs w:val="24"/>
        </w:rPr>
        <w:t xml:space="preserve">daļu turētājam: </w:t>
      </w:r>
    </w:p>
    <w:p w14:paraId="60E3DDFE" w14:textId="09CFECD5" w:rsidR="00811098" w:rsidRPr="007531AE" w:rsidRDefault="007531AE" w:rsidP="0075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2</w:t>
      </w:r>
      <w:r w:rsidR="00F85644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 </w:t>
      </w:r>
      <w:r w:rsidR="00567818" w:rsidRPr="00753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pārskatīt </w:t>
      </w:r>
      <w:r w:rsidR="00C7648F" w:rsidRPr="00753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ikgadējā darbības plāna ietvaros </w:t>
      </w:r>
      <w:r w:rsidR="00567818" w:rsidRPr="00753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plānoto pasākumu </w:t>
      </w:r>
      <w:r w:rsidR="00F24576" w:rsidRPr="00753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atbilstību </w:t>
      </w:r>
      <w:r w:rsidR="00D3440E" w:rsidRPr="00753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vidēja termiņa darbības </w:t>
      </w:r>
      <w:r w:rsidR="00F24576" w:rsidRPr="00753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stratēģijā minēto </w:t>
      </w:r>
      <w:r w:rsidR="006A7F0E" w:rsidRPr="007531AE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 mērķu</w:t>
      </w:r>
      <w:r w:rsidR="00F24576" w:rsidRPr="00753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6A7F0E" w:rsidRPr="00753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67818" w:rsidRPr="007531AE">
        <w:rPr>
          <w:rFonts w:ascii="Times New Roman" w:eastAsia="Times New Roman" w:hAnsi="Times New Roman" w:cs="Times New Roman"/>
          <w:sz w:val="24"/>
          <w:szCs w:val="24"/>
          <w:lang w:eastAsia="lv-LV"/>
        </w:rPr>
        <w:t>nefinanšu mērķu sasniegšanas nodrošināšanai</w:t>
      </w:r>
      <w:r w:rsidR="00811098" w:rsidRPr="007531A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0C83789" w14:textId="4318B517" w:rsidR="00811098" w:rsidRPr="007531AE" w:rsidRDefault="00F85644" w:rsidP="00F85644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23.2</w:t>
      </w:r>
      <w:r w:rsidR="00753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1098" w:rsidRPr="00753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papildināt vai samazināt </w:t>
      </w:r>
      <w:r w:rsidR="00C7648F" w:rsidRPr="00753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ikgadējā darbības plāna ietvaros </w:t>
      </w:r>
      <w:r w:rsidR="00811098" w:rsidRPr="007531AE">
        <w:rPr>
          <w:rFonts w:ascii="Times New Roman" w:eastAsia="Times New Roman" w:hAnsi="Times New Roman" w:cs="Times New Roman"/>
          <w:sz w:val="24"/>
          <w:szCs w:val="24"/>
          <w:lang w:eastAsia="lv-LV"/>
        </w:rPr>
        <w:t>veicamo</w:t>
      </w:r>
      <w:r w:rsidR="00C7648F" w:rsidRPr="007531AE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811098" w:rsidRPr="00753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pasākumu</w:t>
      </w:r>
      <w:r w:rsidR="00C7648F" w:rsidRPr="007531AE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811098" w:rsidRPr="00753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A7F0E" w:rsidRPr="007531AE">
        <w:rPr>
          <w:rFonts w:ascii="Times New Roman" w:eastAsia="Times New Roman" w:hAnsi="Times New Roman" w:cs="Times New Roman"/>
          <w:sz w:val="24"/>
          <w:szCs w:val="24"/>
          <w:lang w:eastAsia="lv-LV"/>
        </w:rPr>
        <w:t>nefinanšu mērķu sasniegšanai</w:t>
      </w:r>
      <w:r w:rsidR="00811098" w:rsidRPr="00753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14:paraId="3C074994" w14:textId="188EEFBB" w:rsidR="00811098" w:rsidRPr="00F85644" w:rsidRDefault="00F85644" w:rsidP="00F8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23.3.</w:t>
      </w:r>
      <w:r w:rsidR="00811098" w:rsidRPr="00F85644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kvalitatīvas izmaiņas pasākumos</w:t>
      </w:r>
      <w:r w:rsidR="00C7648F" w:rsidRPr="00F85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ikgadējā darbības plāna ietvaros</w:t>
      </w:r>
      <w:r w:rsidR="00811098" w:rsidRPr="00F8564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E9E7F30" w14:textId="7556A332" w:rsidR="00811098" w:rsidRPr="00F85644" w:rsidRDefault="00F85644" w:rsidP="00F856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23.4. </w:t>
      </w:r>
      <w:r w:rsidR="00811098" w:rsidRPr="00F85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aktualizēt </w:t>
      </w:r>
      <w:r w:rsidR="00D841DD" w:rsidRPr="00F85644">
        <w:rPr>
          <w:rFonts w:ascii="Times New Roman" w:hAnsi="Times New Roman" w:cs="Times New Roman"/>
          <w:sz w:val="24"/>
          <w:szCs w:val="24"/>
        </w:rPr>
        <w:t xml:space="preserve">vidēja termiņa </w:t>
      </w:r>
      <w:r w:rsidR="00D841DD" w:rsidRPr="00F85644">
        <w:rPr>
          <w:rFonts w:ascii="Times New Roman" w:hAnsi="Times New Roman" w:cs="Times New Roman"/>
          <w:bCs/>
          <w:sz w:val="24"/>
          <w:szCs w:val="24"/>
        </w:rPr>
        <w:t>darbības</w:t>
      </w:r>
      <w:r w:rsidR="00D841DD" w:rsidRPr="00F85644">
        <w:rPr>
          <w:b/>
          <w:bCs/>
          <w:sz w:val="24"/>
          <w:szCs w:val="24"/>
        </w:rPr>
        <w:t xml:space="preserve"> </w:t>
      </w:r>
      <w:r w:rsidR="00811098" w:rsidRPr="00F85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stratēģiju, izdarot </w:t>
      </w:r>
      <w:r w:rsidR="00644C70" w:rsidRPr="00F85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tajā nepieciešamos </w:t>
      </w:r>
      <w:r w:rsidR="00811098" w:rsidRPr="00F85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grozījumus; </w:t>
      </w:r>
    </w:p>
    <w:p w14:paraId="21825F22" w14:textId="2CEBF35F" w:rsidR="00811098" w:rsidRPr="008B15C5" w:rsidRDefault="00F85644" w:rsidP="00F85644">
      <w:pPr>
        <w:pStyle w:val="Heading1"/>
        <w:numPr>
          <w:ilvl w:val="0"/>
          <w:numId w:val="0"/>
        </w:numPr>
        <w:spacing w:before="0" w:beforeAutospacing="0" w:after="0" w:afterAutospacing="0"/>
        <w:ind w:left="709"/>
        <w:jc w:val="both"/>
        <w:rPr>
          <w:b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23.5. </w:t>
      </w:r>
      <w:r w:rsidR="00811098">
        <w:rPr>
          <w:b w:val="0"/>
          <w:bCs w:val="0"/>
          <w:kern w:val="0"/>
          <w:sz w:val="24"/>
          <w:szCs w:val="24"/>
        </w:rPr>
        <w:t>c</w:t>
      </w:r>
      <w:r w:rsidR="00811098" w:rsidRPr="00FA2125">
        <w:rPr>
          <w:b w:val="0"/>
          <w:bCs w:val="0"/>
          <w:kern w:val="0"/>
          <w:sz w:val="24"/>
          <w:szCs w:val="24"/>
        </w:rPr>
        <w:t>iti nefinanšu mērķu sa</w:t>
      </w:r>
      <w:r w:rsidR="00811098">
        <w:rPr>
          <w:b w:val="0"/>
          <w:bCs w:val="0"/>
          <w:kern w:val="0"/>
          <w:sz w:val="24"/>
          <w:szCs w:val="24"/>
        </w:rPr>
        <w:t>sniegšanu sekmējoši pasākumi vai aktivitātes</w:t>
      </w:r>
      <w:r w:rsidR="00811098" w:rsidRPr="00FA2125">
        <w:rPr>
          <w:b w:val="0"/>
          <w:bCs w:val="0"/>
          <w:kern w:val="0"/>
          <w:sz w:val="24"/>
          <w:szCs w:val="24"/>
        </w:rPr>
        <w:t>.</w:t>
      </w:r>
    </w:p>
    <w:p w14:paraId="21885739" w14:textId="77777777" w:rsidR="00021217" w:rsidRPr="004A4755" w:rsidRDefault="00021217" w:rsidP="008B15C5">
      <w:pPr>
        <w:pStyle w:val="Heading1"/>
        <w:numPr>
          <w:ilvl w:val="0"/>
          <w:numId w:val="0"/>
        </w:numPr>
        <w:spacing w:before="0" w:beforeAutospacing="0" w:after="0" w:afterAutospacing="0"/>
        <w:ind w:left="709"/>
        <w:jc w:val="both"/>
        <w:rPr>
          <w:b w:val="0"/>
          <w:sz w:val="24"/>
          <w:szCs w:val="24"/>
        </w:rPr>
      </w:pPr>
    </w:p>
    <w:p w14:paraId="0686DE35" w14:textId="77777777" w:rsidR="00811098" w:rsidRPr="0003417A" w:rsidRDefault="00811098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 w:val="0"/>
          <w:sz w:val="24"/>
          <w:szCs w:val="24"/>
          <w:highlight w:val="yellow"/>
        </w:rPr>
      </w:pPr>
    </w:p>
    <w:p w14:paraId="3D413C16" w14:textId="29399D22" w:rsidR="00F85644" w:rsidRDefault="00F85644" w:rsidP="00F85644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24. </w:t>
      </w:r>
      <w:r w:rsidRPr="0081109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Kapitāla daļu turētāja pārstāvis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pēc koordinācijas institūcijas un nozares ministrijas (ja tā nav kapitāla daļu turētājs) atzinumu saņemšanas izvērtē tos un nosaka kapitālsabiedrības darbības rezultātu gala </w:t>
      </w:r>
      <w:r w:rsidRPr="0081109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vērtējum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u, </w:t>
      </w:r>
      <w:r w:rsidRPr="0081109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atbilstoši 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v</w:t>
      </w:r>
      <w:r w:rsidRPr="0081109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ērtēšanas noteikum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u 9.punktam, un pieņem lēmumu par iespējamo turpmāko rīcību, tai skaitā, par iespējamu prēmiju izmaksu valdes locekļiem atbilstoši kapitālsabiedrības darbības rezultātiem un valdes locekļu darba individuāliem novērtējumiem.</w:t>
      </w:r>
    </w:p>
    <w:p w14:paraId="1F86DD58" w14:textId="77777777" w:rsidR="00210C8A" w:rsidRDefault="00210C8A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>
        <w:rPr>
          <w:sz w:val="24"/>
          <w:szCs w:val="24"/>
        </w:rPr>
        <w:br w:type="page"/>
      </w:r>
    </w:p>
    <w:p w14:paraId="7F074914" w14:textId="5FE114E9" w:rsidR="005A614E" w:rsidRDefault="007E355C" w:rsidP="00644C70">
      <w:pPr>
        <w:pStyle w:val="Heading1"/>
        <w:numPr>
          <w:ilvl w:val="0"/>
          <w:numId w:val="0"/>
        </w:numPr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IV</w:t>
      </w:r>
      <w:r w:rsidR="00AB34ED">
        <w:rPr>
          <w:sz w:val="24"/>
          <w:szCs w:val="24"/>
        </w:rPr>
        <w:t>. </w:t>
      </w:r>
      <w:r w:rsidR="00482AFC">
        <w:rPr>
          <w:sz w:val="24"/>
          <w:szCs w:val="24"/>
        </w:rPr>
        <w:t xml:space="preserve">Kapitālsabiedrības darbības rezultātu novērtēšanā </w:t>
      </w:r>
      <w:r w:rsidR="005A614E" w:rsidRPr="005A614E">
        <w:rPr>
          <w:sz w:val="24"/>
          <w:szCs w:val="24"/>
        </w:rPr>
        <w:t>izmantot</w:t>
      </w:r>
      <w:r w:rsidR="00C7648F">
        <w:rPr>
          <w:sz w:val="24"/>
          <w:szCs w:val="24"/>
        </w:rPr>
        <w:t>o</w:t>
      </w:r>
      <w:r w:rsidR="005A614E" w:rsidRPr="005A614E">
        <w:rPr>
          <w:sz w:val="24"/>
          <w:szCs w:val="24"/>
        </w:rPr>
        <w:t xml:space="preserve"> jēdzien</w:t>
      </w:r>
      <w:r w:rsidR="00C7648F">
        <w:rPr>
          <w:sz w:val="24"/>
          <w:szCs w:val="24"/>
        </w:rPr>
        <w:t>u skaidrojums</w:t>
      </w:r>
    </w:p>
    <w:p w14:paraId="558B7C73" w14:textId="77777777" w:rsidR="0003417A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14:paraId="63322F1A" w14:textId="224DFB0B" w:rsidR="0003417A" w:rsidRDefault="00482AFC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2</w:t>
      </w:r>
      <w:r w:rsidR="00F8564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5</w:t>
      </w:r>
      <w:r w:rsidR="005A614E" w:rsidRP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644C70" w:rsidRP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2D728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</w:t>
      </w:r>
      <w:r w:rsidR="002D728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ovirze ir uzskatāma par nebūtisku, ja svārstības starp plānotajiem rezultātiem un faktiski sasniegtajiem ir </w:t>
      </w:r>
      <w:r w:rsidR="00574B84" w:rsidRPr="00314CE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līdz </w:t>
      </w:r>
      <w:r w:rsidR="005D7AFF" w:rsidRPr="00314CE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1</w:t>
      </w:r>
      <w:r w:rsidR="005D7AF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5</w:t>
      </w:r>
      <w:r w:rsidR="005D7AFF" w:rsidRPr="00314CE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3C6051" w:rsidRPr="00314CE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% </w:t>
      </w:r>
      <w:r w:rsidR="005D7AF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no</w:t>
      </w:r>
      <w:r w:rsidR="005D7AFF" w:rsidRPr="00314CE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3C6051" w:rsidRPr="00314CE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plānotā</w:t>
      </w:r>
      <w:r w:rsidR="00C7648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</w:p>
    <w:p w14:paraId="66CBF365" w14:textId="77777777" w:rsidR="00ED19D3" w:rsidRDefault="00ED19D3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14:paraId="1745E4CB" w14:textId="24A498BC" w:rsidR="00C66699" w:rsidRPr="00644C70" w:rsidRDefault="00482AFC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2</w:t>
      </w:r>
      <w:r w:rsidR="00F8564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6</w:t>
      </w:r>
      <w:r w:rsidRP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644C70" w:rsidRP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5A614E" w:rsidRP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Būtiska</w:t>
      </w:r>
      <w:r w:rsidR="006C6EC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ir novirze</w:t>
      </w:r>
      <w:r w:rsidR="005C3269" w:rsidRP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5A614E" w:rsidRP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kas </w:t>
      </w:r>
      <w:r w:rsidR="005D7AF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pārsniedz 15% no plānotajiem rezultātiem.</w:t>
      </w:r>
      <w:r w:rsidR="0027206B" w:rsidRP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5D7AF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Būtiskas </w:t>
      </w:r>
      <w:r w:rsidR="00C7648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negatīvas </w:t>
      </w:r>
      <w:r w:rsidR="005D7AF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novirzes no plānotā var liecināt, ka kapitālsabiedrība dažādu faktoru dēļ nespēj īstenot tās </w:t>
      </w:r>
      <w:r w:rsidR="00C7648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vispārējo </w:t>
      </w:r>
      <w:r w:rsidR="005D7AF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stratēģisko mērķi.</w:t>
      </w:r>
    </w:p>
    <w:p w14:paraId="6F670C3F" w14:textId="77777777" w:rsidR="0003417A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14:paraId="5F4DB82F" w14:textId="24B6F78F" w:rsidR="00C66699" w:rsidRDefault="00482AFC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2</w:t>
      </w:r>
      <w:r w:rsidR="00F8564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7</w:t>
      </w:r>
      <w:r w:rsidR="00C6669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D11C8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Vai n</w:t>
      </w:r>
      <w:r w:rsidR="00785B9E" w:rsidRPr="00C459B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ovirze</w:t>
      </w:r>
      <w:r w:rsidR="00D11C8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5D7AF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rada būtiskus riskus kapitālsabiedrības finanšu stabilitātei un ilgtspējīgai attīstībai</w:t>
      </w:r>
      <w:r w:rsidR="00D11C8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785B9E" w:rsidRPr="00C459B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nosaka</w:t>
      </w:r>
      <w:r w:rsid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785B9E" w:rsidRPr="00C459B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izvērtējot </w:t>
      </w:r>
      <w:r w:rsidR="005D7AF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noviržu ietekmi uz </w:t>
      </w:r>
      <w:r w:rsidR="00785B9E" w:rsidRPr="00C459B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attiecīgās kapitālsabiedrības finanšu stabilitātes nodrošināšanai nepieciešam</w:t>
      </w:r>
      <w:r w:rsidR="005D7AF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ajiem</w:t>
      </w:r>
      <w:r w:rsidR="00785B9E" w:rsidRPr="00C459B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785B9E" w:rsidRP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pamatnosacījum</w:t>
      </w:r>
      <w:r w:rsidR="005D7AF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iem</w:t>
      </w:r>
      <w:r w:rsidR="00C459B1" w:rsidRPr="00C459B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5C326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5D7AF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tai skaitā</w:t>
      </w:r>
      <w:r w:rsidR="00F8564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ja iespējams,</w:t>
      </w:r>
      <w:r w:rsidR="005D7AF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tiem, </w:t>
      </w:r>
      <w:r w:rsidR="005C326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kas raksturīgi attiecīgajai nozarei vai pakalpojumu tirgum. P</w:t>
      </w:r>
      <w:r w:rsidR="00C459B1" w:rsidRPr="00C459B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iemēram</w:t>
      </w:r>
      <w:r w:rsidR="00C459B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C459B1" w:rsidRPr="00C459B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noteikta līmeņa likviditātes, rentabilitātes rādītājus, saistību īpatsvar</w:t>
      </w:r>
      <w:r w:rsidR="00D11C8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u</w:t>
      </w:r>
      <w:r w:rsidR="00C459B1" w:rsidRPr="00C459B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D11C8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(</w:t>
      </w:r>
      <w:r w:rsidR="00C459B1" w:rsidRPr="00C459B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%</w:t>
      </w:r>
      <w:r w:rsidR="00D11C8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)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pret pašu kapitālu</w:t>
      </w:r>
      <w:r w:rsidR="00C459B1" w:rsidRPr="00C459B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kā ar</w:t>
      </w:r>
      <w:r w:rsidR="00C459B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ī citus rādītājus</w:t>
      </w:r>
      <w:r w:rsidR="007D177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kas</w:t>
      </w:r>
      <w:r w:rsid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7D177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ne</w:t>
      </w:r>
      <w:r w:rsidR="00D11C8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raug</w:t>
      </w:r>
      <w:r w:rsidR="007D177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oties uz kapitālsabiedrības darbības rezultātiem pārskata gadā</w:t>
      </w:r>
      <w:r w:rsid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7D177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DE1E2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ne</w:t>
      </w:r>
      <w:r w:rsidR="007D177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atrodas pieļaujamās robežās, t</w:t>
      </w:r>
      <w:r w:rsid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ā</w:t>
      </w:r>
      <w:r w:rsidR="007D177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dēļ 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rada riskus </w:t>
      </w:r>
      <w:r w:rsidR="007D177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kapitālsabiedrības finanšu stabilitāt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e</w:t>
      </w:r>
      <w:r w:rsidR="007D177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</w:t>
      </w:r>
      <w:r w:rsidR="00C459B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. </w:t>
      </w:r>
      <w:r w:rsidR="00C459B1" w:rsidRPr="00C459B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</w:p>
    <w:p w14:paraId="439FC11C" w14:textId="77777777" w:rsidR="00746E92" w:rsidRDefault="00746E92" w:rsidP="0068407D">
      <w:pPr>
        <w:pStyle w:val="Heading1"/>
        <w:numPr>
          <w:ilvl w:val="0"/>
          <w:numId w:val="0"/>
        </w:numPr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14:paraId="62C02770" w14:textId="3CBBCB27" w:rsidR="00746E92" w:rsidRDefault="00746E92" w:rsidP="00746E92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2</w:t>
      </w:r>
      <w:r w:rsidR="00F8564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8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 </w:t>
      </w:r>
      <w:r w:rsidR="006D411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Jēdziens 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“</w:t>
      </w:r>
      <w:r w:rsidRP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ilgtspējīga attīstība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” ir saistāms ar kapitālsabiedrības attīstības nodrošināšanu atbilstoši </w:t>
      </w:r>
      <w:r w:rsidR="00D841D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vidēja termiņa darbības 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stratēģijai un nepieciešamo investīciju veikšanu, lai turpinātu kapitālsabiedrības nefinanšu mērķu īstenošanu nākotnē. Kapitālsabiedrības ilgtspējīga attīstība var tikt apdraudēta, piemēram, gadījumā, </w:t>
      </w:r>
      <w:r w:rsidR="00BD6F5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ja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kapitālsabiedrības finanšu stabilitātes nodrošināšanai</w:t>
      </w:r>
      <w:r w:rsidR="00A2786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vai dividenžu iemaksai valsts budžetā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tiek patērēts tik daudz kapitālsabiedrības resursu, ka </w:t>
      </w:r>
      <w:r w:rsidR="00A2786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kapitālsabiedrībai 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nepietiek</w:t>
      </w:r>
      <w:r w:rsidR="00A2786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resursu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lai veiktu ieguldījumus (investīcijas) kapitālsabiedrības darbībai nepieciešamajos aktīvos</w:t>
      </w:r>
      <w:r w:rsidR="009373C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vai tās apsaimniekotos valstij stratēģiski svarīgos īpašumos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kas nākotnē var novest pie pakalpojumu kvalitātes samazināšanās, vai to sniegšana vairs nav iespējama (tehnisku, tiesisku u. c. iemeslu dēļ). Ilgtspējīgā attīstībā ietilpst arī </w:t>
      </w:r>
      <w:r w:rsidR="00D841D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vidēja termiņa darbības 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stratēģijas darbības laikposms. </w:t>
      </w:r>
    </w:p>
    <w:p w14:paraId="00B5CC7B" w14:textId="77777777" w:rsidR="00C66699" w:rsidRDefault="00C66699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14:paraId="59724786" w14:textId="77777777" w:rsidR="00D11C80" w:rsidRDefault="00D11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102ECC68" w14:textId="77777777" w:rsidR="00D11C80" w:rsidRDefault="007E355C" w:rsidP="00644C70">
      <w:pPr>
        <w:pStyle w:val="Heading1"/>
        <w:numPr>
          <w:ilvl w:val="0"/>
          <w:numId w:val="0"/>
        </w:numPr>
        <w:spacing w:before="0" w:beforeAutospacing="0" w:after="0" w:afterAutospacing="0"/>
        <w:jc w:val="center"/>
        <w:rPr>
          <w:rFonts w:eastAsiaTheme="minorHAnsi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Cs w:val="0"/>
          <w:kern w:val="0"/>
          <w:sz w:val="24"/>
          <w:szCs w:val="24"/>
          <w:lang w:eastAsia="en-US"/>
        </w:rPr>
        <w:lastRenderedPageBreak/>
        <w:t>V</w:t>
      </w:r>
      <w:r w:rsidR="003D27FA" w:rsidRPr="003D27FA">
        <w:rPr>
          <w:rFonts w:eastAsiaTheme="minorHAnsi"/>
          <w:bCs w:val="0"/>
          <w:kern w:val="0"/>
          <w:sz w:val="24"/>
          <w:szCs w:val="24"/>
          <w:lang w:eastAsia="en-US"/>
        </w:rPr>
        <w:t xml:space="preserve">. </w:t>
      </w:r>
      <w:r w:rsidR="00D11C80">
        <w:rPr>
          <w:rFonts w:eastAsiaTheme="minorHAnsi"/>
          <w:bCs w:val="0"/>
          <w:kern w:val="0"/>
          <w:sz w:val="24"/>
          <w:szCs w:val="24"/>
          <w:lang w:eastAsia="en-US"/>
        </w:rPr>
        <w:t>Iemesls a</w:t>
      </w:r>
      <w:r w:rsidR="003D27FA" w:rsidRPr="003D27FA">
        <w:rPr>
          <w:rFonts w:eastAsiaTheme="minorHAnsi"/>
          <w:bCs w:val="0"/>
          <w:kern w:val="0"/>
          <w:sz w:val="24"/>
          <w:szCs w:val="24"/>
          <w:lang w:eastAsia="en-US"/>
        </w:rPr>
        <w:t>udita ierosināšana</w:t>
      </w:r>
      <w:r w:rsidR="00D11C80">
        <w:rPr>
          <w:rFonts w:eastAsiaTheme="minorHAnsi"/>
          <w:bCs w:val="0"/>
          <w:kern w:val="0"/>
          <w:sz w:val="24"/>
          <w:szCs w:val="24"/>
          <w:lang w:eastAsia="en-US"/>
        </w:rPr>
        <w:t>i</w:t>
      </w:r>
      <w:r w:rsidR="00B75DC3" w:rsidRPr="00D11C80">
        <w:rPr>
          <w:rFonts w:eastAsiaTheme="minorHAnsi"/>
          <w:bCs w:val="0"/>
          <w:kern w:val="0"/>
          <w:sz w:val="24"/>
          <w:szCs w:val="24"/>
          <w:lang w:eastAsia="en-US"/>
        </w:rPr>
        <w:t xml:space="preserve">, </w:t>
      </w:r>
      <w:r w:rsidR="00D11C80" w:rsidRPr="00D11C80">
        <w:rPr>
          <w:rFonts w:eastAsiaTheme="minorHAnsi"/>
          <w:bCs w:val="0"/>
          <w:kern w:val="0"/>
          <w:sz w:val="24"/>
          <w:szCs w:val="24"/>
          <w:lang w:eastAsia="en-US"/>
        </w:rPr>
        <w:t>j</w:t>
      </w:r>
      <w:r w:rsidR="00B75DC3" w:rsidRPr="00D11C80">
        <w:rPr>
          <w:rFonts w:eastAsiaTheme="minorHAnsi"/>
          <w:bCs w:val="0"/>
          <w:kern w:val="0"/>
          <w:sz w:val="24"/>
          <w:szCs w:val="24"/>
          <w:lang w:eastAsia="en-US"/>
        </w:rPr>
        <w:t>a kapitālsabiedrības</w:t>
      </w:r>
      <w:r w:rsidR="00B75DC3">
        <w:rPr>
          <w:rFonts w:eastAsiaTheme="minorHAnsi"/>
          <w:bCs w:val="0"/>
          <w:kern w:val="0"/>
          <w:sz w:val="24"/>
          <w:szCs w:val="24"/>
          <w:lang w:eastAsia="en-US"/>
        </w:rPr>
        <w:t xml:space="preserve"> darbība pārskata g</w:t>
      </w:r>
      <w:r w:rsidR="00AB34ED">
        <w:rPr>
          <w:rFonts w:eastAsiaTheme="minorHAnsi"/>
          <w:bCs w:val="0"/>
          <w:kern w:val="0"/>
          <w:sz w:val="24"/>
          <w:szCs w:val="24"/>
          <w:lang w:eastAsia="en-US"/>
        </w:rPr>
        <w:t xml:space="preserve">adā </w:t>
      </w:r>
    </w:p>
    <w:p w14:paraId="6E645FDC" w14:textId="77777777" w:rsidR="003D27FA" w:rsidRDefault="00AB34ED" w:rsidP="00644C70">
      <w:pPr>
        <w:pStyle w:val="Heading1"/>
        <w:numPr>
          <w:ilvl w:val="0"/>
          <w:numId w:val="0"/>
        </w:numPr>
        <w:spacing w:before="0" w:beforeAutospacing="0" w:after="0" w:afterAutospacing="0"/>
        <w:jc w:val="center"/>
        <w:rPr>
          <w:rFonts w:eastAsiaTheme="minorHAnsi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Cs w:val="0"/>
          <w:kern w:val="0"/>
          <w:sz w:val="24"/>
          <w:szCs w:val="24"/>
          <w:lang w:eastAsia="en-US"/>
        </w:rPr>
        <w:t>novērtēta neapmierinoši</w:t>
      </w:r>
    </w:p>
    <w:p w14:paraId="1BBE6FF6" w14:textId="77777777" w:rsidR="0003417A" w:rsidRPr="006C5C92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center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</w:p>
    <w:p w14:paraId="73D9FFB7" w14:textId="7F86F78D" w:rsidR="00B75DC3" w:rsidRPr="00B75DC3" w:rsidRDefault="00F85644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B75DC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2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9</w:t>
      </w:r>
      <w:r w:rsidR="00B75DC3" w:rsidRPr="00B75DC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J</w:t>
      </w:r>
      <w:r w:rsidR="00B75DC3" w:rsidRPr="00B75DC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a </w:t>
      </w:r>
      <w:r w:rsid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</w:t>
      </w:r>
      <w:r w:rsidR="00644C70" w:rsidRPr="00B75DC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tbilstoši </w:t>
      </w:r>
      <w:r w:rsid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v</w:t>
      </w:r>
      <w:r w:rsidR="00644C70" w:rsidRPr="00B75DC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ērtēšanas noteikumu 11.</w:t>
      </w:r>
      <w:r w:rsid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644C70" w:rsidRPr="00B75DC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punktam </w:t>
      </w:r>
      <w:r w:rsidR="00B75DC3" w:rsidRPr="00B75DC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kapitālsabiedrības darbība pārskata gad</w:t>
      </w:r>
      <w:r w:rsidR="00B75DC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ā ir novērtēta neapmierinoš</w:t>
      </w:r>
      <w:r w:rsid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i </w:t>
      </w:r>
      <w:r w:rsidR="00B75DC3" w:rsidRPr="00B75DC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un </w:t>
      </w:r>
      <w:r w:rsidR="0051177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ir pamats</w:t>
      </w:r>
      <w:r w:rsidR="00C9548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B75DC3" w:rsidRPr="00B75DC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aizdom</w:t>
      </w:r>
      <w:r w:rsidR="0051177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ām</w:t>
      </w:r>
      <w:r w:rsidR="00B75DC3" w:rsidRPr="00B75DC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par pārkāpumiem vai neefektīvu un nelietderīgu kapitālsabiedrības saimniecisko darbību, koordinācijas institūcija atzinumā iekļauj ierosinājumu kapitāla daļu turētājam veikt kapitālsabiedrībā auditu.</w:t>
      </w:r>
    </w:p>
    <w:p w14:paraId="0D33F709" w14:textId="77777777" w:rsidR="0003417A" w:rsidRPr="006C5C92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</w:p>
    <w:p w14:paraId="1D98C8F2" w14:textId="77D3DFB8" w:rsidR="00B44D32" w:rsidRDefault="00F85644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30</w:t>
      </w:r>
      <w:r w:rsidR="003D27FA" w:rsidRPr="003D27F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A8477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B75DC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Jēdziens </w:t>
      </w:r>
      <w:r w:rsidR="00D11C8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"</w:t>
      </w:r>
      <w:r w:rsidR="001704C7" w:rsidRPr="00D11C8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neefektīva un nelietderīga saimnieciska </w:t>
      </w:r>
      <w:r w:rsidR="00DC022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darbība</w:t>
      </w:r>
      <w:r w:rsidR="00D11C8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"</w:t>
      </w:r>
      <w:r w:rsidR="001704C7" w:rsidRPr="00D11C8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. </w:t>
      </w:r>
      <w:r w:rsidR="001704C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Komerclikuma 169.</w:t>
      </w:r>
      <w:r w:rsidR="00644C7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1704C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pantā ir nostiprināts viens no svarīg</w:t>
      </w:r>
      <w:r w:rsidR="00D11C8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āka</w:t>
      </w:r>
      <w:r w:rsidR="001704C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jiem principiem, k</w:t>
      </w:r>
      <w:r w:rsidR="00A8477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as</w:t>
      </w:r>
      <w:r w:rsidR="001704C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savā darbībā jāievēro katram kapitālsabiedrības </w:t>
      </w:r>
      <w:r w:rsidR="00D1368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valdes </w:t>
      </w:r>
      <w:r w:rsidR="001704C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un </w:t>
      </w:r>
      <w:r w:rsidR="00D1368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padomes </w:t>
      </w:r>
      <w:r w:rsidR="001704C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loceklim. Proti, v</w:t>
      </w:r>
      <w:r w:rsidR="001704C7" w:rsidRPr="001704C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aldes un padomes loceklim savi pienākumi jāpilda kā krietnam un rūpīgam saimniekam.</w:t>
      </w:r>
      <w:r w:rsidR="001704C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853A5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Piemēram, valdei vai padomei būtu jāveic visas nepieciešamās darbības, lai novērstu zaudējumu radīšanu kapitālsabiedrībai vai </w:t>
      </w:r>
      <w:r w:rsidR="00FA583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vismaz iespēju robežās </w:t>
      </w:r>
      <w:r w:rsidR="00853A5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mazinātu to lielumu. </w:t>
      </w:r>
      <w:r w:rsidR="001704C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Turklāt kapitālsabiedrībām</w:t>
      </w:r>
      <w:r w:rsidR="00731EE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kurās publiskas personas daļa pamatkapitālā pārsniedz 50</w:t>
      </w:r>
      <w:r w:rsidR="00A8477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731EE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%</w:t>
      </w:r>
      <w:r w:rsidR="00A8477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731EE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ir </w:t>
      </w:r>
      <w:r w:rsidR="001704C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saistošs arī </w:t>
      </w:r>
      <w:r w:rsidR="001704C7" w:rsidRPr="001704C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Publiskas personas finanšu līdzekļu un mantas izšķērdēšanas novēršanas likums</w:t>
      </w:r>
      <w:r w:rsidR="00CF7535" w:rsidRPr="00A8477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CF753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respektīvi, tajā ietvertie principi, kas </w:t>
      </w:r>
      <w:r w:rsidR="00731EE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kapitālsabiedrībai </w:t>
      </w:r>
      <w:r w:rsidR="00CF753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jāievēro</w:t>
      </w:r>
      <w:r w:rsidR="00731EE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rīkojoties ar publiskas personas mantu</w:t>
      </w:r>
      <w:r w:rsidR="00CF753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. </w:t>
      </w:r>
    </w:p>
    <w:p w14:paraId="0961B9FE" w14:textId="77777777" w:rsidR="0003417A" w:rsidRPr="006C5C92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</w:p>
    <w:p w14:paraId="05290318" w14:textId="5F592A97" w:rsidR="0003417A" w:rsidRDefault="00F85644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31</w:t>
      </w:r>
      <w:r w:rsidR="00B44D3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A8477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731EE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Ar lietderī</w:t>
      </w:r>
      <w:r w:rsidR="00F2521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gu </w:t>
      </w:r>
      <w:r w:rsidR="009373C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darbību </w:t>
      </w:r>
      <w:r w:rsidR="00F2521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tiek saprasta tāda rīcība ar mantu, kad kapitālsabiedrības mērķi tiek </w:t>
      </w:r>
      <w:r w:rsidR="00F2521D" w:rsidRPr="00C0285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sasniegti ar </w:t>
      </w:r>
      <w:r w:rsidR="00A13465" w:rsidRPr="00C0285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saimnieciski izdevīgāko</w:t>
      </w:r>
      <w:r w:rsidR="00F24576" w:rsidRPr="00C0285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resursu (</w:t>
      </w:r>
      <w:r w:rsidR="00F2521D" w:rsidRPr="00C0285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finanšu</w:t>
      </w:r>
      <w:r w:rsidR="00F24576" w:rsidRPr="00C0285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</w:t>
      </w:r>
      <w:r w:rsidR="00F2521D" w:rsidRPr="00C0285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mantas</w:t>
      </w:r>
      <w:r w:rsidR="00F24576" w:rsidRPr="00C0285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u.c.)</w:t>
      </w:r>
      <w:r w:rsidR="00F2521D" w:rsidRPr="00C0285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1B648D" w:rsidRPr="00C0285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izlietojumu.</w:t>
      </w:r>
      <w:r w:rsidR="001B648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B44D32" w:rsidRPr="00B44D3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Piemēram, </w:t>
      </w:r>
      <w:r w:rsidR="001B648D" w:rsidRPr="00B44D3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maksimāli </w:t>
      </w:r>
      <w:r w:rsidR="0051177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efektīvi </w:t>
      </w:r>
      <w:r w:rsidR="001B648D" w:rsidRPr="00B44D3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tiek izmantoti </w:t>
      </w:r>
      <w:r w:rsidR="00B2765D" w:rsidRPr="00B44D3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kapitālsabiedrības </w:t>
      </w:r>
      <w:r w:rsidR="001B648D" w:rsidRPr="00B44D3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aktīvi (</w:t>
      </w:r>
      <w:r w:rsidR="00B75DC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īpašums iznomāts</w:t>
      </w:r>
      <w:r w:rsidR="00B44D32" w:rsidRPr="00B44D3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par iespējami augstāko cenu</w:t>
      </w:r>
      <w:r w:rsidR="001B648D" w:rsidRPr="00B44D3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DD6E21" w:rsidRPr="00B44D3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B75DC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tiek </w:t>
      </w:r>
      <w:r w:rsidR="00B44D32" w:rsidRPr="00B44D3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nodrošināt</w:t>
      </w:r>
      <w:r w:rsidR="0051177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</w:t>
      </w:r>
      <w:r w:rsidR="00B44D32" w:rsidRPr="00B44D3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maksimāli pieļauja</w:t>
      </w:r>
      <w:r w:rsidR="00B75DC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mais</w:t>
      </w:r>
      <w:r w:rsidR="00B44D32" w:rsidRPr="00B44D3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iekārtu noslogojum</w:t>
      </w:r>
      <w:r w:rsidR="0051177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</w:t>
      </w:r>
      <w:r w:rsidR="00A170B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u</w:t>
      </w:r>
      <w:r w:rsidR="001B648D" w:rsidRPr="00B44D3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tt.).</w:t>
      </w:r>
      <w:r w:rsidR="00B75DC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</w:p>
    <w:p w14:paraId="11685D94" w14:textId="77777777" w:rsidR="00F24576" w:rsidRPr="006C5C92" w:rsidRDefault="00F24576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</w:p>
    <w:p w14:paraId="6BDAB088" w14:textId="4352DD04" w:rsidR="001704C7" w:rsidRPr="002D7288" w:rsidRDefault="00F85644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32</w:t>
      </w:r>
      <w:r w:rsidR="00B75DC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A8477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B75DC3" w:rsidRPr="00B75DC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Jēdziens</w:t>
      </w:r>
      <w:r w:rsidR="00B75DC3" w:rsidRPr="00D11C8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D11C80" w:rsidRPr="00D11C8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"</w:t>
      </w:r>
      <w:r w:rsidR="00DC022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pamats aizdomām</w:t>
      </w:r>
      <w:r w:rsidR="00D11C80" w:rsidRPr="00D11C8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"</w:t>
      </w:r>
      <w:r w:rsidR="002D7288" w:rsidRPr="00D11C8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2D7288">
        <w:rPr>
          <w:rFonts w:eastAsiaTheme="minorHAnsi"/>
          <w:bCs w:val="0"/>
          <w:kern w:val="0"/>
          <w:sz w:val="24"/>
          <w:szCs w:val="24"/>
          <w:lang w:eastAsia="en-US"/>
        </w:rPr>
        <w:t xml:space="preserve"> </w:t>
      </w:r>
      <w:r w:rsidR="002D7288" w:rsidRPr="002D728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Atbilstoši PKC kompetencei</w:t>
      </w:r>
      <w:r w:rsidR="002D7288">
        <w:rPr>
          <w:rFonts w:eastAsiaTheme="minorHAnsi"/>
          <w:bCs w:val="0"/>
          <w:kern w:val="0"/>
          <w:sz w:val="24"/>
          <w:szCs w:val="24"/>
          <w:lang w:eastAsia="en-US"/>
        </w:rPr>
        <w:t xml:space="preserve"> </w:t>
      </w:r>
      <w:r w:rsidR="00DC022F" w:rsidRPr="009373C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pamats</w:t>
      </w:r>
      <w:r w:rsidR="00DC022F">
        <w:rPr>
          <w:rFonts w:eastAsiaTheme="minorHAnsi"/>
          <w:bCs w:val="0"/>
          <w:kern w:val="0"/>
          <w:sz w:val="24"/>
          <w:szCs w:val="24"/>
          <w:lang w:eastAsia="en-US"/>
        </w:rPr>
        <w:t xml:space="preserve"> </w:t>
      </w:r>
      <w:r w:rsidR="00DC022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aizdomām </w:t>
      </w:r>
      <w:r w:rsidR="002D728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var tikt </w:t>
      </w:r>
      <w:r w:rsidR="0008795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pirm</w:t>
      </w:r>
      <w:r w:rsidR="007531A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</w:t>
      </w:r>
      <w:r w:rsidR="0008795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šķietami </w:t>
      </w:r>
      <w:r w:rsidR="002D728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konstatēts tikai salīdzināšanas posmā, salīdzinot </w:t>
      </w:r>
      <w:r w:rsidR="00D841D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vidēja termiņa darbības </w:t>
      </w:r>
      <w:r w:rsidR="002D728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stratēģijā attiecīgajam pārskata </w:t>
      </w:r>
      <w:r w:rsidR="00D11C8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gadam </w:t>
      </w:r>
      <w:r w:rsidR="002D728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plānotos rezultātus un to izpildes faktu – novirzi no plānotā. </w:t>
      </w:r>
      <w:r w:rsidR="00D11C8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J</w:t>
      </w:r>
      <w:r w:rsidR="002D728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a novirze ir būtiska, PKC vērtē kapitālsabiedrības sniegto skaidrojumu par novirzes rašanās iemesliem. </w:t>
      </w:r>
      <w:r w:rsidR="000C290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Piemēram, nav veikti ieguldījumi kapitālsabiedrības aktīvos, kuriem pārskata gadā ieplānots finansējums</w:t>
      </w:r>
      <w:r w:rsidR="00D11C8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0C290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vai šiem ieguldījumiem izlietots lielāks finansējums</w:t>
      </w:r>
      <w:r w:rsidR="0084391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0C290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nekā plānots</w:t>
      </w:r>
      <w:r w:rsidR="0084391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0C290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un kapitālsabiedrība nespēj uzrādīt </w:t>
      </w:r>
      <w:r w:rsidR="0051177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šīs situācijas </w:t>
      </w:r>
      <w:r w:rsidR="000C290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objektīvus </w:t>
      </w:r>
      <w:r w:rsidR="0051177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attaisnojošus apstākļus</w:t>
      </w:r>
      <w:r w:rsidR="000C290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</w:p>
    <w:p w14:paraId="3FB35355" w14:textId="77777777" w:rsidR="0003417A" w:rsidRPr="006C5C92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</w:p>
    <w:p w14:paraId="5D90BC85" w14:textId="59D81FD5" w:rsidR="00924B80" w:rsidRDefault="00F85644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33</w:t>
      </w:r>
      <w:r w:rsidR="001704C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A8477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3A33C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Jēdziens </w:t>
      </w:r>
      <w:r w:rsidR="00843912" w:rsidRPr="0084391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"</w:t>
      </w:r>
      <w:r w:rsidR="00A9154E" w:rsidRPr="0084391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objektīvi </w:t>
      </w:r>
      <w:r w:rsidR="0051177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attaisnojoši </w:t>
      </w:r>
      <w:r w:rsidR="00A9154E" w:rsidRPr="0084391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apstākļi</w:t>
      </w:r>
      <w:r w:rsidR="00843912" w:rsidRPr="0084391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"</w:t>
      </w:r>
      <w:r w:rsidR="00A9154E" w:rsidRPr="0084391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A9154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D841D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Vidēja termiņa darbības s</w:t>
      </w:r>
      <w:r w:rsidR="00A9154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tratēģijā plānoto rezultātu sasniegšanas kontekstā </w:t>
      </w:r>
      <w:r w:rsidR="00A8477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par objektīviem </w:t>
      </w:r>
      <w:r w:rsidR="0051177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attaisnojošiem </w:t>
      </w:r>
      <w:r w:rsidR="00A8477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apstākļiem uzskatāma</w:t>
      </w:r>
      <w:r w:rsidR="00A9154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tād</w:t>
      </w:r>
      <w:r w:rsidR="00A8477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u</w:t>
      </w:r>
      <w:r w:rsidR="00A9154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ārkārtēju un iepriekš neparedzamu apstākļu iestāšanās</w:t>
      </w:r>
      <w:r w:rsidR="00F901B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</w:t>
      </w:r>
      <w:r w:rsidR="00A8477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kuru dēļ</w:t>
      </w:r>
      <w:r w:rsidR="00F901B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kapitālsabiedrība nav spēj</w:t>
      </w:r>
      <w:r w:rsidR="00A8477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u</w:t>
      </w:r>
      <w:r w:rsidR="00F901B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</w:t>
      </w:r>
      <w:r w:rsidR="00A8477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</w:t>
      </w:r>
      <w:r w:rsidR="00F901B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izpildīt </w:t>
      </w:r>
      <w:r w:rsidR="00D841D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vidēja termiņa darbības </w:t>
      </w:r>
      <w:r w:rsidR="00F901B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stratēģijā attiecīgajam pārskata gadam plānotos </w:t>
      </w:r>
      <w:r w:rsidR="004C40B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mērķus</w:t>
      </w:r>
      <w:r w:rsidR="00C3422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piemēram nepārvarama vara.</w:t>
      </w:r>
      <w:r w:rsidR="004C40B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</w:p>
    <w:p w14:paraId="149D0F96" w14:textId="77777777" w:rsidR="0003417A" w:rsidRPr="006C5C92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</w:p>
    <w:p w14:paraId="686BBC17" w14:textId="5A91995C" w:rsidR="003D27FA" w:rsidRDefault="00F85644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34</w:t>
      </w:r>
      <w:r w:rsidR="00924B8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A8477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672F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Par nepārvaramas varas izpausmēm </w:t>
      </w:r>
      <w:r w:rsidR="001A1ED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uzskatāmi šķēršļi, kuriem iestājoties, to negatīvās sekas nevarēja kontrolēt vai arī nevarēja paredzēt to rašanos, lai tos savlaicīgi novērstu, piemēram, </w:t>
      </w:r>
      <w:r w:rsidR="00672F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dabas stihijas (vētras, ugunsgrēki, plūdi utt.), </w:t>
      </w:r>
      <w:r w:rsidR="00672F7B" w:rsidRPr="00672F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sabiedriskās dzīves ekstremāl</w:t>
      </w:r>
      <w:r w:rsidR="00A8477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</w:t>
      </w:r>
      <w:r w:rsidR="00672F7B" w:rsidRPr="00672F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 situācijas (kara darbība, mas</w:t>
      </w:r>
      <w:r w:rsidR="0084391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veida</w:t>
      </w:r>
      <w:r w:rsidR="00672F7B" w:rsidRPr="00672F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saslimšana (epidēmij</w:t>
      </w:r>
      <w:r w:rsidR="003A33C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a), nemieri, streik</w:t>
      </w:r>
      <w:r w:rsidR="0084391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</w:t>
      </w:r>
      <w:r w:rsidR="003A33C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utt.),</w:t>
      </w:r>
      <w:r w:rsidR="00672F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672F7B" w:rsidRPr="00672F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īpašie valsts aizlieguma akti (karantīnas pasludināšana, neparedzēts tirdzniecības operāciju aizliegums utt.).</w:t>
      </w:r>
    </w:p>
    <w:p w14:paraId="081BACF4" w14:textId="77777777" w:rsidR="0003417A" w:rsidRPr="006C5C92" w:rsidRDefault="0003417A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</w:p>
    <w:p w14:paraId="6C5A89D8" w14:textId="77777777" w:rsidR="00C34223" w:rsidRPr="006C5C92" w:rsidRDefault="00C34223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</w:p>
    <w:p w14:paraId="68670CBE" w14:textId="1EB53CE9" w:rsidR="00DB43C0" w:rsidRDefault="00F85644" w:rsidP="0003417A">
      <w:pPr>
        <w:pStyle w:val="Heading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35</w:t>
      </w:r>
      <w:r w:rsidR="00055E35" w:rsidRPr="00F1247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055E3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 Objektīvi attaisnojoš</w:t>
      </w:r>
      <w:r w:rsidR="007531A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</w:t>
      </w:r>
      <w:r w:rsidR="00055E3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apstāk</w:t>
      </w:r>
      <w:r w:rsidR="00DC022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ļi</w:t>
      </w:r>
      <w:r w:rsidR="0051177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var būt c</w:t>
      </w:r>
      <w:r w:rsidR="006F1E6C" w:rsidRPr="00F1247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iti apstākļi,</w:t>
      </w:r>
      <w:r w:rsidR="006F1E6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kas konkrētajā gadījumā nav klasificē</w:t>
      </w:r>
      <w:r w:rsidR="007531A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j</w:t>
      </w:r>
      <w:r w:rsidR="006F1E6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ami kā nepārvarama vara</w:t>
      </w:r>
      <w:r w:rsidR="00A8477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6F1E6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vai apstākļi</w:t>
      </w:r>
      <w:r w:rsidR="0077582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k</w:t>
      </w:r>
      <w:r w:rsidR="00A8477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urie</w:t>
      </w:r>
      <w:r w:rsidR="0077582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m nav </w:t>
      </w:r>
      <w:r w:rsidR="00A8477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raksturīgas </w:t>
      </w:r>
      <w:r w:rsidR="0077582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ārkārtīguma un nenovēršamības pazīm</w:t>
      </w:r>
      <w:r w:rsidR="00A8477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es</w:t>
      </w:r>
      <w:r w:rsidR="009B06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. </w:t>
      </w:r>
      <w:r w:rsidR="00CA317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Tie varētu būt</w:t>
      </w:r>
      <w:r w:rsidR="00F14EEC" w:rsidRPr="0084391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DC022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kapitāla daļu turētāja </w:t>
      </w:r>
      <w:r w:rsidR="00F14EEC" w:rsidRPr="0084391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lēmum</w:t>
      </w:r>
      <w:r w:rsidR="00CA317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</w:t>
      </w:r>
      <w:r w:rsidR="009B062E" w:rsidRPr="0084391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kur</w:t>
      </w:r>
      <w:r w:rsidR="00CA317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u</w:t>
      </w:r>
      <w:r w:rsidR="009B062E" w:rsidRPr="0084391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izpilde rada zaudējumus</w:t>
      </w:r>
      <w:r w:rsidR="00DC022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vai nav ekonomiski pamatota tirgus apstākļos</w:t>
      </w:r>
      <w:r w:rsidR="0084391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9B062E" w:rsidRPr="0084391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84391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</w:t>
      </w:r>
      <w:r w:rsidR="00F14EEC" w:rsidRPr="0084391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iem</w:t>
      </w:r>
      <w:r w:rsidR="00B56A56" w:rsidRPr="0084391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ēram</w:t>
      </w:r>
      <w:r w:rsidR="009B062E" w:rsidRPr="0084391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</w:t>
      </w:r>
      <w:r w:rsidR="00C3422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</w:t>
      </w:r>
      <w:r w:rsidR="0051177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ie varētu būt lēmumi par valsts budžeta dotācijas samazināšanu, </w:t>
      </w:r>
      <w:r w:rsidR="009373C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valsts finansētu pakalpojumu </w:t>
      </w:r>
      <w:r w:rsidR="00DC022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tarifu samazināšanu u.t.t.</w:t>
      </w:r>
    </w:p>
    <w:sectPr w:rsidR="00DB43C0" w:rsidSect="00993B39">
      <w:headerReference w:type="default" r:id="rId8"/>
      <w:headerReference w:type="first" r:id="rId9"/>
      <w:pgSz w:w="11906" w:h="16838"/>
      <w:pgMar w:top="1418" w:right="99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95200" w14:textId="77777777" w:rsidR="0009477C" w:rsidRDefault="0009477C" w:rsidP="00266066">
      <w:pPr>
        <w:spacing w:after="0" w:line="240" w:lineRule="auto"/>
      </w:pPr>
      <w:r>
        <w:separator/>
      </w:r>
    </w:p>
  </w:endnote>
  <w:endnote w:type="continuationSeparator" w:id="0">
    <w:p w14:paraId="758DCD98" w14:textId="77777777" w:rsidR="0009477C" w:rsidRDefault="0009477C" w:rsidP="0026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8D862" w14:textId="77777777" w:rsidR="0009477C" w:rsidRDefault="0009477C" w:rsidP="00266066">
      <w:pPr>
        <w:spacing w:after="0" w:line="240" w:lineRule="auto"/>
      </w:pPr>
      <w:r>
        <w:separator/>
      </w:r>
    </w:p>
  </w:footnote>
  <w:footnote w:type="continuationSeparator" w:id="0">
    <w:p w14:paraId="3883165E" w14:textId="77777777" w:rsidR="0009477C" w:rsidRDefault="0009477C" w:rsidP="0026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951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F5FBC41" w14:textId="77777777" w:rsidR="001E2BE3" w:rsidRDefault="001E2BE3">
        <w:pPr>
          <w:pStyle w:val="Header"/>
          <w:jc w:val="center"/>
        </w:pPr>
        <w:r w:rsidRPr="00AB34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B34E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B34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5338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B34E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93730" w14:textId="77777777" w:rsidR="00CD6B79" w:rsidRDefault="00CD6B79" w:rsidP="00CD6B79">
    <w:pPr>
      <w:pStyle w:val="Header"/>
      <w:tabs>
        <w:tab w:val="clear" w:pos="4153"/>
        <w:tab w:val="clear" w:pos="8306"/>
        <w:tab w:val="left" w:pos="3900"/>
      </w:tabs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lv-LV"/>
      </w:rPr>
      <w:drawing>
        <wp:inline distT="0" distB="0" distL="0" distR="0" wp14:anchorId="1CAC0462" wp14:editId="2402C0EA">
          <wp:extent cx="5676265" cy="1038225"/>
          <wp:effectExtent l="0" t="0" r="63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27D011" w14:textId="055FF62E" w:rsidR="00CD6B79" w:rsidRDefault="00CD6B79" w:rsidP="00CD6B79">
    <w:pPr>
      <w:pStyle w:val="Header"/>
      <w:tabs>
        <w:tab w:val="clear" w:pos="4153"/>
        <w:tab w:val="clear" w:pos="8306"/>
        <w:tab w:val="left" w:pos="3900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lv-LV"/>
      </w:rPr>
      <w:drawing>
        <wp:inline distT="0" distB="0" distL="0" distR="0" wp14:anchorId="69781D87" wp14:editId="17DFF252">
          <wp:extent cx="4428490" cy="28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E5B88E" w14:textId="77777777" w:rsidR="00CD6B79" w:rsidRDefault="00CD6B79" w:rsidP="00CD6B79">
    <w:pPr>
      <w:pStyle w:val="Header"/>
      <w:tabs>
        <w:tab w:val="clear" w:pos="4153"/>
        <w:tab w:val="clear" w:pos="8306"/>
        <w:tab w:val="left" w:pos="3900"/>
      </w:tabs>
      <w:jc w:val="center"/>
      <w:rPr>
        <w:rFonts w:ascii="Times New Roman" w:hAnsi="Times New Roman" w:cs="Times New Roman"/>
        <w:sz w:val="20"/>
        <w:szCs w:val="20"/>
      </w:rPr>
    </w:pPr>
  </w:p>
  <w:p w14:paraId="24769F7E" w14:textId="1FB71185" w:rsidR="009E3B46" w:rsidRPr="00CD6B79" w:rsidRDefault="00CD6B79" w:rsidP="00CD6B79">
    <w:pPr>
      <w:pStyle w:val="Header"/>
      <w:tabs>
        <w:tab w:val="clear" w:pos="4153"/>
        <w:tab w:val="clear" w:pos="8306"/>
        <w:tab w:val="left" w:pos="3900"/>
      </w:tabs>
      <w:jc w:val="center"/>
      <w:rPr>
        <w:rFonts w:ascii="Times New Roman" w:hAnsi="Times New Roman" w:cs="Times New Roman"/>
        <w:sz w:val="18"/>
        <w:szCs w:val="18"/>
      </w:rPr>
    </w:pPr>
    <w:r w:rsidRPr="00CD6B79">
      <w:rPr>
        <w:rFonts w:ascii="Times New Roman" w:hAnsi="Times New Roman" w:cs="Times New Roman"/>
        <w:sz w:val="18"/>
        <w:szCs w:val="18"/>
      </w:rPr>
      <w:t xml:space="preserve">Brīvības bulvāris 36, Rīga, LV-1520, tālr. 67082811, fakss 67082996, e-pasts </w:t>
    </w:r>
    <w:hyperlink r:id="rId3" w:history="1">
      <w:r w:rsidRPr="00CD6B79">
        <w:rPr>
          <w:rStyle w:val="Hyperlink"/>
          <w:rFonts w:ascii="Times New Roman" w:hAnsi="Times New Roman" w:cs="Times New Roman"/>
          <w:sz w:val="18"/>
          <w:szCs w:val="18"/>
        </w:rPr>
        <w:t>pkc@pkc.mk.gov.lv</w:t>
      </w:r>
    </w:hyperlink>
    <w:r w:rsidRPr="00CD6B79">
      <w:rPr>
        <w:rFonts w:ascii="Times New Roman" w:hAnsi="Times New Roman" w:cs="Times New Roman"/>
        <w:sz w:val="18"/>
        <w:szCs w:val="18"/>
      </w:rPr>
      <w:t>, www.pkc.gov.lv</w:t>
    </w:r>
  </w:p>
  <w:p w14:paraId="75D15865" w14:textId="77777777" w:rsidR="009E3B46" w:rsidRDefault="009E3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904"/>
    <w:multiLevelType w:val="multilevel"/>
    <w:tmpl w:val="C43E2600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90E6D"/>
    <w:multiLevelType w:val="multilevel"/>
    <w:tmpl w:val="ECFC3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C94B7C"/>
    <w:multiLevelType w:val="hybridMultilevel"/>
    <w:tmpl w:val="D42C1312"/>
    <w:lvl w:ilvl="0" w:tplc="FBAA68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3CDA"/>
    <w:multiLevelType w:val="hybridMultilevel"/>
    <w:tmpl w:val="0FD487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23C86"/>
    <w:multiLevelType w:val="multilevel"/>
    <w:tmpl w:val="495E29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545178"/>
    <w:multiLevelType w:val="hybridMultilevel"/>
    <w:tmpl w:val="524A4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262E"/>
    <w:multiLevelType w:val="hybridMultilevel"/>
    <w:tmpl w:val="0546CAA6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301DD"/>
    <w:multiLevelType w:val="hybridMultilevel"/>
    <w:tmpl w:val="89AAD1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55D31"/>
    <w:multiLevelType w:val="hybridMultilevel"/>
    <w:tmpl w:val="E8EAEE3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6B5676"/>
    <w:multiLevelType w:val="hybridMultilevel"/>
    <w:tmpl w:val="A6D26E0C"/>
    <w:lvl w:ilvl="0" w:tplc="6066C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B00D4"/>
    <w:multiLevelType w:val="multilevel"/>
    <w:tmpl w:val="F906E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AC318D"/>
    <w:multiLevelType w:val="multilevel"/>
    <w:tmpl w:val="5EDEC06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A12FE6"/>
    <w:multiLevelType w:val="hybridMultilevel"/>
    <w:tmpl w:val="8EEC71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452D5"/>
    <w:multiLevelType w:val="hybridMultilevel"/>
    <w:tmpl w:val="956263F0"/>
    <w:lvl w:ilvl="0" w:tplc="F73C67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112DD"/>
    <w:multiLevelType w:val="hybridMultilevel"/>
    <w:tmpl w:val="95487AD4"/>
    <w:lvl w:ilvl="0" w:tplc="C96E37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A57E5"/>
    <w:multiLevelType w:val="hybridMultilevel"/>
    <w:tmpl w:val="8D1E2786"/>
    <w:lvl w:ilvl="0" w:tplc="C96E371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F51127"/>
    <w:multiLevelType w:val="hybridMultilevel"/>
    <w:tmpl w:val="F4D8C2E0"/>
    <w:lvl w:ilvl="0" w:tplc="686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5160F"/>
    <w:multiLevelType w:val="hybridMultilevel"/>
    <w:tmpl w:val="2C88B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B4B34"/>
    <w:multiLevelType w:val="multilevel"/>
    <w:tmpl w:val="943C5B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B1176D5"/>
    <w:multiLevelType w:val="hybridMultilevel"/>
    <w:tmpl w:val="C22C8F9E"/>
    <w:lvl w:ilvl="0" w:tplc="C96E37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85FBB"/>
    <w:multiLevelType w:val="hybridMultilevel"/>
    <w:tmpl w:val="18E218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03EB8"/>
    <w:multiLevelType w:val="multilevel"/>
    <w:tmpl w:val="C43E2600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A254E0"/>
    <w:multiLevelType w:val="hybridMultilevel"/>
    <w:tmpl w:val="AB321D56"/>
    <w:lvl w:ilvl="0" w:tplc="1AF47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646694"/>
    <w:multiLevelType w:val="hybridMultilevel"/>
    <w:tmpl w:val="DF543BDE"/>
    <w:lvl w:ilvl="0" w:tplc="674E74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281E53"/>
    <w:multiLevelType w:val="hybridMultilevel"/>
    <w:tmpl w:val="2B76DC40"/>
    <w:lvl w:ilvl="0" w:tplc="52A277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FC874D6"/>
    <w:multiLevelType w:val="multilevel"/>
    <w:tmpl w:val="679E9CA0"/>
    <w:lvl w:ilvl="0">
      <w:start w:val="1"/>
      <w:numFmt w:val="decimal"/>
      <w:pStyle w:val="Heading1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8"/>
  </w:num>
  <w:num w:numId="5">
    <w:abstractNumId w:val="25"/>
  </w:num>
  <w:num w:numId="6">
    <w:abstractNumId w:val="2"/>
  </w:num>
  <w:num w:numId="7">
    <w:abstractNumId w:val="3"/>
  </w:num>
  <w:num w:numId="8">
    <w:abstractNumId w:val="7"/>
  </w:num>
  <w:num w:numId="9">
    <w:abstractNumId w:val="20"/>
  </w:num>
  <w:num w:numId="10">
    <w:abstractNumId w:val="12"/>
  </w:num>
  <w:num w:numId="11">
    <w:abstractNumId w:val="9"/>
  </w:num>
  <w:num w:numId="12">
    <w:abstractNumId w:val="23"/>
  </w:num>
  <w:num w:numId="13">
    <w:abstractNumId w:val="22"/>
  </w:num>
  <w:num w:numId="14">
    <w:abstractNumId w:val="18"/>
  </w:num>
  <w:num w:numId="15">
    <w:abstractNumId w:val="10"/>
  </w:num>
  <w:num w:numId="16">
    <w:abstractNumId w:val="16"/>
  </w:num>
  <w:num w:numId="17">
    <w:abstractNumId w:val="17"/>
  </w:num>
  <w:num w:numId="18">
    <w:abstractNumId w:val="1"/>
  </w:num>
  <w:num w:numId="19">
    <w:abstractNumId w:val="6"/>
  </w:num>
  <w:num w:numId="20">
    <w:abstractNumId w:val="4"/>
  </w:num>
  <w:num w:numId="21">
    <w:abstractNumId w:val="5"/>
  </w:num>
  <w:num w:numId="22">
    <w:abstractNumId w:val="11"/>
  </w:num>
  <w:num w:numId="23">
    <w:abstractNumId w:val="0"/>
  </w:num>
  <w:num w:numId="24">
    <w:abstractNumId w:val="13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95"/>
    <w:rsid w:val="00003B0C"/>
    <w:rsid w:val="0000442A"/>
    <w:rsid w:val="00004FD9"/>
    <w:rsid w:val="00007A74"/>
    <w:rsid w:val="000149CE"/>
    <w:rsid w:val="00021217"/>
    <w:rsid w:val="000244D6"/>
    <w:rsid w:val="0003417A"/>
    <w:rsid w:val="000424F7"/>
    <w:rsid w:val="000443CB"/>
    <w:rsid w:val="00055E35"/>
    <w:rsid w:val="000560A1"/>
    <w:rsid w:val="000569C4"/>
    <w:rsid w:val="0006117A"/>
    <w:rsid w:val="00066347"/>
    <w:rsid w:val="0006763B"/>
    <w:rsid w:val="00067F94"/>
    <w:rsid w:val="000734F8"/>
    <w:rsid w:val="0008795B"/>
    <w:rsid w:val="000934CB"/>
    <w:rsid w:val="0009477C"/>
    <w:rsid w:val="000A5BE0"/>
    <w:rsid w:val="000C0431"/>
    <w:rsid w:val="000C290E"/>
    <w:rsid w:val="000C3C9E"/>
    <w:rsid w:val="000C7D55"/>
    <w:rsid w:val="000D28EC"/>
    <w:rsid w:val="000D5FFF"/>
    <w:rsid w:val="000E0CC2"/>
    <w:rsid w:val="000E30DD"/>
    <w:rsid w:val="00106EB1"/>
    <w:rsid w:val="00111106"/>
    <w:rsid w:val="001207E9"/>
    <w:rsid w:val="00141B71"/>
    <w:rsid w:val="0014357F"/>
    <w:rsid w:val="001549A4"/>
    <w:rsid w:val="001704C7"/>
    <w:rsid w:val="00170E36"/>
    <w:rsid w:val="001714DA"/>
    <w:rsid w:val="00174C87"/>
    <w:rsid w:val="00175D6F"/>
    <w:rsid w:val="0018421D"/>
    <w:rsid w:val="00187FDE"/>
    <w:rsid w:val="001916D6"/>
    <w:rsid w:val="00191C4E"/>
    <w:rsid w:val="00194224"/>
    <w:rsid w:val="00196F74"/>
    <w:rsid w:val="001A13AF"/>
    <w:rsid w:val="001A1EDD"/>
    <w:rsid w:val="001A63FB"/>
    <w:rsid w:val="001B648D"/>
    <w:rsid w:val="001C3324"/>
    <w:rsid w:val="001C57BA"/>
    <w:rsid w:val="001D2120"/>
    <w:rsid w:val="001D4EA6"/>
    <w:rsid w:val="001D7D49"/>
    <w:rsid w:val="001E1A75"/>
    <w:rsid w:val="001E2BE3"/>
    <w:rsid w:val="001F3194"/>
    <w:rsid w:val="001F50EE"/>
    <w:rsid w:val="00201695"/>
    <w:rsid w:val="002064FE"/>
    <w:rsid w:val="00210C8A"/>
    <w:rsid w:val="00214873"/>
    <w:rsid w:val="00247D4B"/>
    <w:rsid w:val="002506A8"/>
    <w:rsid w:val="00252653"/>
    <w:rsid w:val="00262754"/>
    <w:rsid w:val="00266066"/>
    <w:rsid w:val="0027206B"/>
    <w:rsid w:val="00272E49"/>
    <w:rsid w:val="00283D9D"/>
    <w:rsid w:val="00285196"/>
    <w:rsid w:val="00290149"/>
    <w:rsid w:val="0029362B"/>
    <w:rsid w:val="002C6129"/>
    <w:rsid w:val="002D7288"/>
    <w:rsid w:val="002E2095"/>
    <w:rsid w:val="002F5CA6"/>
    <w:rsid w:val="00304D2B"/>
    <w:rsid w:val="00310343"/>
    <w:rsid w:val="00314CE7"/>
    <w:rsid w:val="00315463"/>
    <w:rsid w:val="003160A3"/>
    <w:rsid w:val="00321302"/>
    <w:rsid w:val="003318DC"/>
    <w:rsid w:val="003408E7"/>
    <w:rsid w:val="003422D1"/>
    <w:rsid w:val="003460D0"/>
    <w:rsid w:val="003609AA"/>
    <w:rsid w:val="00361862"/>
    <w:rsid w:val="00382620"/>
    <w:rsid w:val="00391A3E"/>
    <w:rsid w:val="003929BE"/>
    <w:rsid w:val="00392E1A"/>
    <w:rsid w:val="00394686"/>
    <w:rsid w:val="00394763"/>
    <w:rsid w:val="003A33C5"/>
    <w:rsid w:val="003B4CFA"/>
    <w:rsid w:val="003B51CC"/>
    <w:rsid w:val="003C1AD7"/>
    <w:rsid w:val="003C6051"/>
    <w:rsid w:val="003C75BD"/>
    <w:rsid w:val="003D27FA"/>
    <w:rsid w:val="003E11D6"/>
    <w:rsid w:val="003F3ABB"/>
    <w:rsid w:val="003F77E1"/>
    <w:rsid w:val="00407B28"/>
    <w:rsid w:val="004157BC"/>
    <w:rsid w:val="00423A5B"/>
    <w:rsid w:val="0043220B"/>
    <w:rsid w:val="00433821"/>
    <w:rsid w:val="004355A2"/>
    <w:rsid w:val="0045189C"/>
    <w:rsid w:val="00452D63"/>
    <w:rsid w:val="00461290"/>
    <w:rsid w:val="0047408A"/>
    <w:rsid w:val="00476070"/>
    <w:rsid w:val="004819EE"/>
    <w:rsid w:val="00482AFC"/>
    <w:rsid w:val="004942D6"/>
    <w:rsid w:val="004946DD"/>
    <w:rsid w:val="004A32ED"/>
    <w:rsid w:val="004A4755"/>
    <w:rsid w:val="004A6220"/>
    <w:rsid w:val="004B548E"/>
    <w:rsid w:val="004C40B9"/>
    <w:rsid w:val="004D610E"/>
    <w:rsid w:val="004D6BC5"/>
    <w:rsid w:val="004D6CBD"/>
    <w:rsid w:val="004E0A62"/>
    <w:rsid w:val="004E48F1"/>
    <w:rsid w:val="004E6170"/>
    <w:rsid w:val="004F0CCC"/>
    <w:rsid w:val="004F52B8"/>
    <w:rsid w:val="00502A33"/>
    <w:rsid w:val="00502E99"/>
    <w:rsid w:val="00505803"/>
    <w:rsid w:val="00511779"/>
    <w:rsid w:val="0051230F"/>
    <w:rsid w:val="00512B8B"/>
    <w:rsid w:val="00525601"/>
    <w:rsid w:val="00542A2E"/>
    <w:rsid w:val="0055062F"/>
    <w:rsid w:val="005570B3"/>
    <w:rsid w:val="005653AC"/>
    <w:rsid w:val="00567818"/>
    <w:rsid w:val="0057202F"/>
    <w:rsid w:val="00574B84"/>
    <w:rsid w:val="005935FF"/>
    <w:rsid w:val="00593B7B"/>
    <w:rsid w:val="005A614E"/>
    <w:rsid w:val="005B0C08"/>
    <w:rsid w:val="005B68B2"/>
    <w:rsid w:val="005C1E02"/>
    <w:rsid w:val="005C3269"/>
    <w:rsid w:val="005C55B7"/>
    <w:rsid w:val="005C6E6B"/>
    <w:rsid w:val="005D4B51"/>
    <w:rsid w:val="005D7AFF"/>
    <w:rsid w:val="005E6495"/>
    <w:rsid w:val="005E6657"/>
    <w:rsid w:val="005F09C9"/>
    <w:rsid w:val="005F1474"/>
    <w:rsid w:val="005F63E7"/>
    <w:rsid w:val="006077A1"/>
    <w:rsid w:val="0062575A"/>
    <w:rsid w:val="00636709"/>
    <w:rsid w:val="00641CA4"/>
    <w:rsid w:val="00644C70"/>
    <w:rsid w:val="00655B9A"/>
    <w:rsid w:val="006642F7"/>
    <w:rsid w:val="00671875"/>
    <w:rsid w:val="00672F7B"/>
    <w:rsid w:val="00675F92"/>
    <w:rsid w:val="00680C69"/>
    <w:rsid w:val="00682B76"/>
    <w:rsid w:val="0068407D"/>
    <w:rsid w:val="00684A76"/>
    <w:rsid w:val="00684EC2"/>
    <w:rsid w:val="00694798"/>
    <w:rsid w:val="00697DA6"/>
    <w:rsid w:val="006A5B3F"/>
    <w:rsid w:val="006A7F0E"/>
    <w:rsid w:val="006B446B"/>
    <w:rsid w:val="006B6BDF"/>
    <w:rsid w:val="006C2D0B"/>
    <w:rsid w:val="006C5C92"/>
    <w:rsid w:val="006C6ECA"/>
    <w:rsid w:val="006D411F"/>
    <w:rsid w:val="006D6333"/>
    <w:rsid w:val="006E341E"/>
    <w:rsid w:val="006F1E6C"/>
    <w:rsid w:val="00714E27"/>
    <w:rsid w:val="007205D4"/>
    <w:rsid w:val="00727E2D"/>
    <w:rsid w:val="00731EEA"/>
    <w:rsid w:val="00736B78"/>
    <w:rsid w:val="00737615"/>
    <w:rsid w:val="00740878"/>
    <w:rsid w:val="007443AC"/>
    <w:rsid w:val="00746E92"/>
    <w:rsid w:val="007531AE"/>
    <w:rsid w:val="00765A0A"/>
    <w:rsid w:val="00773772"/>
    <w:rsid w:val="00775822"/>
    <w:rsid w:val="00777C38"/>
    <w:rsid w:val="00780125"/>
    <w:rsid w:val="00785B9E"/>
    <w:rsid w:val="007926A0"/>
    <w:rsid w:val="007934CD"/>
    <w:rsid w:val="00795373"/>
    <w:rsid w:val="007A1283"/>
    <w:rsid w:val="007B1664"/>
    <w:rsid w:val="007B3223"/>
    <w:rsid w:val="007D099B"/>
    <w:rsid w:val="007D1775"/>
    <w:rsid w:val="007D5D7B"/>
    <w:rsid w:val="007D6599"/>
    <w:rsid w:val="007E355C"/>
    <w:rsid w:val="007F320D"/>
    <w:rsid w:val="00811098"/>
    <w:rsid w:val="00811EF4"/>
    <w:rsid w:val="00817756"/>
    <w:rsid w:val="00820D80"/>
    <w:rsid w:val="00822A39"/>
    <w:rsid w:val="0084197D"/>
    <w:rsid w:val="00843912"/>
    <w:rsid w:val="00846A31"/>
    <w:rsid w:val="0085075B"/>
    <w:rsid w:val="0085325B"/>
    <w:rsid w:val="00853A50"/>
    <w:rsid w:val="00867E1C"/>
    <w:rsid w:val="0088423D"/>
    <w:rsid w:val="0088726C"/>
    <w:rsid w:val="008912D1"/>
    <w:rsid w:val="008944CA"/>
    <w:rsid w:val="008A0317"/>
    <w:rsid w:val="008A0D54"/>
    <w:rsid w:val="008B11A2"/>
    <w:rsid w:val="008B15C5"/>
    <w:rsid w:val="008B19B5"/>
    <w:rsid w:val="008B28E0"/>
    <w:rsid w:val="008C06BD"/>
    <w:rsid w:val="008C12CD"/>
    <w:rsid w:val="008C2052"/>
    <w:rsid w:val="008C7174"/>
    <w:rsid w:val="008D1F10"/>
    <w:rsid w:val="008D698F"/>
    <w:rsid w:val="008D7B69"/>
    <w:rsid w:val="008E2004"/>
    <w:rsid w:val="008E6F19"/>
    <w:rsid w:val="008F1D34"/>
    <w:rsid w:val="008F3AB7"/>
    <w:rsid w:val="008F5F00"/>
    <w:rsid w:val="0091772F"/>
    <w:rsid w:val="00921BC1"/>
    <w:rsid w:val="00922769"/>
    <w:rsid w:val="00922AA3"/>
    <w:rsid w:val="00924B80"/>
    <w:rsid w:val="0093273E"/>
    <w:rsid w:val="00935823"/>
    <w:rsid w:val="00936D37"/>
    <w:rsid w:val="009373CC"/>
    <w:rsid w:val="00953DD9"/>
    <w:rsid w:val="00954D34"/>
    <w:rsid w:val="00962172"/>
    <w:rsid w:val="00963497"/>
    <w:rsid w:val="009830B5"/>
    <w:rsid w:val="009852A9"/>
    <w:rsid w:val="00993B39"/>
    <w:rsid w:val="00995487"/>
    <w:rsid w:val="009A0459"/>
    <w:rsid w:val="009A0A1B"/>
    <w:rsid w:val="009B062E"/>
    <w:rsid w:val="009B19B0"/>
    <w:rsid w:val="009B317E"/>
    <w:rsid w:val="009B39CA"/>
    <w:rsid w:val="009B6260"/>
    <w:rsid w:val="009D235F"/>
    <w:rsid w:val="009D55C2"/>
    <w:rsid w:val="009D7726"/>
    <w:rsid w:val="009E1890"/>
    <w:rsid w:val="009E3B46"/>
    <w:rsid w:val="009F158C"/>
    <w:rsid w:val="00A00A2B"/>
    <w:rsid w:val="00A05BEE"/>
    <w:rsid w:val="00A0648F"/>
    <w:rsid w:val="00A13465"/>
    <w:rsid w:val="00A170B9"/>
    <w:rsid w:val="00A27862"/>
    <w:rsid w:val="00A27FBD"/>
    <w:rsid w:val="00A317B6"/>
    <w:rsid w:val="00A31F66"/>
    <w:rsid w:val="00A45A96"/>
    <w:rsid w:val="00A46E89"/>
    <w:rsid w:val="00A569FE"/>
    <w:rsid w:val="00A56EC8"/>
    <w:rsid w:val="00A579CC"/>
    <w:rsid w:val="00A62727"/>
    <w:rsid w:val="00A8477E"/>
    <w:rsid w:val="00A849A6"/>
    <w:rsid w:val="00A9154E"/>
    <w:rsid w:val="00A91F83"/>
    <w:rsid w:val="00AB34ED"/>
    <w:rsid w:val="00AC069B"/>
    <w:rsid w:val="00AC3703"/>
    <w:rsid w:val="00AC4D35"/>
    <w:rsid w:val="00AD3147"/>
    <w:rsid w:val="00AD6969"/>
    <w:rsid w:val="00AE1815"/>
    <w:rsid w:val="00AE7D74"/>
    <w:rsid w:val="00AF4D35"/>
    <w:rsid w:val="00B147BC"/>
    <w:rsid w:val="00B177CD"/>
    <w:rsid w:val="00B2765D"/>
    <w:rsid w:val="00B32037"/>
    <w:rsid w:val="00B42EC2"/>
    <w:rsid w:val="00B4490D"/>
    <w:rsid w:val="00B44D32"/>
    <w:rsid w:val="00B526BA"/>
    <w:rsid w:val="00B56A56"/>
    <w:rsid w:val="00B61211"/>
    <w:rsid w:val="00B64201"/>
    <w:rsid w:val="00B663A9"/>
    <w:rsid w:val="00B74260"/>
    <w:rsid w:val="00B75DC3"/>
    <w:rsid w:val="00B8323A"/>
    <w:rsid w:val="00B84A32"/>
    <w:rsid w:val="00BC0045"/>
    <w:rsid w:val="00BD6F55"/>
    <w:rsid w:val="00BE7B05"/>
    <w:rsid w:val="00C01FE5"/>
    <w:rsid w:val="00C02858"/>
    <w:rsid w:val="00C1163E"/>
    <w:rsid w:val="00C24DC0"/>
    <w:rsid w:val="00C2554A"/>
    <w:rsid w:val="00C274B0"/>
    <w:rsid w:val="00C34223"/>
    <w:rsid w:val="00C356EA"/>
    <w:rsid w:val="00C36F5C"/>
    <w:rsid w:val="00C459B1"/>
    <w:rsid w:val="00C5338E"/>
    <w:rsid w:val="00C5404A"/>
    <w:rsid w:val="00C61AD3"/>
    <w:rsid w:val="00C66699"/>
    <w:rsid w:val="00C7648F"/>
    <w:rsid w:val="00C81442"/>
    <w:rsid w:val="00C87C56"/>
    <w:rsid w:val="00C95489"/>
    <w:rsid w:val="00CA055B"/>
    <w:rsid w:val="00CA06B6"/>
    <w:rsid w:val="00CA10E9"/>
    <w:rsid w:val="00CA20D4"/>
    <w:rsid w:val="00CA3173"/>
    <w:rsid w:val="00CA790A"/>
    <w:rsid w:val="00CC479D"/>
    <w:rsid w:val="00CD1926"/>
    <w:rsid w:val="00CD47B3"/>
    <w:rsid w:val="00CD6B79"/>
    <w:rsid w:val="00CD79D2"/>
    <w:rsid w:val="00CF7535"/>
    <w:rsid w:val="00D002F3"/>
    <w:rsid w:val="00D04599"/>
    <w:rsid w:val="00D06D43"/>
    <w:rsid w:val="00D108C3"/>
    <w:rsid w:val="00D11055"/>
    <w:rsid w:val="00D11C80"/>
    <w:rsid w:val="00D1368B"/>
    <w:rsid w:val="00D17702"/>
    <w:rsid w:val="00D27689"/>
    <w:rsid w:val="00D27A26"/>
    <w:rsid w:val="00D3440E"/>
    <w:rsid w:val="00D3614F"/>
    <w:rsid w:val="00D43872"/>
    <w:rsid w:val="00D611ED"/>
    <w:rsid w:val="00D767C0"/>
    <w:rsid w:val="00D841DD"/>
    <w:rsid w:val="00D87178"/>
    <w:rsid w:val="00D932BA"/>
    <w:rsid w:val="00DA6380"/>
    <w:rsid w:val="00DA7985"/>
    <w:rsid w:val="00DB43C0"/>
    <w:rsid w:val="00DB5EFC"/>
    <w:rsid w:val="00DC022F"/>
    <w:rsid w:val="00DC4A2A"/>
    <w:rsid w:val="00DC6DBF"/>
    <w:rsid w:val="00DD4396"/>
    <w:rsid w:val="00DD6E21"/>
    <w:rsid w:val="00DE1D9C"/>
    <w:rsid w:val="00DE1E21"/>
    <w:rsid w:val="00DE50B7"/>
    <w:rsid w:val="00DF2119"/>
    <w:rsid w:val="00DF2BF3"/>
    <w:rsid w:val="00DF7008"/>
    <w:rsid w:val="00E15718"/>
    <w:rsid w:val="00E326E4"/>
    <w:rsid w:val="00E4382E"/>
    <w:rsid w:val="00E47A59"/>
    <w:rsid w:val="00E507D3"/>
    <w:rsid w:val="00E65D2E"/>
    <w:rsid w:val="00E7016B"/>
    <w:rsid w:val="00E857E6"/>
    <w:rsid w:val="00E8596B"/>
    <w:rsid w:val="00EA17F6"/>
    <w:rsid w:val="00EA3CBE"/>
    <w:rsid w:val="00EB034F"/>
    <w:rsid w:val="00EB107A"/>
    <w:rsid w:val="00EB6F5A"/>
    <w:rsid w:val="00EC2AE8"/>
    <w:rsid w:val="00ED19D3"/>
    <w:rsid w:val="00ED1C1B"/>
    <w:rsid w:val="00ED70F5"/>
    <w:rsid w:val="00EE26A3"/>
    <w:rsid w:val="00EE3C77"/>
    <w:rsid w:val="00EE4823"/>
    <w:rsid w:val="00EE7543"/>
    <w:rsid w:val="00EF6E90"/>
    <w:rsid w:val="00F02F59"/>
    <w:rsid w:val="00F07F3B"/>
    <w:rsid w:val="00F12475"/>
    <w:rsid w:val="00F1252A"/>
    <w:rsid w:val="00F14EEC"/>
    <w:rsid w:val="00F17858"/>
    <w:rsid w:val="00F24576"/>
    <w:rsid w:val="00F2521D"/>
    <w:rsid w:val="00F33400"/>
    <w:rsid w:val="00F4030C"/>
    <w:rsid w:val="00F41A3E"/>
    <w:rsid w:val="00F45670"/>
    <w:rsid w:val="00F518E2"/>
    <w:rsid w:val="00F52E01"/>
    <w:rsid w:val="00F741DC"/>
    <w:rsid w:val="00F75E5A"/>
    <w:rsid w:val="00F84D9D"/>
    <w:rsid w:val="00F85644"/>
    <w:rsid w:val="00F901B2"/>
    <w:rsid w:val="00FA2125"/>
    <w:rsid w:val="00FA4E29"/>
    <w:rsid w:val="00FA583C"/>
    <w:rsid w:val="00FA6D3F"/>
    <w:rsid w:val="00FD098F"/>
    <w:rsid w:val="00FD5194"/>
    <w:rsid w:val="00FD53FE"/>
    <w:rsid w:val="00FE6763"/>
    <w:rsid w:val="00FF0953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3A98F"/>
  <w15:docId w15:val="{7A16BDF9-811F-42D4-A363-93D9F245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7FDE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FDE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FDE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7FDE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FDE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FDE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FDE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FDE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FDE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2E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2E2095"/>
  </w:style>
  <w:style w:type="character" w:styleId="Hyperlink">
    <w:name w:val="Hyperlink"/>
    <w:basedOn w:val="DefaultParagraphFont"/>
    <w:uiPriority w:val="99"/>
    <w:unhideWhenUsed/>
    <w:rsid w:val="002E20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18E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60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0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066"/>
    <w:rPr>
      <w:vertAlign w:val="superscript"/>
    </w:rPr>
  </w:style>
  <w:style w:type="paragraph" w:customStyle="1" w:styleId="labojumupamats">
    <w:name w:val="labojumu_pamats"/>
    <w:basedOn w:val="Normal"/>
    <w:rsid w:val="00DE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187FDE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87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7F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7F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F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F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F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F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F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18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A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59"/>
  </w:style>
  <w:style w:type="paragraph" w:styleId="Footer">
    <w:name w:val="footer"/>
    <w:basedOn w:val="Normal"/>
    <w:link w:val="FooterChar"/>
    <w:uiPriority w:val="99"/>
    <w:unhideWhenUsed/>
    <w:rsid w:val="00E47A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59"/>
  </w:style>
  <w:style w:type="character" w:styleId="Strong">
    <w:name w:val="Strong"/>
    <w:basedOn w:val="DefaultParagraphFont"/>
    <w:uiPriority w:val="22"/>
    <w:qFormat/>
    <w:rsid w:val="0018421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73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1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1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5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3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4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7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9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84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74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61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35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4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kc@pkc.mk.gov.lv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BCC9-5B40-4364-B229-8F8A3C66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10557</Words>
  <Characters>6018</Characters>
  <Application>Microsoft Office Word</Application>
  <DocSecurity>0</DocSecurity>
  <Lines>50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Kapitālsabiedrības, kurā valstij ir izšķirošā ietekme darbības rezultātu izvērtēšanas metodes</vt:lpstr>
      <vt:lpstr>Kapitālsabiedrības, kurā valstij ir izšķirošā ietekme darbības rezultātu izvērtēšanas metodes </vt:lpstr>
    </vt:vector>
  </TitlesOfParts>
  <Manager>P.Vilks</Manager>
  <Company>PKC</Company>
  <LinksUpToDate>false</LinksUpToDate>
  <CharactersWithSpaces>16542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Kapitālsabiedrības, kurā valstij ir izšķirošā ietekme darbības rezultātu izvērtēšanas metodes</dc:title>
  <dc:creator>Sarmīte Ozola</dc:creator>
  <cp:keywords>VADLINIJAS</cp:keywords>
  <dc:description>Sarmīte Ozola
Kapitālsabiedrību pārvaldības nodaļas konsultante
T.67082815
E-pasts: Sarmite.Ozola@pkc.mk.gov.lv</dc:description>
  <cp:lastModifiedBy>Elina Kruzkopa</cp:lastModifiedBy>
  <cp:revision>2</cp:revision>
  <cp:lastPrinted>2016-06-15T05:22:00Z</cp:lastPrinted>
  <dcterms:created xsi:type="dcterms:W3CDTF">2016-06-15T12:26:00Z</dcterms:created>
  <dcterms:modified xsi:type="dcterms:W3CDTF">2016-06-15T12:26:00Z</dcterms:modified>
</cp:coreProperties>
</file>