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rawings/drawing1.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53.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152066318"/>
        <w:docPartObj>
          <w:docPartGallery w:val="Cover Pages"/>
          <w:docPartUnique/>
        </w:docPartObj>
      </w:sdtPr>
      <w:sdtEndPr/>
      <w:sdtContent>
        <w:p w14:paraId="5D01D18B" w14:textId="08BD3517" w:rsidR="00AF7421" w:rsidRDefault="00AF7421"/>
        <w:p w14:paraId="2AA90761" w14:textId="3B286770" w:rsidR="00AF7421" w:rsidRDefault="00AF7421">
          <w:pPr>
            <w:spacing w:before="0" w:after="0"/>
            <w:jc w:val="left"/>
            <w:rPr>
              <w:rFonts w:asciiTheme="majorHAnsi" w:eastAsiaTheme="majorEastAsia" w:hAnsiTheme="majorHAnsi" w:cstheme="majorBidi"/>
              <w:spacing w:val="-10"/>
              <w:kern w:val="28"/>
              <w:sz w:val="56"/>
              <w:szCs w:val="56"/>
            </w:rPr>
          </w:pPr>
          <w:r>
            <w:rPr>
              <w:noProof/>
              <w:lang w:val="lv-LV" w:eastAsia="lv-LV"/>
            </w:rPr>
            <mc:AlternateContent>
              <mc:Choice Requires="wps">
                <w:drawing>
                  <wp:anchor distT="0" distB="0" distL="114300" distR="114300" simplePos="0" relativeHeight="251657728" behindDoc="0" locked="0" layoutInCell="1" allowOverlap="1" wp14:anchorId="7F79C07B" wp14:editId="18150A2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533124BF" w14:textId="195C437B" w:rsidR="0047559B" w:rsidRDefault="0047559B">
                                    <w:pPr>
                                      <w:pStyle w:val="NoSpacing"/>
                                      <w:jc w:val="right"/>
                                      <w:rPr>
                                        <w:caps/>
                                        <w:color w:val="262626" w:themeColor="text1" w:themeTint="D9"/>
                                        <w:sz w:val="28"/>
                                        <w:szCs w:val="28"/>
                                      </w:rPr>
                                    </w:pPr>
                                    <w:r>
                                      <w:rPr>
                                        <w:caps/>
                                        <w:color w:val="262626" w:themeColor="text1" w:themeTint="D9"/>
                                        <w:sz w:val="28"/>
                                        <w:szCs w:val="28"/>
                                      </w:rPr>
                                      <w:t>PĀRRESORU KOORDINĀCIJAS CENTRS</w:t>
                                    </w:r>
                                  </w:p>
                                </w:sdtContent>
                              </w:sdt>
                              <w:p w14:paraId="1F5B8CA1" w14:textId="6BD82633" w:rsidR="0047559B" w:rsidRDefault="00CA1425">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47559B">
                                      <w:rPr>
                                        <w:caps/>
                                        <w:color w:val="262626" w:themeColor="text1" w:themeTint="D9"/>
                                        <w:sz w:val="20"/>
                                        <w:szCs w:val="20"/>
                                      </w:rPr>
                                      <w:t>RĪGA, 2017.</w:t>
                                    </w:r>
                                  </w:sdtContent>
                                </w:sdt>
                              </w:p>
                              <w:p w14:paraId="162EBCC8" w14:textId="1899D197" w:rsidR="0047559B" w:rsidRDefault="00CA1425">
                                <w:pPr>
                                  <w:pStyle w:val="NoSpacing"/>
                                  <w:jc w:val="right"/>
                                  <w:rPr>
                                    <w:caps/>
                                    <w:color w:val="262626" w:themeColor="text1" w:themeTint="D9"/>
                                    <w:sz w:val="20"/>
                                    <w:szCs w:val="20"/>
                                  </w:rPr>
                                </w:pPr>
                                <w:sdt>
                                  <w:sdtPr>
                                    <w:rPr>
                                      <w:color w:val="262626"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EndPr/>
                                  <w:sdtContent>
                                    <w:r w:rsidR="0047559B">
                                      <w:rPr>
                                        <w:color w:val="262626" w:themeColor="text1" w:themeTint="D9"/>
                                        <w:sz w:val="20"/>
                                        <w:szCs w:val="20"/>
                                      </w:rPr>
                                      <w:t xml:space="preserve">     </w:t>
                                    </w:r>
                                  </w:sdtContent>
                                </w:sdt>
                                <w:r w:rsidR="0047559B">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7F79C07B" id="_x0000_t202" coordsize="21600,21600" o:spt="202" path="m,l,21600r21600,l21600,xe">
                    <v:stroke joinstyle="miter"/>
                    <v:path gradientshapeok="t" o:connecttype="rect"/>
                  </v:shapetype>
                  <v:shape id="Text Box 112" o:spid="_x0000_s1026" type="#_x0000_t202" style="position:absolute;margin-left:0;margin-top:0;width:453pt;height:51.4pt;z-index:25165772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" filled="f" stroked="f" strokeweight=".5pt">
                    <v:textbox inset="0,0,0,0">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533124BF" w14:textId="195C437B" w:rsidR="0047559B" w:rsidRDefault="0047559B">
                              <w:pPr>
                                <w:pStyle w:val="NoSpacing"/>
                                <w:jc w:val="right"/>
                                <w:rPr>
                                  <w:caps/>
                                  <w:color w:val="262626" w:themeColor="text1" w:themeTint="D9"/>
                                  <w:sz w:val="28"/>
                                  <w:szCs w:val="28"/>
                                </w:rPr>
                              </w:pPr>
                              <w:r>
                                <w:rPr>
                                  <w:caps/>
                                  <w:color w:val="262626" w:themeColor="text1" w:themeTint="D9"/>
                                  <w:sz w:val="28"/>
                                  <w:szCs w:val="28"/>
                                </w:rPr>
                                <w:t>PĀRRESORU KOORDINĀCIJAS CENTRS</w:t>
                              </w:r>
                            </w:p>
                          </w:sdtContent>
                        </w:sdt>
                        <w:p w14:paraId="1F5B8CA1" w14:textId="6BD82633" w:rsidR="0047559B" w:rsidRDefault="00CA1425">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47559B">
                                <w:rPr>
                                  <w:caps/>
                                  <w:color w:val="262626" w:themeColor="text1" w:themeTint="D9"/>
                                  <w:sz w:val="20"/>
                                  <w:szCs w:val="20"/>
                                </w:rPr>
                                <w:t>RĪGA, 2017.</w:t>
                              </w:r>
                            </w:sdtContent>
                          </w:sdt>
                        </w:p>
                        <w:p w14:paraId="162EBCC8" w14:textId="1899D197" w:rsidR="0047559B" w:rsidRDefault="00CA1425">
                          <w:pPr>
                            <w:pStyle w:val="NoSpacing"/>
                            <w:jc w:val="right"/>
                            <w:rPr>
                              <w:caps/>
                              <w:color w:val="262626" w:themeColor="text1" w:themeTint="D9"/>
                              <w:sz w:val="20"/>
                              <w:szCs w:val="20"/>
                            </w:rPr>
                          </w:pPr>
                          <w:sdt>
                            <w:sdtPr>
                              <w:rPr>
                                <w:color w:val="262626"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EndPr/>
                            <w:sdtContent>
                              <w:r w:rsidR="0047559B">
                                <w:rPr>
                                  <w:color w:val="262626" w:themeColor="text1" w:themeTint="D9"/>
                                  <w:sz w:val="20"/>
                                  <w:szCs w:val="20"/>
                                </w:rPr>
                                <w:t xml:space="preserve">     </w:t>
                              </w:r>
                            </w:sdtContent>
                          </w:sdt>
                          <w:r w:rsidR="0047559B">
                            <w:rPr>
                              <w:color w:val="262626" w:themeColor="text1" w:themeTint="D9"/>
                              <w:sz w:val="20"/>
                              <w:szCs w:val="20"/>
                            </w:rPr>
                            <w:t xml:space="preserve"> </w:t>
                          </w:r>
                        </w:p>
                      </w:txbxContent>
                    </v:textbox>
                    <w10:wrap type="square" anchorx="page" anchory="page"/>
                  </v:shape>
                </w:pict>
              </mc:Fallback>
            </mc:AlternateContent>
          </w:r>
          <w:r>
            <w:rPr>
              <w:noProof/>
              <w:lang w:val="lv-LV" w:eastAsia="lv-LV"/>
            </w:rPr>
            <mc:AlternateContent>
              <mc:Choice Requires="wps">
                <w:drawing>
                  <wp:anchor distT="0" distB="0" distL="114300" distR="114300" simplePos="0" relativeHeight="251656704" behindDoc="0" locked="0" layoutInCell="1" allowOverlap="1" wp14:anchorId="5717E54D" wp14:editId="4AC4954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4865370</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7CC1B" w14:textId="5F6747C5" w:rsidR="0047559B" w:rsidRDefault="00CA1425">
                                <w:pPr>
                                  <w:pStyle w:val="NoSpacing"/>
                                  <w:jc w:val="right"/>
                                  <w:rPr>
                                    <w:caps/>
                                    <w:color w:val="1B1D3D" w:themeColor="text2" w:themeShade="BF"/>
                                    <w:sz w:val="52"/>
                                    <w:szCs w:val="52"/>
                                  </w:rPr>
                                </w:pPr>
                                <w:sdt>
                                  <w:sdtPr>
                                    <w:rPr>
                                      <w:caps/>
                                      <w:color w:val="1B1D3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7559B" w:rsidRPr="007D04D5">
                                      <w:rPr>
                                        <w:caps/>
                                        <w:color w:val="1B1D3D" w:themeColor="text2" w:themeShade="BF"/>
                                        <w:sz w:val="52"/>
                                        <w:szCs w:val="52"/>
                                      </w:rPr>
                                      <w:t xml:space="preserve">NACIONĀLĀ ATTĪSTĪBAS PLĀNA 2014.-2020. GADAM </w:t>
                                    </w:r>
                                    <w:r w:rsidR="0047559B">
                                      <w:rPr>
                                        <w:caps/>
                                        <w:color w:val="1B1D3D" w:themeColor="text2" w:themeShade="BF"/>
                                        <w:sz w:val="52"/>
                                        <w:szCs w:val="52"/>
                                      </w:rPr>
                                      <w:br/>
                                    </w:r>
                                    <w:r w:rsidR="0047559B" w:rsidRPr="007D04D5">
                                      <w:rPr>
                                        <w:caps/>
                                        <w:color w:val="1B1D3D" w:themeColor="text2" w:themeShade="BF"/>
                                        <w:sz w:val="52"/>
                                        <w:szCs w:val="52"/>
                                      </w:rPr>
                                      <w:t>UN</w:t>
                                    </w:r>
                                    <w:r w:rsidR="0047559B">
                                      <w:rPr>
                                        <w:caps/>
                                        <w:color w:val="1B1D3D" w:themeColor="text2" w:themeShade="BF"/>
                                        <w:sz w:val="52"/>
                                        <w:szCs w:val="52"/>
                                      </w:rPr>
                                      <w:br/>
                                    </w:r>
                                    <w:r w:rsidR="0047559B" w:rsidRPr="007D04D5">
                                      <w:rPr>
                                        <w:caps/>
                                        <w:color w:val="1B1D3D" w:themeColor="text2" w:themeShade="BF"/>
                                        <w:sz w:val="52"/>
                                        <w:szCs w:val="52"/>
                                      </w:rPr>
                                      <w:t xml:space="preserve"> LATVIJAS ILGTSPĒJĪGAS ATTĪSTĪBAS STRATĒĢIJAS LĪDZ 2030. GADAM ĪSTENOŠANAS UZRAUDZĪBAS ZIŅOJUMS</w:t>
                                    </w:r>
                                  </w:sdtContent>
                                </w:sdt>
                              </w:p>
                              <w:sdt>
                                <w:sdtPr>
                                  <w:rPr>
                                    <w:smallCaps/>
                                    <w:color w:val="242852"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0F1E361A" w14:textId="079FAC3C" w:rsidR="0047559B" w:rsidRDefault="0047559B">
                                    <w:pPr>
                                      <w:pStyle w:val="NoSpacing"/>
                                      <w:jc w:val="right"/>
                                      <w:rPr>
                                        <w:smallCaps/>
                                        <w:color w:val="242852" w:themeColor="text2"/>
                                        <w:sz w:val="36"/>
                                        <w:szCs w:val="36"/>
                                      </w:rPr>
                                    </w:pPr>
                                    <w:r>
                                      <w:rPr>
                                        <w:smallCaps/>
                                        <w:color w:val="242852"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5717E54D" id="Text Box 113" o:spid="_x0000_s1027" type="#_x0000_t202" style="position:absolute;margin-left:0;margin-top:0;width:453pt;height:41.4pt;z-index:25165670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7DB7CC1B" w14:textId="5F6747C5" w:rsidR="0047559B" w:rsidRDefault="00CA1425">
                          <w:pPr>
                            <w:pStyle w:val="NoSpacing"/>
                            <w:jc w:val="right"/>
                            <w:rPr>
                              <w:caps/>
                              <w:color w:val="1B1D3D" w:themeColor="text2" w:themeShade="BF"/>
                              <w:sz w:val="52"/>
                              <w:szCs w:val="52"/>
                            </w:rPr>
                          </w:pPr>
                          <w:sdt>
                            <w:sdtPr>
                              <w:rPr>
                                <w:caps/>
                                <w:color w:val="1B1D3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7559B" w:rsidRPr="007D04D5">
                                <w:rPr>
                                  <w:caps/>
                                  <w:color w:val="1B1D3D" w:themeColor="text2" w:themeShade="BF"/>
                                  <w:sz w:val="52"/>
                                  <w:szCs w:val="52"/>
                                </w:rPr>
                                <w:t xml:space="preserve">NACIONĀLĀ ATTĪSTĪBAS PLĀNA 2014.-2020. GADAM </w:t>
                              </w:r>
                              <w:r w:rsidR="0047559B">
                                <w:rPr>
                                  <w:caps/>
                                  <w:color w:val="1B1D3D" w:themeColor="text2" w:themeShade="BF"/>
                                  <w:sz w:val="52"/>
                                  <w:szCs w:val="52"/>
                                </w:rPr>
                                <w:br/>
                              </w:r>
                              <w:r w:rsidR="0047559B" w:rsidRPr="007D04D5">
                                <w:rPr>
                                  <w:caps/>
                                  <w:color w:val="1B1D3D" w:themeColor="text2" w:themeShade="BF"/>
                                  <w:sz w:val="52"/>
                                  <w:szCs w:val="52"/>
                                </w:rPr>
                                <w:t>UN</w:t>
                              </w:r>
                              <w:r w:rsidR="0047559B">
                                <w:rPr>
                                  <w:caps/>
                                  <w:color w:val="1B1D3D" w:themeColor="text2" w:themeShade="BF"/>
                                  <w:sz w:val="52"/>
                                  <w:szCs w:val="52"/>
                                </w:rPr>
                                <w:br/>
                              </w:r>
                              <w:r w:rsidR="0047559B" w:rsidRPr="007D04D5">
                                <w:rPr>
                                  <w:caps/>
                                  <w:color w:val="1B1D3D" w:themeColor="text2" w:themeShade="BF"/>
                                  <w:sz w:val="52"/>
                                  <w:szCs w:val="52"/>
                                </w:rPr>
                                <w:t xml:space="preserve"> LATVIJAS ILGTSPĒJĪGAS ATTĪSTĪBAS STRATĒĢIJAS LĪDZ 2030. GADAM ĪSTENOŠANAS UZRAUDZĪBAS ZIŅOJUMS</w:t>
                              </w:r>
                            </w:sdtContent>
                          </w:sdt>
                        </w:p>
                        <w:sdt>
                          <w:sdtPr>
                            <w:rPr>
                              <w:smallCaps/>
                              <w:color w:val="242852"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0F1E361A" w14:textId="079FAC3C" w:rsidR="0047559B" w:rsidRDefault="0047559B">
                              <w:pPr>
                                <w:pStyle w:val="NoSpacing"/>
                                <w:jc w:val="right"/>
                                <w:rPr>
                                  <w:smallCaps/>
                                  <w:color w:val="242852" w:themeColor="text2"/>
                                  <w:sz w:val="36"/>
                                  <w:szCs w:val="36"/>
                                </w:rPr>
                              </w:pPr>
                              <w:r>
                                <w:rPr>
                                  <w:smallCaps/>
                                  <w:color w:val="242852" w:themeColor="text2"/>
                                  <w:sz w:val="36"/>
                                  <w:szCs w:val="36"/>
                                </w:rPr>
                                <w:t xml:space="preserve">     </w:t>
                              </w:r>
                            </w:p>
                          </w:sdtContent>
                        </w:sdt>
                      </w:txbxContent>
                    </v:textbox>
                    <w10:wrap type="square" anchorx="page" anchory="page"/>
                  </v:shape>
                </w:pict>
              </mc:Fallback>
            </mc:AlternateContent>
          </w:r>
          <w:r>
            <w:rPr>
              <w:noProof/>
              <w:lang w:val="lv-LV" w:eastAsia="lv-LV"/>
            </w:rPr>
            <mc:AlternateContent>
              <mc:Choice Requires="wpg">
                <w:drawing>
                  <wp:anchor distT="0" distB="0" distL="114300" distR="114300" simplePos="0" relativeHeight="251655680" behindDoc="0" locked="0" layoutInCell="1" allowOverlap="1" wp14:anchorId="729F0075" wp14:editId="58E16F8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5EC5632" id="Group 114" o:spid="_x0000_s1026" style="position:absolute;margin-left:0;margin-top:0;width:18pt;height:10in;z-index:25165568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Ta78A&#10;AADcAAAADwAAAGRycy9kb3ducmV2LnhtbERP24rCMBB9X9h/CLPg25q6eKMaRYTFPojg5QOGZmyK&#10;yaQ0UevfG0HwbQ7nOvNl56y4URtqzwoG/QwEcel1zZWC0/H/dwoiRGSN1jMpeFCA5eL7a4659nfe&#10;0+0QK5FCOOSowMTY5FKG0pDD0PcNceLOvnUYE2wrqVu8p3Bn5V+WjaXDmlODwYbWhsrL4eoU2Ayv&#10;NNlPd2ezqXgyDIXdXgqlej/dagYiUhc/4re70Gn+YASvZ9IF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NrvwAAANwAAAAPAAAAAAAAAAAAAAAAAJgCAABkcnMvZG93bnJl&#10;di54bWxQSwUGAAAAAAQABAD1AAAAhAMAAAAA&#10;" fillcolor="#629dd1 [3205]" stroked="f" strokeweight="2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a/MQA&#10;AADcAAAADwAAAGRycy9kb3ducmV2LnhtbESPQWuDQBCF74X8h2UCvZRkVRopJhsJgZaeUjSBXgd3&#10;qjburLhbtf8+WyjkNsP35r03u3w2nRhpcK1lBfE6AkFcWd1yreByfl29gHAeWWNnmRT8koN8v3jY&#10;YabtxAWNpa9FMGGXoYLG+z6T0lUNGXRr2xMH9mUHgz6sQy31gFMwN51MoiiVBlsOCQ32dGyoupY/&#10;RsF18xann0/f2n4kBY7P1YkCUOpxOR+2IDzN/i7+v37XoX6cwt8zYQK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mvzEAAAA3AAAAA8AAAAAAAAAAAAAAAAAmAIAAGRycy9k&#10;b3ducmV2LnhtbFBLBQYAAAAABAAEAPUAAACJAwAAAAA=&#10;" fillcolor="#4a66ac [3204]" stroked="f" strokeweight="2pt">
                      <v:path arrowok="t"/>
                      <o:lock v:ext="edit" aspectratio="t"/>
                    </v:rect>
                    <w10:wrap anchorx="page" anchory="page"/>
                  </v:group>
                </w:pict>
              </mc:Fallback>
            </mc:AlternateContent>
          </w:r>
          <w:r>
            <w:br w:type="page"/>
          </w:r>
        </w:p>
      </w:sdtContent>
    </w:sdt>
    <w:p w14:paraId="57C8753F" w14:textId="52D379F2" w:rsidR="002139B5" w:rsidRDefault="002139B5" w:rsidP="0070078D">
      <w:pPr>
        <w:pStyle w:val="Heading1"/>
      </w:pPr>
      <w:bookmarkStart w:id="1" w:name="_Toc498690601"/>
      <w:bookmarkStart w:id="2" w:name="_Toc499025298"/>
      <w:r>
        <w:lastRenderedPageBreak/>
        <w:t>Saturs</w:t>
      </w:r>
      <w:bookmarkEnd w:id="1"/>
      <w:bookmarkEnd w:id="2"/>
    </w:p>
    <w:sdt>
      <w:sdtPr>
        <w:rPr>
          <w:sz w:val="22"/>
          <w:lang w:val="en-US"/>
        </w:rPr>
        <w:id w:val="-1607719633"/>
        <w:docPartObj>
          <w:docPartGallery w:val="Table of Contents"/>
          <w:docPartUnique/>
        </w:docPartObj>
      </w:sdtPr>
      <w:sdtEndPr>
        <w:rPr>
          <w:b/>
          <w:bCs/>
          <w:noProof/>
        </w:rPr>
      </w:sdtEndPr>
      <w:sdtContent>
        <w:p w14:paraId="4DA9289A" w14:textId="752766DB" w:rsidR="00FC488E" w:rsidRDefault="00FC488E" w:rsidP="00FC488E">
          <w:pPr>
            <w:pStyle w:val="Piezme"/>
          </w:pPr>
        </w:p>
        <w:p w14:paraId="6B4F3EE5" w14:textId="77777777" w:rsidR="00FB2379" w:rsidRDefault="00FC488E">
          <w:pPr>
            <w:pStyle w:val="TOC1"/>
            <w:tabs>
              <w:tab w:val="right" w:leader="dot" w:pos="8290"/>
            </w:tabs>
            <w:rPr>
              <w:noProof/>
              <w:szCs w:val="22"/>
            </w:rPr>
          </w:pPr>
          <w:r>
            <w:fldChar w:fldCharType="begin"/>
          </w:r>
          <w:r>
            <w:instrText xml:space="preserve"> TOC \o "1-2" \h \z \u </w:instrText>
          </w:r>
          <w:r>
            <w:fldChar w:fldCharType="separate"/>
          </w:r>
          <w:hyperlink w:anchor="_Toc499025298" w:history="1">
            <w:r w:rsidR="00FB2379" w:rsidRPr="00EC6BF3">
              <w:rPr>
                <w:rStyle w:val="Hyperlink"/>
                <w:noProof/>
              </w:rPr>
              <w:t>Saturs</w:t>
            </w:r>
            <w:r w:rsidR="00FB2379">
              <w:rPr>
                <w:noProof/>
                <w:webHidden/>
              </w:rPr>
              <w:tab/>
            </w:r>
            <w:r w:rsidR="00FB2379">
              <w:rPr>
                <w:noProof/>
                <w:webHidden/>
              </w:rPr>
              <w:fldChar w:fldCharType="begin"/>
            </w:r>
            <w:r w:rsidR="00FB2379">
              <w:rPr>
                <w:noProof/>
                <w:webHidden/>
              </w:rPr>
              <w:instrText xml:space="preserve"> PAGEREF _Toc499025298 \h </w:instrText>
            </w:r>
            <w:r w:rsidR="00FB2379">
              <w:rPr>
                <w:noProof/>
                <w:webHidden/>
              </w:rPr>
            </w:r>
            <w:r w:rsidR="00FB2379">
              <w:rPr>
                <w:noProof/>
                <w:webHidden/>
              </w:rPr>
              <w:fldChar w:fldCharType="separate"/>
            </w:r>
            <w:r w:rsidR="00FB2379">
              <w:rPr>
                <w:noProof/>
                <w:webHidden/>
              </w:rPr>
              <w:t>1</w:t>
            </w:r>
            <w:r w:rsidR="00FB2379">
              <w:rPr>
                <w:noProof/>
                <w:webHidden/>
              </w:rPr>
              <w:fldChar w:fldCharType="end"/>
            </w:r>
          </w:hyperlink>
        </w:p>
        <w:p w14:paraId="5A2CCEDA" w14:textId="77777777" w:rsidR="00FB2379" w:rsidRDefault="00CA1425">
          <w:pPr>
            <w:pStyle w:val="TOC1"/>
            <w:tabs>
              <w:tab w:val="right" w:leader="dot" w:pos="8290"/>
            </w:tabs>
            <w:rPr>
              <w:noProof/>
              <w:szCs w:val="22"/>
            </w:rPr>
          </w:pPr>
          <w:hyperlink w:anchor="_Toc499025299" w:history="1">
            <w:r w:rsidR="00FB2379" w:rsidRPr="00EC6BF3">
              <w:rPr>
                <w:rStyle w:val="Hyperlink"/>
                <w:noProof/>
              </w:rPr>
              <w:t>Jēdzienu skaidrojumi</w:t>
            </w:r>
            <w:r w:rsidR="00FB2379">
              <w:rPr>
                <w:noProof/>
                <w:webHidden/>
              </w:rPr>
              <w:tab/>
            </w:r>
            <w:r w:rsidR="00FB2379">
              <w:rPr>
                <w:noProof/>
                <w:webHidden/>
              </w:rPr>
              <w:fldChar w:fldCharType="begin"/>
            </w:r>
            <w:r w:rsidR="00FB2379">
              <w:rPr>
                <w:noProof/>
                <w:webHidden/>
              </w:rPr>
              <w:instrText xml:space="preserve"> PAGEREF _Toc499025299 \h </w:instrText>
            </w:r>
            <w:r w:rsidR="00FB2379">
              <w:rPr>
                <w:noProof/>
                <w:webHidden/>
              </w:rPr>
            </w:r>
            <w:r w:rsidR="00FB2379">
              <w:rPr>
                <w:noProof/>
                <w:webHidden/>
              </w:rPr>
              <w:fldChar w:fldCharType="separate"/>
            </w:r>
            <w:r w:rsidR="00FB2379">
              <w:rPr>
                <w:noProof/>
                <w:webHidden/>
              </w:rPr>
              <w:t>2</w:t>
            </w:r>
            <w:r w:rsidR="00FB2379">
              <w:rPr>
                <w:noProof/>
                <w:webHidden/>
              </w:rPr>
              <w:fldChar w:fldCharType="end"/>
            </w:r>
          </w:hyperlink>
        </w:p>
        <w:p w14:paraId="04085E2F" w14:textId="77777777" w:rsidR="00FB2379" w:rsidRDefault="00CA1425">
          <w:pPr>
            <w:pStyle w:val="TOC1"/>
            <w:tabs>
              <w:tab w:val="right" w:leader="dot" w:pos="8290"/>
            </w:tabs>
            <w:rPr>
              <w:noProof/>
              <w:szCs w:val="22"/>
            </w:rPr>
          </w:pPr>
          <w:hyperlink w:anchor="_Toc499025300" w:history="1">
            <w:r w:rsidR="00FB2379" w:rsidRPr="00EC6BF3">
              <w:rPr>
                <w:rStyle w:val="Hyperlink"/>
                <w:noProof/>
                <w:lang w:val="lv-LV"/>
              </w:rPr>
              <w:t>Izmantotie saīsinājumi</w:t>
            </w:r>
            <w:r w:rsidR="00FB2379">
              <w:rPr>
                <w:noProof/>
                <w:webHidden/>
              </w:rPr>
              <w:tab/>
            </w:r>
            <w:r w:rsidR="00FB2379">
              <w:rPr>
                <w:noProof/>
                <w:webHidden/>
              </w:rPr>
              <w:fldChar w:fldCharType="begin"/>
            </w:r>
            <w:r w:rsidR="00FB2379">
              <w:rPr>
                <w:noProof/>
                <w:webHidden/>
              </w:rPr>
              <w:instrText xml:space="preserve"> PAGEREF _Toc499025300 \h </w:instrText>
            </w:r>
            <w:r w:rsidR="00FB2379">
              <w:rPr>
                <w:noProof/>
                <w:webHidden/>
              </w:rPr>
            </w:r>
            <w:r w:rsidR="00FB2379">
              <w:rPr>
                <w:noProof/>
                <w:webHidden/>
              </w:rPr>
              <w:fldChar w:fldCharType="separate"/>
            </w:r>
            <w:r w:rsidR="00FB2379">
              <w:rPr>
                <w:noProof/>
                <w:webHidden/>
              </w:rPr>
              <w:t>2</w:t>
            </w:r>
            <w:r w:rsidR="00FB2379">
              <w:rPr>
                <w:noProof/>
                <w:webHidden/>
              </w:rPr>
              <w:fldChar w:fldCharType="end"/>
            </w:r>
          </w:hyperlink>
        </w:p>
        <w:p w14:paraId="5011F482" w14:textId="77777777" w:rsidR="00FB2379" w:rsidRDefault="00CA1425">
          <w:pPr>
            <w:pStyle w:val="TOC1"/>
            <w:tabs>
              <w:tab w:val="right" w:leader="dot" w:pos="8290"/>
            </w:tabs>
            <w:rPr>
              <w:noProof/>
              <w:szCs w:val="22"/>
            </w:rPr>
          </w:pPr>
          <w:hyperlink w:anchor="_Toc499025301" w:history="1">
            <w:r w:rsidR="00FB2379" w:rsidRPr="00EC6BF3">
              <w:rPr>
                <w:rStyle w:val="Hyperlink"/>
                <w:noProof/>
                <w:lang w:val="lv-LV"/>
              </w:rPr>
              <w:t>IEVADS</w:t>
            </w:r>
            <w:r w:rsidR="00FB2379">
              <w:rPr>
                <w:noProof/>
                <w:webHidden/>
              </w:rPr>
              <w:tab/>
            </w:r>
            <w:r w:rsidR="00FB2379">
              <w:rPr>
                <w:noProof/>
                <w:webHidden/>
              </w:rPr>
              <w:fldChar w:fldCharType="begin"/>
            </w:r>
            <w:r w:rsidR="00FB2379">
              <w:rPr>
                <w:noProof/>
                <w:webHidden/>
              </w:rPr>
              <w:instrText xml:space="preserve"> PAGEREF _Toc499025301 \h </w:instrText>
            </w:r>
            <w:r w:rsidR="00FB2379">
              <w:rPr>
                <w:noProof/>
                <w:webHidden/>
              </w:rPr>
            </w:r>
            <w:r w:rsidR="00FB2379">
              <w:rPr>
                <w:noProof/>
                <w:webHidden/>
              </w:rPr>
              <w:fldChar w:fldCharType="separate"/>
            </w:r>
            <w:r w:rsidR="00FB2379">
              <w:rPr>
                <w:noProof/>
                <w:webHidden/>
              </w:rPr>
              <w:t>5</w:t>
            </w:r>
            <w:r w:rsidR="00FB2379">
              <w:rPr>
                <w:noProof/>
                <w:webHidden/>
              </w:rPr>
              <w:fldChar w:fldCharType="end"/>
            </w:r>
          </w:hyperlink>
        </w:p>
        <w:p w14:paraId="5BDE0B59" w14:textId="77777777" w:rsidR="00FB2379" w:rsidRDefault="00CA1425">
          <w:pPr>
            <w:pStyle w:val="TOC1"/>
            <w:tabs>
              <w:tab w:val="right" w:leader="dot" w:pos="8290"/>
            </w:tabs>
            <w:rPr>
              <w:noProof/>
              <w:szCs w:val="22"/>
            </w:rPr>
          </w:pPr>
          <w:hyperlink w:anchor="_Toc499025302" w:history="1">
            <w:r w:rsidR="00FB2379" w:rsidRPr="00EC6BF3">
              <w:rPr>
                <w:rStyle w:val="Hyperlink"/>
                <w:noProof/>
              </w:rPr>
              <w:t>Metodoloģija</w:t>
            </w:r>
            <w:r w:rsidR="00FB2379">
              <w:rPr>
                <w:noProof/>
                <w:webHidden/>
              </w:rPr>
              <w:tab/>
            </w:r>
            <w:r w:rsidR="00FB2379">
              <w:rPr>
                <w:noProof/>
                <w:webHidden/>
              </w:rPr>
              <w:fldChar w:fldCharType="begin"/>
            </w:r>
            <w:r w:rsidR="00FB2379">
              <w:rPr>
                <w:noProof/>
                <w:webHidden/>
              </w:rPr>
              <w:instrText xml:space="preserve"> PAGEREF _Toc499025302 \h </w:instrText>
            </w:r>
            <w:r w:rsidR="00FB2379">
              <w:rPr>
                <w:noProof/>
                <w:webHidden/>
              </w:rPr>
            </w:r>
            <w:r w:rsidR="00FB2379">
              <w:rPr>
                <w:noProof/>
                <w:webHidden/>
              </w:rPr>
              <w:fldChar w:fldCharType="separate"/>
            </w:r>
            <w:r w:rsidR="00FB2379">
              <w:rPr>
                <w:noProof/>
                <w:webHidden/>
              </w:rPr>
              <w:t>6</w:t>
            </w:r>
            <w:r w:rsidR="00FB2379">
              <w:rPr>
                <w:noProof/>
                <w:webHidden/>
              </w:rPr>
              <w:fldChar w:fldCharType="end"/>
            </w:r>
          </w:hyperlink>
        </w:p>
        <w:p w14:paraId="7066334A" w14:textId="77777777" w:rsidR="00FB2379" w:rsidRDefault="00CA1425">
          <w:pPr>
            <w:pStyle w:val="TOC1"/>
            <w:tabs>
              <w:tab w:val="right" w:leader="dot" w:pos="8290"/>
            </w:tabs>
            <w:rPr>
              <w:noProof/>
              <w:szCs w:val="22"/>
            </w:rPr>
          </w:pPr>
          <w:hyperlink w:anchor="_Toc499025303" w:history="1">
            <w:r w:rsidR="00FB2379" w:rsidRPr="00EC6BF3">
              <w:rPr>
                <w:rStyle w:val="Hyperlink"/>
                <w:noProof/>
                <w:lang w:val="lv-LV"/>
              </w:rPr>
              <w:t>1. NAP2020 un Latvija 2030 aktualitāte un nozīme</w:t>
            </w:r>
            <w:r w:rsidR="00FB2379">
              <w:rPr>
                <w:noProof/>
                <w:webHidden/>
              </w:rPr>
              <w:tab/>
            </w:r>
            <w:r w:rsidR="00FB2379">
              <w:rPr>
                <w:noProof/>
                <w:webHidden/>
              </w:rPr>
              <w:fldChar w:fldCharType="begin"/>
            </w:r>
            <w:r w:rsidR="00FB2379">
              <w:rPr>
                <w:noProof/>
                <w:webHidden/>
              </w:rPr>
              <w:instrText xml:space="preserve"> PAGEREF _Toc499025303 \h </w:instrText>
            </w:r>
            <w:r w:rsidR="00FB2379">
              <w:rPr>
                <w:noProof/>
                <w:webHidden/>
              </w:rPr>
            </w:r>
            <w:r w:rsidR="00FB2379">
              <w:rPr>
                <w:noProof/>
                <w:webHidden/>
              </w:rPr>
              <w:fldChar w:fldCharType="separate"/>
            </w:r>
            <w:r w:rsidR="00FB2379">
              <w:rPr>
                <w:noProof/>
                <w:webHidden/>
              </w:rPr>
              <w:t>8</w:t>
            </w:r>
            <w:r w:rsidR="00FB2379">
              <w:rPr>
                <w:noProof/>
                <w:webHidden/>
              </w:rPr>
              <w:fldChar w:fldCharType="end"/>
            </w:r>
          </w:hyperlink>
        </w:p>
        <w:p w14:paraId="1BCA958C" w14:textId="77777777" w:rsidR="00FB2379" w:rsidRDefault="00CA1425">
          <w:pPr>
            <w:pStyle w:val="TOC2"/>
            <w:rPr>
              <w:noProof/>
              <w:szCs w:val="22"/>
            </w:rPr>
          </w:pPr>
          <w:hyperlink w:anchor="_Toc499025304" w:history="1">
            <w:r w:rsidR="00FB2379" w:rsidRPr="00EC6BF3">
              <w:rPr>
                <w:rStyle w:val="Hyperlink"/>
                <w:noProof/>
                <w:lang w:val="lv-LV"/>
              </w:rPr>
              <w:t>1.1. Augstākā līmeņa attīstības plānošanas dokumentu vieta un loma attīstības plānošanas sistēmā</w:t>
            </w:r>
            <w:r w:rsidR="00FB2379">
              <w:rPr>
                <w:noProof/>
                <w:webHidden/>
              </w:rPr>
              <w:tab/>
            </w:r>
            <w:r w:rsidR="00FB2379">
              <w:rPr>
                <w:noProof/>
                <w:webHidden/>
              </w:rPr>
              <w:fldChar w:fldCharType="begin"/>
            </w:r>
            <w:r w:rsidR="00FB2379">
              <w:rPr>
                <w:noProof/>
                <w:webHidden/>
              </w:rPr>
              <w:instrText xml:space="preserve"> PAGEREF _Toc499025304 \h </w:instrText>
            </w:r>
            <w:r w:rsidR="00FB2379">
              <w:rPr>
                <w:noProof/>
                <w:webHidden/>
              </w:rPr>
            </w:r>
            <w:r w:rsidR="00FB2379">
              <w:rPr>
                <w:noProof/>
                <w:webHidden/>
              </w:rPr>
              <w:fldChar w:fldCharType="separate"/>
            </w:r>
            <w:r w:rsidR="00FB2379">
              <w:rPr>
                <w:noProof/>
                <w:webHidden/>
              </w:rPr>
              <w:t>8</w:t>
            </w:r>
            <w:r w:rsidR="00FB2379">
              <w:rPr>
                <w:noProof/>
                <w:webHidden/>
              </w:rPr>
              <w:fldChar w:fldCharType="end"/>
            </w:r>
          </w:hyperlink>
        </w:p>
        <w:p w14:paraId="45D7D27B" w14:textId="77777777" w:rsidR="00FB2379" w:rsidRDefault="00CA1425">
          <w:pPr>
            <w:pStyle w:val="TOC2"/>
            <w:rPr>
              <w:noProof/>
              <w:szCs w:val="22"/>
            </w:rPr>
          </w:pPr>
          <w:hyperlink w:anchor="_Toc499025305" w:history="1">
            <w:r w:rsidR="00FB2379" w:rsidRPr="00EC6BF3">
              <w:rPr>
                <w:rStyle w:val="Hyperlink"/>
                <w:noProof/>
                <w:lang w:val="lv-LV"/>
              </w:rPr>
              <w:t>1.2. NAP2020 aktualitāte</w:t>
            </w:r>
            <w:r w:rsidR="00FB2379">
              <w:rPr>
                <w:noProof/>
                <w:webHidden/>
              </w:rPr>
              <w:tab/>
            </w:r>
            <w:r w:rsidR="00FB2379">
              <w:rPr>
                <w:noProof/>
                <w:webHidden/>
              </w:rPr>
              <w:fldChar w:fldCharType="begin"/>
            </w:r>
            <w:r w:rsidR="00FB2379">
              <w:rPr>
                <w:noProof/>
                <w:webHidden/>
              </w:rPr>
              <w:instrText xml:space="preserve"> PAGEREF _Toc499025305 \h </w:instrText>
            </w:r>
            <w:r w:rsidR="00FB2379">
              <w:rPr>
                <w:noProof/>
                <w:webHidden/>
              </w:rPr>
            </w:r>
            <w:r w:rsidR="00FB2379">
              <w:rPr>
                <w:noProof/>
                <w:webHidden/>
              </w:rPr>
              <w:fldChar w:fldCharType="separate"/>
            </w:r>
            <w:r w:rsidR="00FB2379">
              <w:rPr>
                <w:noProof/>
                <w:webHidden/>
              </w:rPr>
              <w:t>8</w:t>
            </w:r>
            <w:r w:rsidR="00FB2379">
              <w:rPr>
                <w:noProof/>
                <w:webHidden/>
              </w:rPr>
              <w:fldChar w:fldCharType="end"/>
            </w:r>
          </w:hyperlink>
        </w:p>
        <w:p w14:paraId="03B2A27D" w14:textId="77777777" w:rsidR="00FB2379" w:rsidRDefault="00CA1425">
          <w:pPr>
            <w:pStyle w:val="TOC1"/>
            <w:tabs>
              <w:tab w:val="right" w:leader="dot" w:pos="8290"/>
            </w:tabs>
            <w:rPr>
              <w:noProof/>
              <w:szCs w:val="22"/>
            </w:rPr>
          </w:pPr>
          <w:hyperlink w:anchor="_Toc499025306" w:history="1">
            <w:r w:rsidR="00FB2379" w:rsidRPr="00EC6BF3">
              <w:rPr>
                <w:rStyle w:val="Hyperlink"/>
                <w:noProof/>
                <w:lang w:val="lv-LV"/>
              </w:rPr>
              <w:t>2. NAP2020 ieviešanas gaitu ietekmējošie faktori</w:t>
            </w:r>
            <w:r w:rsidR="00FB2379">
              <w:rPr>
                <w:noProof/>
                <w:webHidden/>
              </w:rPr>
              <w:tab/>
            </w:r>
            <w:r w:rsidR="00FB2379">
              <w:rPr>
                <w:noProof/>
                <w:webHidden/>
              </w:rPr>
              <w:fldChar w:fldCharType="begin"/>
            </w:r>
            <w:r w:rsidR="00FB2379">
              <w:rPr>
                <w:noProof/>
                <w:webHidden/>
              </w:rPr>
              <w:instrText xml:space="preserve"> PAGEREF _Toc499025306 \h </w:instrText>
            </w:r>
            <w:r w:rsidR="00FB2379">
              <w:rPr>
                <w:noProof/>
                <w:webHidden/>
              </w:rPr>
            </w:r>
            <w:r w:rsidR="00FB2379">
              <w:rPr>
                <w:noProof/>
                <w:webHidden/>
              </w:rPr>
              <w:fldChar w:fldCharType="separate"/>
            </w:r>
            <w:r w:rsidR="00FB2379">
              <w:rPr>
                <w:noProof/>
                <w:webHidden/>
              </w:rPr>
              <w:t>12</w:t>
            </w:r>
            <w:r w:rsidR="00FB2379">
              <w:rPr>
                <w:noProof/>
                <w:webHidden/>
              </w:rPr>
              <w:fldChar w:fldCharType="end"/>
            </w:r>
          </w:hyperlink>
        </w:p>
        <w:p w14:paraId="771034CD" w14:textId="77777777" w:rsidR="00FB2379" w:rsidRDefault="00CA1425">
          <w:pPr>
            <w:pStyle w:val="TOC2"/>
            <w:rPr>
              <w:noProof/>
              <w:szCs w:val="22"/>
            </w:rPr>
          </w:pPr>
          <w:hyperlink w:anchor="_Toc499025307" w:history="1">
            <w:r w:rsidR="00FB2379" w:rsidRPr="00EC6BF3">
              <w:rPr>
                <w:rStyle w:val="Hyperlink"/>
                <w:noProof/>
                <w:lang w:val="lv-LV"/>
              </w:rPr>
              <w:t>2.1. Ārējo apstākļu analīze</w:t>
            </w:r>
            <w:r w:rsidR="00FB2379">
              <w:rPr>
                <w:noProof/>
                <w:webHidden/>
              </w:rPr>
              <w:tab/>
            </w:r>
            <w:r w:rsidR="00FB2379">
              <w:rPr>
                <w:noProof/>
                <w:webHidden/>
              </w:rPr>
              <w:fldChar w:fldCharType="begin"/>
            </w:r>
            <w:r w:rsidR="00FB2379">
              <w:rPr>
                <w:noProof/>
                <w:webHidden/>
              </w:rPr>
              <w:instrText xml:space="preserve"> PAGEREF _Toc499025307 \h </w:instrText>
            </w:r>
            <w:r w:rsidR="00FB2379">
              <w:rPr>
                <w:noProof/>
                <w:webHidden/>
              </w:rPr>
            </w:r>
            <w:r w:rsidR="00FB2379">
              <w:rPr>
                <w:noProof/>
                <w:webHidden/>
              </w:rPr>
              <w:fldChar w:fldCharType="separate"/>
            </w:r>
            <w:r w:rsidR="00FB2379">
              <w:rPr>
                <w:noProof/>
                <w:webHidden/>
              </w:rPr>
              <w:t>12</w:t>
            </w:r>
            <w:r w:rsidR="00FB2379">
              <w:rPr>
                <w:noProof/>
                <w:webHidden/>
              </w:rPr>
              <w:fldChar w:fldCharType="end"/>
            </w:r>
          </w:hyperlink>
        </w:p>
        <w:p w14:paraId="43C6A0CC" w14:textId="77777777" w:rsidR="00FB2379" w:rsidRDefault="00CA1425">
          <w:pPr>
            <w:pStyle w:val="TOC2"/>
            <w:rPr>
              <w:noProof/>
              <w:szCs w:val="22"/>
            </w:rPr>
          </w:pPr>
          <w:hyperlink w:anchor="_Toc499025308" w:history="1">
            <w:r w:rsidR="00FB2379" w:rsidRPr="00EC6BF3">
              <w:rPr>
                <w:rStyle w:val="Hyperlink"/>
                <w:noProof/>
                <w:lang w:val="lv-LV"/>
              </w:rPr>
              <w:t>2.2. Ikgadējais valsts budžeta veidošanas process</w:t>
            </w:r>
            <w:r w:rsidR="00FB2379">
              <w:rPr>
                <w:noProof/>
                <w:webHidden/>
              </w:rPr>
              <w:tab/>
            </w:r>
            <w:r w:rsidR="00FB2379">
              <w:rPr>
                <w:noProof/>
                <w:webHidden/>
              </w:rPr>
              <w:fldChar w:fldCharType="begin"/>
            </w:r>
            <w:r w:rsidR="00FB2379">
              <w:rPr>
                <w:noProof/>
                <w:webHidden/>
              </w:rPr>
              <w:instrText xml:space="preserve"> PAGEREF _Toc499025308 \h </w:instrText>
            </w:r>
            <w:r w:rsidR="00FB2379">
              <w:rPr>
                <w:noProof/>
                <w:webHidden/>
              </w:rPr>
            </w:r>
            <w:r w:rsidR="00FB2379">
              <w:rPr>
                <w:noProof/>
                <w:webHidden/>
              </w:rPr>
              <w:fldChar w:fldCharType="separate"/>
            </w:r>
            <w:r w:rsidR="00FB2379">
              <w:rPr>
                <w:noProof/>
                <w:webHidden/>
              </w:rPr>
              <w:t>14</w:t>
            </w:r>
            <w:r w:rsidR="00FB2379">
              <w:rPr>
                <w:noProof/>
                <w:webHidden/>
              </w:rPr>
              <w:fldChar w:fldCharType="end"/>
            </w:r>
          </w:hyperlink>
        </w:p>
        <w:p w14:paraId="36138368" w14:textId="77777777" w:rsidR="00FB2379" w:rsidRDefault="00CA1425">
          <w:pPr>
            <w:pStyle w:val="TOC2"/>
            <w:rPr>
              <w:noProof/>
              <w:szCs w:val="22"/>
            </w:rPr>
          </w:pPr>
          <w:hyperlink w:anchor="_Toc499025309" w:history="1">
            <w:r w:rsidR="00FB2379" w:rsidRPr="00EC6BF3">
              <w:rPr>
                <w:rStyle w:val="Hyperlink"/>
                <w:noProof/>
                <w:lang w:val="lv-LV"/>
              </w:rPr>
              <w:t>2.3. Valdības maiņa</w:t>
            </w:r>
            <w:r w:rsidR="00FB2379">
              <w:rPr>
                <w:noProof/>
                <w:webHidden/>
              </w:rPr>
              <w:tab/>
            </w:r>
            <w:r w:rsidR="00FB2379">
              <w:rPr>
                <w:noProof/>
                <w:webHidden/>
              </w:rPr>
              <w:fldChar w:fldCharType="begin"/>
            </w:r>
            <w:r w:rsidR="00FB2379">
              <w:rPr>
                <w:noProof/>
                <w:webHidden/>
              </w:rPr>
              <w:instrText xml:space="preserve"> PAGEREF _Toc499025309 \h </w:instrText>
            </w:r>
            <w:r w:rsidR="00FB2379">
              <w:rPr>
                <w:noProof/>
                <w:webHidden/>
              </w:rPr>
            </w:r>
            <w:r w:rsidR="00FB2379">
              <w:rPr>
                <w:noProof/>
                <w:webHidden/>
              </w:rPr>
              <w:fldChar w:fldCharType="separate"/>
            </w:r>
            <w:r w:rsidR="00FB2379">
              <w:rPr>
                <w:noProof/>
                <w:webHidden/>
              </w:rPr>
              <w:t>18</w:t>
            </w:r>
            <w:r w:rsidR="00FB2379">
              <w:rPr>
                <w:noProof/>
                <w:webHidden/>
              </w:rPr>
              <w:fldChar w:fldCharType="end"/>
            </w:r>
          </w:hyperlink>
        </w:p>
        <w:p w14:paraId="25A509B2" w14:textId="77777777" w:rsidR="00FB2379" w:rsidRDefault="00CA1425">
          <w:pPr>
            <w:pStyle w:val="TOC1"/>
            <w:tabs>
              <w:tab w:val="right" w:leader="dot" w:pos="8290"/>
            </w:tabs>
            <w:rPr>
              <w:noProof/>
              <w:szCs w:val="22"/>
            </w:rPr>
          </w:pPr>
          <w:hyperlink w:anchor="_Toc499025310" w:history="1">
            <w:r w:rsidR="00FB2379" w:rsidRPr="00EC6BF3">
              <w:rPr>
                <w:rStyle w:val="Hyperlink"/>
                <w:noProof/>
                <w:lang w:val="lv-LV"/>
              </w:rPr>
              <w:t>3. NAP2020 ieviešanas progresa novērtējums</w:t>
            </w:r>
            <w:r w:rsidR="00FB2379">
              <w:rPr>
                <w:noProof/>
                <w:webHidden/>
              </w:rPr>
              <w:tab/>
            </w:r>
            <w:r w:rsidR="00FB2379">
              <w:rPr>
                <w:noProof/>
                <w:webHidden/>
              </w:rPr>
              <w:fldChar w:fldCharType="begin"/>
            </w:r>
            <w:r w:rsidR="00FB2379">
              <w:rPr>
                <w:noProof/>
                <w:webHidden/>
              </w:rPr>
              <w:instrText xml:space="preserve"> PAGEREF _Toc499025310 \h </w:instrText>
            </w:r>
            <w:r w:rsidR="00FB2379">
              <w:rPr>
                <w:noProof/>
                <w:webHidden/>
              </w:rPr>
            </w:r>
            <w:r w:rsidR="00FB2379">
              <w:rPr>
                <w:noProof/>
                <w:webHidden/>
              </w:rPr>
              <w:fldChar w:fldCharType="separate"/>
            </w:r>
            <w:r w:rsidR="00FB2379">
              <w:rPr>
                <w:noProof/>
                <w:webHidden/>
              </w:rPr>
              <w:t>19</w:t>
            </w:r>
            <w:r w:rsidR="00FB2379">
              <w:rPr>
                <w:noProof/>
                <w:webHidden/>
              </w:rPr>
              <w:fldChar w:fldCharType="end"/>
            </w:r>
          </w:hyperlink>
        </w:p>
        <w:p w14:paraId="4771AE22" w14:textId="77777777" w:rsidR="00FB2379" w:rsidRDefault="00CA1425">
          <w:pPr>
            <w:pStyle w:val="TOC2"/>
            <w:rPr>
              <w:noProof/>
              <w:szCs w:val="22"/>
            </w:rPr>
          </w:pPr>
          <w:hyperlink w:anchor="_Toc499025311" w:history="1">
            <w:r w:rsidR="00FB2379" w:rsidRPr="00EC6BF3">
              <w:rPr>
                <w:rStyle w:val="Hyperlink"/>
                <w:noProof/>
                <w:lang w:val="lv-LV"/>
              </w:rPr>
              <w:t>3.1. Augstražīga un eksportspējīga ražošana un starptautiski konkurētspējīgi pakalpojumi</w:t>
            </w:r>
            <w:r w:rsidR="00FB2379">
              <w:rPr>
                <w:noProof/>
                <w:webHidden/>
              </w:rPr>
              <w:tab/>
            </w:r>
            <w:r w:rsidR="00FB2379">
              <w:rPr>
                <w:noProof/>
                <w:webHidden/>
              </w:rPr>
              <w:fldChar w:fldCharType="begin"/>
            </w:r>
            <w:r w:rsidR="00FB2379">
              <w:rPr>
                <w:noProof/>
                <w:webHidden/>
              </w:rPr>
              <w:instrText xml:space="preserve"> PAGEREF _Toc499025311 \h </w:instrText>
            </w:r>
            <w:r w:rsidR="00FB2379">
              <w:rPr>
                <w:noProof/>
                <w:webHidden/>
              </w:rPr>
            </w:r>
            <w:r w:rsidR="00FB2379">
              <w:rPr>
                <w:noProof/>
                <w:webHidden/>
              </w:rPr>
              <w:fldChar w:fldCharType="separate"/>
            </w:r>
            <w:r w:rsidR="00FB2379">
              <w:rPr>
                <w:noProof/>
                <w:webHidden/>
              </w:rPr>
              <w:t>23</w:t>
            </w:r>
            <w:r w:rsidR="00FB2379">
              <w:rPr>
                <w:noProof/>
                <w:webHidden/>
              </w:rPr>
              <w:fldChar w:fldCharType="end"/>
            </w:r>
          </w:hyperlink>
        </w:p>
        <w:p w14:paraId="6F32183A" w14:textId="77777777" w:rsidR="00FB2379" w:rsidRDefault="00CA1425">
          <w:pPr>
            <w:pStyle w:val="TOC2"/>
            <w:rPr>
              <w:noProof/>
              <w:szCs w:val="22"/>
            </w:rPr>
          </w:pPr>
          <w:hyperlink w:anchor="_Toc499025312" w:history="1">
            <w:r w:rsidR="00FB2379" w:rsidRPr="00EC6BF3">
              <w:rPr>
                <w:rStyle w:val="Hyperlink"/>
                <w:noProof/>
                <w:lang w:val="lv-LV"/>
              </w:rPr>
              <w:t>3.2. Izcila uzņēmējdarbības vide</w:t>
            </w:r>
            <w:r w:rsidR="00FB2379">
              <w:rPr>
                <w:noProof/>
                <w:webHidden/>
              </w:rPr>
              <w:tab/>
            </w:r>
            <w:r w:rsidR="00FB2379">
              <w:rPr>
                <w:noProof/>
                <w:webHidden/>
              </w:rPr>
              <w:fldChar w:fldCharType="begin"/>
            </w:r>
            <w:r w:rsidR="00FB2379">
              <w:rPr>
                <w:noProof/>
                <w:webHidden/>
              </w:rPr>
              <w:instrText xml:space="preserve"> PAGEREF _Toc499025312 \h </w:instrText>
            </w:r>
            <w:r w:rsidR="00FB2379">
              <w:rPr>
                <w:noProof/>
                <w:webHidden/>
              </w:rPr>
            </w:r>
            <w:r w:rsidR="00FB2379">
              <w:rPr>
                <w:noProof/>
                <w:webHidden/>
              </w:rPr>
              <w:fldChar w:fldCharType="separate"/>
            </w:r>
            <w:r w:rsidR="00FB2379">
              <w:rPr>
                <w:noProof/>
                <w:webHidden/>
              </w:rPr>
              <w:t>29</w:t>
            </w:r>
            <w:r w:rsidR="00FB2379">
              <w:rPr>
                <w:noProof/>
                <w:webHidden/>
              </w:rPr>
              <w:fldChar w:fldCharType="end"/>
            </w:r>
          </w:hyperlink>
        </w:p>
        <w:p w14:paraId="6FD86D04" w14:textId="77777777" w:rsidR="00FB2379" w:rsidRDefault="00CA1425">
          <w:pPr>
            <w:pStyle w:val="TOC2"/>
            <w:rPr>
              <w:noProof/>
              <w:szCs w:val="22"/>
            </w:rPr>
          </w:pPr>
          <w:hyperlink w:anchor="_Toc499025313" w:history="1">
            <w:r w:rsidR="00FB2379" w:rsidRPr="00EC6BF3">
              <w:rPr>
                <w:rStyle w:val="Hyperlink"/>
                <w:noProof/>
                <w:lang w:val="lv-LV"/>
              </w:rPr>
              <w:t>3.3. Attīstīta pētniecība, inovācija un augstākā izglītība</w:t>
            </w:r>
            <w:r w:rsidR="00FB2379">
              <w:rPr>
                <w:noProof/>
                <w:webHidden/>
              </w:rPr>
              <w:tab/>
            </w:r>
            <w:r w:rsidR="00FB2379">
              <w:rPr>
                <w:noProof/>
                <w:webHidden/>
              </w:rPr>
              <w:fldChar w:fldCharType="begin"/>
            </w:r>
            <w:r w:rsidR="00FB2379">
              <w:rPr>
                <w:noProof/>
                <w:webHidden/>
              </w:rPr>
              <w:instrText xml:space="preserve"> PAGEREF _Toc499025313 \h </w:instrText>
            </w:r>
            <w:r w:rsidR="00FB2379">
              <w:rPr>
                <w:noProof/>
                <w:webHidden/>
              </w:rPr>
            </w:r>
            <w:r w:rsidR="00FB2379">
              <w:rPr>
                <w:noProof/>
                <w:webHidden/>
              </w:rPr>
              <w:fldChar w:fldCharType="separate"/>
            </w:r>
            <w:r w:rsidR="00FB2379">
              <w:rPr>
                <w:noProof/>
                <w:webHidden/>
              </w:rPr>
              <w:t>37</w:t>
            </w:r>
            <w:r w:rsidR="00FB2379">
              <w:rPr>
                <w:noProof/>
                <w:webHidden/>
              </w:rPr>
              <w:fldChar w:fldCharType="end"/>
            </w:r>
          </w:hyperlink>
        </w:p>
        <w:p w14:paraId="5CDB2DB5" w14:textId="77777777" w:rsidR="00FB2379" w:rsidRDefault="00CA1425">
          <w:pPr>
            <w:pStyle w:val="TOC2"/>
            <w:rPr>
              <w:noProof/>
              <w:szCs w:val="22"/>
            </w:rPr>
          </w:pPr>
          <w:hyperlink w:anchor="_Toc499025314" w:history="1">
            <w:r w:rsidR="00FB2379" w:rsidRPr="00EC6BF3">
              <w:rPr>
                <w:rStyle w:val="Hyperlink"/>
                <w:noProof/>
                <w:lang w:val="lv-LV"/>
              </w:rPr>
              <w:t>3.4. Energoefektivitāte un enerģijas ražošana</w:t>
            </w:r>
            <w:r w:rsidR="00FB2379">
              <w:rPr>
                <w:noProof/>
                <w:webHidden/>
              </w:rPr>
              <w:tab/>
            </w:r>
            <w:r w:rsidR="00FB2379">
              <w:rPr>
                <w:noProof/>
                <w:webHidden/>
              </w:rPr>
              <w:fldChar w:fldCharType="begin"/>
            </w:r>
            <w:r w:rsidR="00FB2379">
              <w:rPr>
                <w:noProof/>
                <w:webHidden/>
              </w:rPr>
              <w:instrText xml:space="preserve"> PAGEREF _Toc499025314 \h </w:instrText>
            </w:r>
            <w:r w:rsidR="00FB2379">
              <w:rPr>
                <w:noProof/>
                <w:webHidden/>
              </w:rPr>
            </w:r>
            <w:r w:rsidR="00FB2379">
              <w:rPr>
                <w:noProof/>
                <w:webHidden/>
              </w:rPr>
              <w:fldChar w:fldCharType="separate"/>
            </w:r>
            <w:r w:rsidR="00FB2379">
              <w:rPr>
                <w:noProof/>
                <w:webHidden/>
              </w:rPr>
              <w:t>44</w:t>
            </w:r>
            <w:r w:rsidR="00FB2379">
              <w:rPr>
                <w:noProof/>
                <w:webHidden/>
              </w:rPr>
              <w:fldChar w:fldCharType="end"/>
            </w:r>
          </w:hyperlink>
        </w:p>
        <w:p w14:paraId="5F757150" w14:textId="77777777" w:rsidR="00FB2379" w:rsidRDefault="00CA1425">
          <w:pPr>
            <w:pStyle w:val="TOC2"/>
            <w:rPr>
              <w:noProof/>
              <w:szCs w:val="22"/>
            </w:rPr>
          </w:pPr>
          <w:hyperlink w:anchor="_Toc499025315" w:history="1">
            <w:r w:rsidR="00FB2379" w:rsidRPr="00EC6BF3">
              <w:rPr>
                <w:rStyle w:val="Hyperlink"/>
                <w:noProof/>
                <w:lang w:val="lv-LV"/>
              </w:rPr>
              <w:t>3.5. Cienīgs darbs</w:t>
            </w:r>
            <w:r w:rsidR="00FB2379">
              <w:rPr>
                <w:noProof/>
                <w:webHidden/>
              </w:rPr>
              <w:tab/>
            </w:r>
            <w:r w:rsidR="00FB2379">
              <w:rPr>
                <w:noProof/>
                <w:webHidden/>
              </w:rPr>
              <w:fldChar w:fldCharType="begin"/>
            </w:r>
            <w:r w:rsidR="00FB2379">
              <w:rPr>
                <w:noProof/>
                <w:webHidden/>
              </w:rPr>
              <w:instrText xml:space="preserve"> PAGEREF _Toc499025315 \h </w:instrText>
            </w:r>
            <w:r w:rsidR="00FB2379">
              <w:rPr>
                <w:noProof/>
                <w:webHidden/>
              </w:rPr>
            </w:r>
            <w:r w:rsidR="00FB2379">
              <w:rPr>
                <w:noProof/>
                <w:webHidden/>
              </w:rPr>
              <w:fldChar w:fldCharType="separate"/>
            </w:r>
            <w:r w:rsidR="00FB2379">
              <w:rPr>
                <w:noProof/>
                <w:webHidden/>
              </w:rPr>
              <w:t>47</w:t>
            </w:r>
            <w:r w:rsidR="00FB2379">
              <w:rPr>
                <w:noProof/>
                <w:webHidden/>
              </w:rPr>
              <w:fldChar w:fldCharType="end"/>
            </w:r>
          </w:hyperlink>
        </w:p>
        <w:p w14:paraId="3788EDDE" w14:textId="77777777" w:rsidR="00FB2379" w:rsidRDefault="00CA1425">
          <w:pPr>
            <w:pStyle w:val="TOC2"/>
            <w:rPr>
              <w:noProof/>
              <w:szCs w:val="22"/>
            </w:rPr>
          </w:pPr>
          <w:hyperlink w:anchor="_Toc499025316" w:history="1">
            <w:r w:rsidR="00FB2379" w:rsidRPr="00EC6BF3">
              <w:rPr>
                <w:rStyle w:val="Hyperlink"/>
                <w:noProof/>
                <w:lang w:val="lv-LV"/>
              </w:rPr>
              <w:t>3.6. Stabili pamati tautas ataudzei</w:t>
            </w:r>
            <w:r w:rsidR="00FB2379">
              <w:rPr>
                <w:noProof/>
                <w:webHidden/>
              </w:rPr>
              <w:tab/>
            </w:r>
            <w:r w:rsidR="00FB2379">
              <w:rPr>
                <w:noProof/>
                <w:webHidden/>
              </w:rPr>
              <w:fldChar w:fldCharType="begin"/>
            </w:r>
            <w:r w:rsidR="00FB2379">
              <w:rPr>
                <w:noProof/>
                <w:webHidden/>
              </w:rPr>
              <w:instrText xml:space="preserve"> PAGEREF _Toc499025316 \h </w:instrText>
            </w:r>
            <w:r w:rsidR="00FB2379">
              <w:rPr>
                <w:noProof/>
                <w:webHidden/>
              </w:rPr>
            </w:r>
            <w:r w:rsidR="00FB2379">
              <w:rPr>
                <w:noProof/>
                <w:webHidden/>
              </w:rPr>
              <w:fldChar w:fldCharType="separate"/>
            </w:r>
            <w:r w:rsidR="00FB2379">
              <w:rPr>
                <w:noProof/>
                <w:webHidden/>
              </w:rPr>
              <w:t>52</w:t>
            </w:r>
            <w:r w:rsidR="00FB2379">
              <w:rPr>
                <w:noProof/>
                <w:webHidden/>
              </w:rPr>
              <w:fldChar w:fldCharType="end"/>
            </w:r>
          </w:hyperlink>
        </w:p>
        <w:p w14:paraId="1B1A3564" w14:textId="77777777" w:rsidR="00FB2379" w:rsidRDefault="00CA1425">
          <w:pPr>
            <w:pStyle w:val="TOC2"/>
            <w:rPr>
              <w:noProof/>
              <w:szCs w:val="22"/>
            </w:rPr>
          </w:pPr>
          <w:hyperlink w:anchor="_Toc499025317" w:history="1">
            <w:r w:rsidR="00FB2379" w:rsidRPr="00EC6BF3">
              <w:rPr>
                <w:rStyle w:val="Hyperlink"/>
                <w:noProof/>
                <w:lang w:val="lv-LV"/>
              </w:rPr>
              <w:t>3.7. Kompetenču attīstība</w:t>
            </w:r>
            <w:r w:rsidR="00FB2379">
              <w:rPr>
                <w:noProof/>
                <w:webHidden/>
              </w:rPr>
              <w:tab/>
            </w:r>
            <w:r w:rsidR="00FB2379">
              <w:rPr>
                <w:noProof/>
                <w:webHidden/>
              </w:rPr>
              <w:fldChar w:fldCharType="begin"/>
            </w:r>
            <w:r w:rsidR="00FB2379">
              <w:rPr>
                <w:noProof/>
                <w:webHidden/>
              </w:rPr>
              <w:instrText xml:space="preserve"> PAGEREF _Toc499025317 \h </w:instrText>
            </w:r>
            <w:r w:rsidR="00FB2379">
              <w:rPr>
                <w:noProof/>
                <w:webHidden/>
              </w:rPr>
            </w:r>
            <w:r w:rsidR="00FB2379">
              <w:rPr>
                <w:noProof/>
                <w:webHidden/>
              </w:rPr>
              <w:fldChar w:fldCharType="separate"/>
            </w:r>
            <w:r w:rsidR="00FB2379">
              <w:rPr>
                <w:noProof/>
                <w:webHidden/>
              </w:rPr>
              <w:t>57</w:t>
            </w:r>
            <w:r w:rsidR="00FB2379">
              <w:rPr>
                <w:noProof/>
                <w:webHidden/>
              </w:rPr>
              <w:fldChar w:fldCharType="end"/>
            </w:r>
          </w:hyperlink>
        </w:p>
        <w:p w14:paraId="577F0BB4" w14:textId="77777777" w:rsidR="00FB2379" w:rsidRDefault="00CA1425">
          <w:pPr>
            <w:pStyle w:val="TOC2"/>
            <w:rPr>
              <w:noProof/>
              <w:szCs w:val="22"/>
            </w:rPr>
          </w:pPr>
          <w:hyperlink w:anchor="_Toc499025318" w:history="1">
            <w:r w:rsidR="00FB2379" w:rsidRPr="00EC6BF3">
              <w:rPr>
                <w:rStyle w:val="Hyperlink"/>
                <w:noProof/>
                <w:lang w:val="lv-LV"/>
              </w:rPr>
              <w:t>3.8. Vesels un darbspējīgs cilvēks</w:t>
            </w:r>
            <w:r w:rsidR="00FB2379">
              <w:rPr>
                <w:noProof/>
                <w:webHidden/>
              </w:rPr>
              <w:tab/>
            </w:r>
            <w:r w:rsidR="00FB2379">
              <w:rPr>
                <w:noProof/>
                <w:webHidden/>
              </w:rPr>
              <w:fldChar w:fldCharType="begin"/>
            </w:r>
            <w:r w:rsidR="00FB2379">
              <w:rPr>
                <w:noProof/>
                <w:webHidden/>
              </w:rPr>
              <w:instrText xml:space="preserve"> PAGEREF _Toc499025318 \h </w:instrText>
            </w:r>
            <w:r w:rsidR="00FB2379">
              <w:rPr>
                <w:noProof/>
                <w:webHidden/>
              </w:rPr>
            </w:r>
            <w:r w:rsidR="00FB2379">
              <w:rPr>
                <w:noProof/>
                <w:webHidden/>
              </w:rPr>
              <w:fldChar w:fldCharType="separate"/>
            </w:r>
            <w:r w:rsidR="00FB2379">
              <w:rPr>
                <w:noProof/>
                <w:webHidden/>
              </w:rPr>
              <w:t>64</w:t>
            </w:r>
            <w:r w:rsidR="00FB2379">
              <w:rPr>
                <w:noProof/>
                <w:webHidden/>
              </w:rPr>
              <w:fldChar w:fldCharType="end"/>
            </w:r>
          </w:hyperlink>
        </w:p>
        <w:p w14:paraId="3FF0D215" w14:textId="77777777" w:rsidR="00FB2379" w:rsidRDefault="00CA1425">
          <w:pPr>
            <w:pStyle w:val="TOC2"/>
            <w:rPr>
              <w:noProof/>
              <w:szCs w:val="22"/>
            </w:rPr>
          </w:pPr>
          <w:hyperlink w:anchor="_Toc499025319" w:history="1">
            <w:r w:rsidR="00FB2379" w:rsidRPr="00EC6BF3">
              <w:rPr>
                <w:rStyle w:val="Hyperlink"/>
                <w:noProof/>
                <w:lang w:val="lv-LV"/>
              </w:rPr>
              <w:t>3.9. Cilvēku sadarbība, kultūra un pilsoniskā līdzdalība kā piederības Latvijai pamats</w:t>
            </w:r>
            <w:r w:rsidR="00FB2379">
              <w:rPr>
                <w:noProof/>
                <w:webHidden/>
              </w:rPr>
              <w:tab/>
            </w:r>
            <w:r w:rsidR="00FB2379">
              <w:rPr>
                <w:noProof/>
                <w:webHidden/>
              </w:rPr>
              <w:fldChar w:fldCharType="begin"/>
            </w:r>
            <w:r w:rsidR="00FB2379">
              <w:rPr>
                <w:noProof/>
                <w:webHidden/>
              </w:rPr>
              <w:instrText xml:space="preserve"> PAGEREF _Toc499025319 \h </w:instrText>
            </w:r>
            <w:r w:rsidR="00FB2379">
              <w:rPr>
                <w:noProof/>
                <w:webHidden/>
              </w:rPr>
            </w:r>
            <w:r w:rsidR="00FB2379">
              <w:rPr>
                <w:noProof/>
                <w:webHidden/>
              </w:rPr>
              <w:fldChar w:fldCharType="separate"/>
            </w:r>
            <w:r w:rsidR="00FB2379">
              <w:rPr>
                <w:noProof/>
                <w:webHidden/>
              </w:rPr>
              <w:t>70</w:t>
            </w:r>
            <w:r w:rsidR="00FB2379">
              <w:rPr>
                <w:noProof/>
                <w:webHidden/>
              </w:rPr>
              <w:fldChar w:fldCharType="end"/>
            </w:r>
          </w:hyperlink>
        </w:p>
        <w:p w14:paraId="14B8335E" w14:textId="77777777" w:rsidR="00FB2379" w:rsidRDefault="00CA1425">
          <w:pPr>
            <w:pStyle w:val="TOC2"/>
            <w:rPr>
              <w:noProof/>
              <w:szCs w:val="22"/>
            </w:rPr>
          </w:pPr>
          <w:hyperlink w:anchor="_Toc499025320" w:history="1">
            <w:r w:rsidR="00FB2379" w:rsidRPr="00EC6BF3">
              <w:rPr>
                <w:rStyle w:val="Hyperlink"/>
                <w:noProof/>
                <w:lang w:val="lv-LV"/>
              </w:rPr>
              <w:t>3.10. Ekonomiskās aktivitātes veicināšana reģionos – teritoriju potenciāla izmantošana</w:t>
            </w:r>
            <w:r w:rsidR="00FB2379">
              <w:rPr>
                <w:noProof/>
                <w:webHidden/>
              </w:rPr>
              <w:tab/>
            </w:r>
            <w:r w:rsidR="00FB2379">
              <w:rPr>
                <w:noProof/>
                <w:webHidden/>
              </w:rPr>
              <w:fldChar w:fldCharType="begin"/>
            </w:r>
            <w:r w:rsidR="00FB2379">
              <w:rPr>
                <w:noProof/>
                <w:webHidden/>
              </w:rPr>
              <w:instrText xml:space="preserve"> PAGEREF _Toc499025320 \h </w:instrText>
            </w:r>
            <w:r w:rsidR="00FB2379">
              <w:rPr>
                <w:noProof/>
                <w:webHidden/>
              </w:rPr>
            </w:r>
            <w:r w:rsidR="00FB2379">
              <w:rPr>
                <w:noProof/>
                <w:webHidden/>
              </w:rPr>
              <w:fldChar w:fldCharType="separate"/>
            </w:r>
            <w:r w:rsidR="00FB2379">
              <w:rPr>
                <w:noProof/>
                <w:webHidden/>
              </w:rPr>
              <w:t>75</w:t>
            </w:r>
            <w:r w:rsidR="00FB2379">
              <w:rPr>
                <w:noProof/>
                <w:webHidden/>
              </w:rPr>
              <w:fldChar w:fldCharType="end"/>
            </w:r>
          </w:hyperlink>
        </w:p>
        <w:p w14:paraId="7997586A" w14:textId="77777777" w:rsidR="00FB2379" w:rsidRDefault="00CA1425">
          <w:pPr>
            <w:pStyle w:val="TOC2"/>
            <w:rPr>
              <w:noProof/>
              <w:szCs w:val="22"/>
            </w:rPr>
          </w:pPr>
          <w:hyperlink w:anchor="_Toc499025321" w:history="1">
            <w:r w:rsidR="00FB2379" w:rsidRPr="00EC6BF3">
              <w:rPr>
                <w:rStyle w:val="Hyperlink"/>
                <w:noProof/>
                <w:lang w:val="lv-LV"/>
              </w:rPr>
              <w:t>3.11. Pakalpojumu pieejamība līdzvērtīgu darba iespēju un dzīves apstākļu radīšanai</w:t>
            </w:r>
            <w:r w:rsidR="00FB2379">
              <w:rPr>
                <w:noProof/>
                <w:webHidden/>
              </w:rPr>
              <w:tab/>
            </w:r>
            <w:r w:rsidR="00FB2379">
              <w:rPr>
                <w:noProof/>
                <w:webHidden/>
              </w:rPr>
              <w:fldChar w:fldCharType="begin"/>
            </w:r>
            <w:r w:rsidR="00FB2379">
              <w:rPr>
                <w:noProof/>
                <w:webHidden/>
              </w:rPr>
              <w:instrText xml:space="preserve"> PAGEREF _Toc499025321 \h </w:instrText>
            </w:r>
            <w:r w:rsidR="00FB2379">
              <w:rPr>
                <w:noProof/>
                <w:webHidden/>
              </w:rPr>
            </w:r>
            <w:r w:rsidR="00FB2379">
              <w:rPr>
                <w:noProof/>
                <w:webHidden/>
              </w:rPr>
              <w:fldChar w:fldCharType="separate"/>
            </w:r>
            <w:r w:rsidR="00FB2379">
              <w:rPr>
                <w:noProof/>
                <w:webHidden/>
              </w:rPr>
              <w:t>81</w:t>
            </w:r>
            <w:r w:rsidR="00FB2379">
              <w:rPr>
                <w:noProof/>
                <w:webHidden/>
              </w:rPr>
              <w:fldChar w:fldCharType="end"/>
            </w:r>
          </w:hyperlink>
        </w:p>
        <w:p w14:paraId="3E27CE59" w14:textId="77777777" w:rsidR="00FB2379" w:rsidRDefault="00CA1425">
          <w:pPr>
            <w:pStyle w:val="TOC2"/>
            <w:rPr>
              <w:noProof/>
              <w:szCs w:val="22"/>
            </w:rPr>
          </w:pPr>
          <w:hyperlink w:anchor="_Toc499025322" w:history="1">
            <w:r w:rsidR="00FB2379" w:rsidRPr="00EC6BF3">
              <w:rPr>
                <w:rStyle w:val="Hyperlink"/>
                <w:noProof/>
                <w:lang w:val="lv-LV"/>
              </w:rPr>
              <w:t>3.12. Dabas un kultūras kapitāla ilgtspējīga apsaimniekošana</w:t>
            </w:r>
            <w:r w:rsidR="00FB2379">
              <w:rPr>
                <w:noProof/>
                <w:webHidden/>
              </w:rPr>
              <w:tab/>
            </w:r>
            <w:r w:rsidR="00FB2379">
              <w:rPr>
                <w:noProof/>
                <w:webHidden/>
              </w:rPr>
              <w:fldChar w:fldCharType="begin"/>
            </w:r>
            <w:r w:rsidR="00FB2379">
              <w:rPr>
                <w:noProof/>
                <w:webHidden/>
              </w:rPr>
              <w:instrText xml:space="preserve"> PAGEREF _Toc499025322 \h </w:instrText>
            </w:r>
            <w:r w:rsidR="00FB2379">
              <w:rPr>
                <w:noProof/>
                <w:webHidden/>
              </w:rPr>
            </w:r>
            <w:r w:rsidR="00FB2379">
              <w:rPr>
                <w:noProof/>
                <w:webHidden/>
              </w:rPr>
              <w:fldChar w:fldCharType="separate"/>
            </w:r>
            <w:r w:rsidR="00FB2379">
              <w:rPr>
                <w:noProof/>
                <w:webHidden/>
              </w:rPr>
              <w:t>85</w:t>
            </w:r>
            <w:r w:rsidR="00FB2379">
              <w:rPr>
                <w:noProof/>
                <w:webHidden/>
              </w:rPr>
              <w:fldChar w:fldCharType="end"/>
            </w:r>
          </w:hyperlink>
        </w:p>
        <w:p w14:paraId="1823FF21" w14:textId="77777777" w:rsidR="00FB2379" w:rsidRDefault="00CA1425">
          <w:pPr>
            <w:pStyle w:val="TOC1"/>
            <w:tabs>
              <w:tab w:val="right" w:leader="dot" w:pos="8290"/>
            </w:tabs>
            <w:rPr>
              <w:noProof/>
              <w:szCs w:val="22"/>
            </w:rPr>
          </w:pPr>
          <w:hyperlink w:anchor="_Toc499025323" w:history="1">
            <w:r w:rsidR="00FB2379" w:rsidRPr="00EC6BF3">
              <w:rPr>
                <w:rStyle w:val="Hyperlink"/>
                <w:noProof/>
                <w:lang w:val="lv-LV"/>
              </w:rPr>
              <w:t>4. Latvijas ilgtspējīgas attīstības mērķu īstenošanas progresa novērtējums</w:t>
            </w:r>
            <w:r w:rsidR="00FB2379">
              <w:rPr>
                <w:noProof/>
                <w:webHidden/>
              </w:rPr>
              <w:tab/>
            </w:r>
            <w:r w:rsidR="00FB2379">
              <w:rPr>
                <w:noProof/>
                <w:webHidden/>
              </w:rPr>
              <w:fldChar w:fldCharType="begin"/>
            </w:r>
            <w:r w:rsidR="00FB2379">
              <w:rPr>
                <w:noProof/>
                <w:webHidden/>
              </w:rPr>
              <w:instrText xml:space="preserve"> PAGEREF _Toc499025323 \h </w:instrText>
            </w:r>
            <w:r w:rsidR="00FB2379">
              <w:rPr>
                <w:noProof/>
                <w:webHidden/>
              </w:rPr>
            </w:r>
            <w:r w:rsidR="00FB2379">
              <w:rPr>
                <w:noProof/>
                <w:webHidden/>
              </w:rPr>
              <w:fldChar w:fldCharType="separate"/>
            </w:r>
            <w:r w:rsidR="00FB2379">
              <w:rPr>
                <w:noProof/>
                <w:webHidden/>
              </w:rPr>
              <w:t>90</w:t>
            </w:r>
            <w:r w:rsidR="00FB2379">
              <w:rPr>
                <w:noProof/>
                <w:webHidden/>
              </w:rPr>
              <w:fldChar w:fldCharType="end"/>
            </w:r>
          </w:hyperlink>
        </w:p>
        <w:p w14:paraId="37FF63D0" w14:textId="77777777" w:rsidR="00FB2379" w:rsidRDefault="00CA1425">
          <w:pPr>
            <w:pStyle w:val="TOC1"/>
            <w:tabs>
              <w:tab w:val="right" w:leader="dot" w:pos="8290"/>
            </w:tabs>
            <w:rPr>
              <w:noProof/>
              <w:szCs w:val="22"/>
            </w:rPr>
          </w:pPr>
          <w:hyperlink w:anchor="_Toc499025324" w:history="1">
            <w:r w:rsidR="00FB2379" w:rsidRPr="00EC6BF3">
              <w:rPr>
                <w:rStyle w:val="Hyperlink"/>
                <w:noProof/>
                <w:lang w:val="lv-LV"/>
              </w:rPr>
              <w:t>5. Latvijas konkurētspējas novērtējums</w:t>
            </w:r>
            <w:r w:rsidR="00FB2379">
              <w:rPr>
                <w:noProof/>
                <w:webHidden/>
              </w:rPr>
              <w:tab/>
            </w:r>
            <w:r w:rsidR="00FB2379">
              <w:rPr>
                <w:noProof/>
                <w:webHidden/>
              </w:rPr>
              <w:fldChar w:fldCharType="begin"/>
            </w:r>
            <w:r w:rsidR="00FB2379">
              <w:rPr>
                <w:noProof/>
                <w:webHidden/>
              </w:rPr>
              <w:instrText xml:space="preserve"> PAGEREF _Toc499025324 \h </w:instrText>
            </w:r>
            <w:r w:rsidR="00FB2379">
              <w:rPr>
                <w:noProof/>
                <w:webHidden/>
              </w:rPr>
            </w:r>
            <w:r w:rsidR="00FB2379">
              <w:rPr>
                <w:noProof/>
                <w:webHidden/>
              </w:rPr>
              <w:fldChar w:fldCharType="separate"/>
            </w:r>
            <w:r w:rsidR="00FB2379">
              <w:rPr>
                <w:noProof/>
                <w:webHidden/>
              </w:rPr>
              <w:t>97</w:t>
            </w:r>
            <w:r w:rsidR="00FB2379">
              <w:rPr>
                <w:noProof/>
                <w:webHidden/>
              </w:rPr>
              <w:fldChar w:fldCharType="end"/>
            </w:r>
          </w:hyperlink>
        </w:p>
        <w:p w14:paraId="5BA4FFB2" w14:textId="77777777" w:rsidR="00FB2379" w:rsidRDefault="00CA1425">
          <w:pPr>
            <w:pStyle w:val="TOC1"/>
            <w:tabs>
              <w:tab w:val="right" w:leader="dot" w:pos="8290"/>
            </w:tabs>
            <w:rPr>
              <w:noProof/>
              <w:szCs w:val="22"/>
            </w:rPr>
          </w:pPr>
          <w:hyperlink w:anchor="_Toc499025325" w:history="1">
            <w:r w:rsidR="00FB2379" w:rsidRPr="00EC6BF3">
              <w:rPr>
                <w:rStyle w:val="Hyperlink"/>
                <w:noProof/>
                <w:lang w:val="lv-LV"/>
              </w:rPr>
              <w:t>6. Rekomendācijas</w:t>
            </w:r>
            <w:r w:rsidR="00FB2379">
              <w:rPr>
                <w:noProof/>
                <w:webHidden/>
              </w:rPr>
              <w:tab/>
            </w:r>
            <w:r w:rsidR="00FB2379">
              <w:rPr>
                <w:noProof/>
                <w:webHidden/>
              </w:rPr>
              <w:fldChar w:fldCharType="begin"/>
            </w:r>
            <w:r w:rsidR="00FB2379">
              <w:rPr>
                <w:noProof/>
                <w:webHidden/>
              </w:rPr>
              <w:instrText xml:space="preserve"> PAGEREF _Toc499025325 \h </w:instrText>
            </w:r>
            <w:r w:rsidR="00FB2379">
              <w:rPr>
                <w:noProof/>
                <w:webHidden/>
              </w:rPr>
            </w:r>
            <w:r w:rsidR="00FB2379">
              <w:rPr>
                <w:noProof/>
                <w:webHidden/>
              </w:rPr>
              <w:fldChar w:fldCharType="separate"/>
            </w:r>
            <w:r w:rsidR="00FB2379">
              <w:rPr>
                <w:noProof/>
                <w:webHidden/>
              </w:rPr>
              <w:t>98</w:t>
            </w:r>
            <w:r w:rsidR="00FB2379">
              <w:rPr>
                <w:noProof/>
                <w:webHidden/>
              </w:rPr>
              <w:fldChar w:fldCharType="end"/>
            </w:r>
          </w:hyperlink>
        </w:p>
        <w:p w14:paraId="63F24766" w14:textId="77777777" w:rsidR="00FB2379" w:rsidRDefault="00CA1425">
          <w:pPr>
            <w:pStyle w:val="TOC2"/>
            <w:rPr>
              <w:noProof/>
              <w:szCs w:val="22"/>
            </w:rPr>
          </w:pPr>
          <w:hyperlink w:anchor="_Toc499025326" w:history="1">
            <w:r w:rsidR="00FB2379" w:rsidRPr="00EC6BF3">
              <w:rPr>
                <w:rStyle w:val="Hyperlink"/>
                <w:noProof/>
                <w:lang w:val="lv-LV"/>
              </w:rPr>
              <w:t>TAUTAS SAIMNIECĪBAS IZAUGSME</w:t>
            </w:r>
            <w:r w:rsidR="00FB2379">
              <w:rPr>
                <w:noProof/>
                <w:webHidden/>
              </w:rPr>
              <w:tab/>
            </w:r>
            <w:r w:rsidR="00FB2379">
              <w:rPr>
                <w:noProof/>
                <w:webHidden/>
              </w:rPr>
              <w:fldChar w:fldCharType="begin"/>
            </w:r>
            <w:r w:rsidR="00FB2379">
              <w:rPr>
                <w:noProof/>
                <w:webHidden/>
              </w:rPr>
              <w:instrText xml:space="preserve"> PAGEREF _Toc499025326 \h </w:instrText>
            </w:r>
            <w:r w:rsidR="00FB2379">
              <w:rPr>
                <w:noProof/>
                <w:webHidden/>
              </w:rPr>
            </w:r>
            <w:r w:rsidR="00FB2379">
              <w:rPr>
                <w:noProof/>
                <w:webHidden/>
              </w:rPr>
              <w:fldChar w:fldCharType="separate"/>
            </w:r>
            <w:r w:rsidR="00FB2379">
              <w:rPr>
                <w:noProof/>
                <w:webHidden/>
              </w:rPr>
              <w:t>98</w:t>
            </w:r>
            <w:r w:rsidR="00FB2379">
              <w:rPr>
                <w:noProof/>
                <w:webHidden/>
              </w:rPr>
              <w:fldChar w:fldCharType="end"/>
            </w:r>
          </w:hyperlink>
        </w:p>
        <w:p w14:paraId="60A9F7EF" w14:textId="77777777" w:rsidR="00FB2379" w:rsidRDefault="00CA1425">
          <w:pPr>
            <w:pStyle w:val="TOC2"/>
            <w:rPr>
              <w:noProof/>
              <w:szCs w:val="22"/>
            </w:rPr>
          </w:pPr>
          <w:hyperlink w:anchor="_Toc499025327" w:history="1">
            <w:r w:rsidR="00FB2379" w:rsidRPr="00EC6BF3">
              <w:rPr>
                <w:rStyle w:val="Hyperlink"/>
                <w:noProof/>
                <w:lang w:val="lv-LV"/>
              </w:rPr>
              <w:t>CILVĒKA DROŠUMSPĒJA</w:t>
            </w:r>
            <w:r w:rsidR="00FB2379">
              <w:rPr>
                <w:noProof/>
                <w:webHidden/>
              </w:rPr>
              <w:tab/>
            </w:r>
            <w:r w:rsidR="00FB2379">
              <w:rPr>
                <w:noProof/>
                <w:webHidden/>
              </w:rPr>
              <w:fldChar w:fldCharType="begin"/>
            </w:r>
            <w:r w:rsidR="00FB2379">
              <w:rPr>
                <w:noProof/>
                <w:webHidden/>
              </w:rPr>
              <w:instrText xml:space="preserve"> PAGEREF _Toc499025327 \h </w:instrText>
            </w:r>
            <w:r w:rsidR="00FB2379">
              <w:rPr>
                <w:noProof/>
                <w:webHidden/>
              </w:rPr>
            </w:r>
            <w:r w:rsidR="00FB2379">
              <w:rPr>
                <w:noProof/>
                <w:webHidden/>
              </w:rPr>
              <w:fldChar w:fldCharType="separate"/>
            </w:r>
            <w:r w:rsidR="00FB2379">
              <w:rPr>
                <w:noProof/>
                <w:webHidden/>
              </w:rPr>
              <w:t>100</w:t>
            </w:r>
            <w:r w:rsidR="00FB2379">
              <w:rPr>
                <w:noProof/>
                <w:webHidden/>
              </w:rPr>
              <w:fldChar w:fldCharType="end"/>
            </w:r>
          </w:hyperlink>
        </w:p>
        <w:p w14:paraId="73996A88" w14:textId="77777777" w:rsidR="00FB2379" w:rsidRDefault="00CA1425">
          <w:pPr>
            <w:pStyle w:val="TOC2"/>
            <w:rPr>
              <w:noProof/>
              <w:szCs w:val="22"/>
            </w:rPr>
          </w:pPr>
          <w:hyperlink w:anchor="_Toc499025328" w:history="1">
            <w:r w:rsidR="00FB2379" w:rsidRPr="00EC6BF3">
              <w:rPr>
                <w:rStyle w:val="Hyperlink"/>
                <w:noProof/>
                <w:lang w:val="lv-LV"/>
              </w:rPr>
              <w:t>IZAUGSMI ATBALSTOŠAS TERITORIJAS</w:t>
            </w:r>
            <w:r w:rsidR="00FB2379">
              <w:rPr>
                <w:noProof/>
                <w:webHidden/>
              </w:rPr>
              <w:tab/>
            </w:r>
            <w:r w:rsidR="00FB2379">
              <w:rPr>
                <w:noProof/>
                <w:webHidden/>
              </w:rPr>
              <w:fldChar w:fldCharType="begin"/>
            </w:r>
            <w:r w:rsidR="00FB2379">
              <w:rPr>
                <w:noProof/>
                <w:webHidden/>
              </w:rPr>
              <w:instrText xml:space="preserve"> PAGEREF _Toc499025328 \h </w:instrText>
            </w:r>
            <w:r w:rsidR="00FB2379">
              <w:rPr>
                <w:noProof/>
                <w:webHidden/>
              </w:rPr>
            </w:r>
            <w:r w:rsidR="00FB2379">
              <w:rPr>
                <w:noProof/>
                <w:webHidden/>
              </w:rPr>
              <w:fldChar w:fldCharType="separate"/>
            </w:r>
            <w:r w:rsidR="00FB2379">
              <w:rPr>
                <w:noProof/>
                <w:webHidden/>
              </w:rPr>
              <w:t>103</w:t>
            </w:r>
            <w:r w:rsidR="00FB2379">
              <w:rPr>
                <w:noProof/>
                <w:webHidden/>
              </w:rPr>
              <w:fldChar w:fldCharType="end"/>
            </w:r>
          </w:hyperlink>
        </w:p>
        <w:p w14:paraId="5F98D406" w14:textId="77777777" w:rsidR="00FB2379" w:rsidRDefault="00CA1425">
          <w:pPr>
            <w:pStyle w:val="TOC2"/>
            <w:rPr>
              <w:noProof/>
              <w:szCs w:val="22"/>
            </w:rPr>
          </w:pPr>
          <w:hyperlink w:anchor="_Toc499025329" w:history="1">
            <w:r w:rsidR="00FB2379" w:rsidRPr="00EC6BF3">
              <w:rPr>
                <w:rStyle w:val="Hyperlink"/>
                <w:noProof/>
                <w:lang w:val="lv-LV"/>
              </w:rPr>
              <w:t>IEKŠĒJĀ DROŠĪBA UN AIZSARDZĪBA</w:t>
            </w:r>
            <w:r w:rsidR="00FB2379">
              <w:rPr>
                <w:noProof/>
                <w:webHidden/>
              </w:rPr>
              <w:tab/>
            </w:r>
            <w:r w:rsidR="00FB2379">
              <w:rPr>
                <w:noProof/>
                <w:webHidden/>
              </w:rPr>
              <w:fldChar w:fldCharType="begin"/>
            </w:r>
            <w:r w:rsidR="00FB2379">
              <w:rPr>
                <w:noProof/>
                <w:webHidden/>
              </w:rPr>
              <w:instrText xml:space="preserve"> PAGEREF _Toc499025329 \h </w:instrText>
            </w:r>
            <w:r w:rsidR="00FB2379">
              <w:rPr>
                <w:noProof/>
                <w:webHidden/>
              </w:rPr>
            </w:r>
            <w:r w:rsidR="00FB2379">
              <w:rPr>
                <w:noProof/>
                <w:webHidden/>
              </w:rPr>
              <w:fldChar w:fldCharType="separate"/>
            </w:r>
            <w:r w:rsidR="00FB2379">
              <w:rPr>
                <w:noProof/>
                <w:webHidden/>
              </w:rPr>
              <w:t>105</w:t>
            </w:r>
            <w:r w:rsidR="00FB2379">
              <w:rPr>
                <w:noProof/>
                <w:webHidden/>
              </w:rPr>
              <w:fldChar w:fldCharType="end"/>
            </w:r>
          </w:hyperlink>
        </w:p>
        <w:p w14:paraId="6D8788BD" w14:textId="417909C5" w:rsidR="00FC488E" w:rsidRDefault="00FC488E">
          <w:r>
            <w:fldChar w:fldCharType="end"/>
          </w:r>
        </w:p>
      </w:sdtContent>
    </w:sdt>
    <w:p w14:paraId="18392F81" w14:textId="77777777" w:rsidR="007D04D5" w:rsidRPr="007D04D5" w:rsidRDefault="007D04D5" w:rsidP="007D04D5"/>
    <w:p w14:paraId="3E03894E" w14:textId="4046CD99" w:rsidR="0093074A" w:rsidRDefault="002139B5" w:rsidP="0070078D">
      <w:pPr>
        <w:pStyle w:val="Heading1"/>
      </w:pPr>
      <w:bookmarkStart w:id="3" w:name="_Toc498690602"/>
      <w:bookmarkStart w:id="4" w:name="_Toc499025299"/>
      <w:r>
        <w:t>Jēdzienu s</w:t>
      </w:r>
      <w:r w:rsidR="0093074A">
        <w:t>kaidrojumi</w:t>
      </w:r>
      <w:bookmarkEnd w:id="3"/>
      <w:bookmarkEnd w:id="4"/>
    </w:p>
    <w:p w14:paraId="17D9E4FE" w14:textId="11CDCD6F" w:rsidR="0093074A" w:rsidRPr="0093074A" w:rsidRDefault="0093074A" w:rsidP="0093074A">
      <w:pPr>
        <w:rPr>
          <w:lang w:val="lv-LV"/>
        </w:rPr>
      </w:pPr>
      <w:r w:rsidRPr="0093074A">
        <w:rPr>
          <w:b/>
          <w:lang w:val="lv-LV"/>
        </w:rPr>
        <w:t>Veiktās valsts budžeta investīcijas</w:t>
      </w:r>
      <w:r w:rsidRPr="0093074A">
        <w:rPr>
          <w:lang w:val="lv-LV"/>
        </w:rPr>
        <w:t xml:space="preserve"> – uz 2016. gada 31. decembri veiktās investīcijas, kas ietver JPI, LNG, FT, neatliekamos pasākumus, valsts budžeta ES fondu līdzfinansējumu.</w:t>
      </w:r>
    </w:p>
    <w:p w14:paraId="1D32B0B4" w14:textId="67552874" w:rsidR="0093074A" w:rsidRPr="0093074A" w:rsidRDefault="0093074A" w:rsidP="0093074A">
      <w:pPr>
        <w:rPr>
          <w:lang w:val="lv-LV"/>
        </w:rPr>
      </w:pPr>
      <w:r w:rsidRPr="0093074A">
        <w:rPr>
          <w:b/>
          <w:lang w:val="lv-LV"/>
        </w:rPr>
        <w:t>Veiktās ES fondu investīcijas</w:t>
      </w:r>
      <w:r w:rsidRPr="0093074A">
        <w:rPr>
          <w:lang w:val="lv-LV"/>
        </w:rPr>
        <w:t xml:space="preserve"> – uz 2016. gada 31. decembri izmaksātie KF, ESF, ERAF līdzekļi, izņemot tehniskās palīdzības līdzekļus un līdzfinansējumu, un uz 2016. gada 31.decembri uzņemtās saistības attiecībā uz ELFLA un EJZF.</w:t>
      </w:r>
    </w:p>
    <w:p w14:paraId="3CB1A75B" w14:textId="4D8A7042" w:rsidR="0093074A" w:rsidRPr="0093074A" w:rsidRDefault="0093074A" w:rsidP="0093074A">
      <w:pPr>
        <w:rPr>
          <w:lang w:val="lv-LV"/>
        </w:rPr>
      </w:pPr>
      <w:r w:rsidRPr="0093074A">
        <w:rPr>
          <w:b/>
          <w:lang w:val="lv-LV"/>
        </w:rPr>
        <w:t>Plānotās valsts budžeta investīcijas</w:t>
      </w:r>
      <w:r w:rsidRPr="0093074A">
        <w:rPr>
          <w:lang w:val="lv-LV"/>
        </w:rPr>
        <w:t xml:space="preserve"> – sākotnēji plānotais valsts budžeta finansējums atbilstoši NAP2020 finansēšanas tabulā norādītajam sākotnēji plānotajam finansējumam, t.sk. valsts budžeta ES fondu līdzfinansējums.</w:t>
      </w:r>
    </w:p>
    <w:p w14:paraId="066E3038" w14:textId="4B9AD52B" w:rsidR="0093074A" w:rsidRPr="0093074A" w:rsidRDefault="0093074A" w:rsidP="0093074A">
      <w:pPr>
        <w:rPr>
          <w:lang w:val="lv-LV"/>
        </w:rPr>
      </w:pPr>
      <w:r w:rsidRPr="0093074A">
        <w:rPr>
          <w:b/>
          <w:lang w:val="lv-LV"/>
        </w:rPr>
        <w:t>Plānotās ES fondu investīcijas</w:t>
      </w:r>
      <w:r w:rsidRPr="0093074A">
        <w:rPr>
          <w:lang w:val="lv-LV"/>
        </w:rPr>
        <w:t xml:space="preserve"> – ES fondu 2014.–2020. gada periodā uz NAP2020 attiecināmās ES fondu investīcijas, izņemot tehniskās palīdzības līdzekļus un līdzfinansējumu.</w:t>
      </w:r>
    </w:p>
    <w:p w14:paraId="76592293" w14:textId="77777777" w:rsidR="00D87E57" w:rsidRDefault="0093074A" w:rsidP="00D87E57">
      <w:pPr>
        <w:rPr>
          <w:lang w:val="lv-LV"/>
        </w:rPr>
      </w:pPr>
      <w:r w:rsidRPr="0093074A">
        <w:rPr>
          <w:b/>
          <w:lang w:val="lv-LV"/>
        </w:rPr>
        <w:t xml:space="preserve">Citas ārvalstu finanšu investīcijas – </w:t>
      </w:r>
      <w:r w:rsidRPr="0093074A">
        <w:rPr>
          <w:lang w:val="lv-LV"/>
        </w:rPr>
        <w:t>finansējums no CEF, Horizon, EEZ u.c. ārvalstu avotiem.</w:t>
      </w:r>
    </w:p>
    <w:p w14:paraId="2F68142C" w14:textId="77777777" w:rsidR="00D87E57" w:rsidRDefault="00D87E57" w:rsidP="00D87E57">
      <w:pPr>
        <w:rPr>
          <w:rFonts w:cstheme="majorBidi"/>
          <w:b/>
          <w:color w:val="000000" w:themeColor="text1"/>
          <w:szCs w:val="22"/>
        </w:rPr>
      </w:pPr>
      <w:r w:rsidRPr="00D87E57">
        <w:rPr>
          <w:rFonts w:eastAsia="Times New Roman" w:cstheme="majorBidi"/>
          <w:b/>
          <w:color w:val="000000" w:themeColor="text1"/>
          <w:szCs w:val="22"/>
          <w:lang w:eastAsia="lv-LV"/>
        </w:rPr>
        <w:t>Konkurētspēja</w:t>
      </w:r>
      <w:r w:rsidRPr="00D87E57">
        <w:rPr>
          <w:rFonts w:eastAsia="Times New Roman" w:cstheme="majorBidi"/>
          <w:color w:val="000000" w:themeColor="text1"/>
          <w:szCs w:val="22"/>
          <w:lang w:eastAsia="lv-LV"/>
        </w:rPr>
        <w:t xml:space="preserve"> – uzņēmuma, nozares vai valsts spēja pārdot savus produktus, preces vai pakalpojumus tirgū</w:t>
      </w:r>
      <w:r w:rsidRPr="00D87E57">
        <w:rPr>
          <w:rFonts w:cstheme="majorBidi"/>
          <w:b/>
          <w:color w:val="000000" w:themeColor="text1"/>
          <w:szCs w:val="22"/>
        </w:rPr>
        <w:t xml:space="preserve"> </w:t>
      </w:r>
    </w:p>
    <w:p w14:paraId="259C9D8B" w14:textId="77777777" w:rsidR="00D87E57" w:rsidRDefault="00D87E57" w:rsidP="00D87E57">
      <w:pPr>
        <w:rPr>
          <w:rFonts w:eastAsia="Times New Roman" w:cstheme="majorBidi"/>
          <w:color w:val="000000" w:themeColor="text1"/>
          <w:szCs w:val="22"/>
          <w:lang w:eastAsia="lv-LV"/>
        </w:rPr>
      </w:pPr>
      <w:r w:rsidRPr="00D87E57">
        <w:rPr>
          <w:rFonts w:eastAsia="Times New Roman" w:cstheme="majorBidi"/>
          <w:b/>
          <w:color w:val="000000" w:themeColor="text1"/>
          <w:szCs w:val="22"/>
          <w:lang w:eastAsia="lv-LV"/>
        </w:rPr>
        <w:t>Produktivitāte</w:t>
      </w:r>
      <w:r w:rsidRPr="00D87E57">
        <w:rPr>
          <w:rFonts w:eastAsia="Times New Roman" w:cstheme="majorBidi"/>
          <w:color w:val="000000" w:themeColor="text1"/>
          <w:szCs w:val="22"/>
          <w:lang w:eastAsia="lv-LV"/>
        </w:rPr>
        <w:t xml:space="preserve"> – attiecība starp saražotās produkcijas daudzumu (izlaidi) un ražošanas procesā izmantoto resursu (ražošanas faktoru) daudzumu. Produktivitāte mēra - cik efektīvi tiek izmantoti resursi (darbs, kapitāls u.c.), ražojot noteiktu produkcijas daudzumu (uzņēmumā, nozarē vai tautsaimniecībā kopumā). Palielināt produktivitāti nozīmē panākt lielāku ražošanas apjomu ar esošiem resursiem vai arī saglabāt to pašu ražošanas apjomu, izmantojot mazāk resursu</w:t>
      </w:r>
    </w:p>
    <w:p w14:paraId="22368356" w14:textId="77777777" w:rsidR="00D87E57" w:rsidRDefault="00D87E57" w:rsidP="00D87E57">
      <w:pPr>
        <w:rPr>
          <w:rFonts w:eastAsia="Times New Roman" w:cstheme="majorBidi"/>
          <w:color w:val="000000" w:themeColor="text1"/>
          <w:szCs w:val="22"/>
          <w:lang w:eastAsia="lv-LV"/>
        </w:rPr>
      </w:pPr>
      <w:r w:rsidRPr="00D87E57">
        <w:rPr>
          <w:rFonts w:eastAsia="Times New Roman" w:cstheme="majorBidi"/>
          <w:b/>
          <w:color w:val="000000" w:themeColor="text1"/>
          <w:szCs w:val="22"/>
          <w:lang w:eastAsia="lv-LV"/>
        </w:rPr>
        <w:t xml:space="preserve">Strukturālā transformācija – </w:t>
      </w:r>
      <w:r w:rsidRPr="00D87E57">
        <w:rPr>
          <w:rFonts w:eastAsia="Times New Roman" w:cstheme="majorBidi"/>
          <w:color w:val="000000" w:themeColor="text1"/>
          <w:szCs w:val="22"/>
          <w:lang w:eastAsia="lv-LV"/>
        </w:rPr>
        <w:t>process, ko dažkārt dēvē par “kāpšanu augšup pa tehnoloģijas kāpnēm”. No ekonomiskā viedokļa tas izpaužas kā augstāka ražošanas produktivitāte. Tas no vienas puses ir saistīts ar resursu (darbaspēka, kapitāla) pārdales procesu uz augstākas produktivitātes nozarēm (uzņēmumiem), bet no otras puses – ar ražošanas diversifikāciju un tehnoloģisko modernizāciju</w:t>
      </w:r>
    </w:p>
    <w:p w14:paraId="7644990C" w14:textId="20592FF8" w:rsidR="00AE2EFA" w:rsidRPr="00AE2EFA" w:rsidRDefault="00816042" w:rsidP="00D87E57">
      <w:pPr>
        <w:rPr>
          <w:color w:val="000000"/>
          <w:szCs w:val="22"/>
        </w:rPr>
      </w:pPr>
      <w:r w:rsidRPr="00AE2EFA">
        <w:rPr>
          <w:b/>
        </w:rPr>
        <w:t>Viedokļu līderi</w:t>
      </w:r>
      <w:r w:rsidRPr="00AE2EFA">
        <w:t xml:space="preserve"> </w:t>
      </w:r>
      <w:r w:rsidR="002139B5" w:rsidRPr="00AE2EFA">
        <w:rPr>
          <w:szCs w:val="22"/>
        </w:rPr>
        <w:t>–</w:t>
      </w:r>
      <w:r w:rsidRPr="00AE2EFA">
        <w:rPr>
          <w:szCs w:val="22"/>
        </w:rPr>
        <w:t xml:space="preserve"> </w:t>
      </w:r>
      <w:r w:rsidR="00AE2EFA" w:rsidRPr="00AE2EFA">
        <w:rPr>
          <w:color w:val="000000"/>
          <w:szCs w:val="22"/>
        </w:rPr>
        <w:t>NAP2020 vidusposma novērtējuma ietvaros aptaujātie eksperti, to vidū ministriju augstākā līmeņa vadītāji un speciālisti, Saeimas deputāti, ministri, sociālie un sadarbības partneri, uzņēmēji, nevalstisko organizāciju, plānošanas reģionu pārstāvji, pašvaldību vadītāji, žurnālisti, pētnieki un akadēmiskās vides pārstāvji. Kopumā uzrunāti 720 eksperti, bet aptaujā piedalījušies un atbildes snieguši 300 eksperti.</w:t>
      </w:r>
    </w:p>
    <w:p w14:paraId="1D790B19" w14:textId="42AD5CC8" w:rsidR="0093074A" w:rsidRDefault="0093074A" w:rsidP="0093074A">
      <w:pPr>
        <w:rPr>
          <w:lang w:val="lv-LV"/>
        </w:rPr>
      </w:pPr>
    </w:p>
    <w:p w14:paraId="1891F9A3" w14:textId="77777777" w:rsidR="00D87E57" w:rsidRDefault="00D87E57" w:rsidP="0093074A">
      <w:pPr>
        <w:rPr>
          <w:lang w:val="lv-LV"/>
        </w:rPr>
      </w:pPr>
    </w:p>
    <w:p w14:paraId="3322B310" w14:textId="77777777" w:rsidR="00D87E57" w:rsidRDefault="00D87E57" w:rsidP="0093074A">
      <w:pPr>
        <w:rPr>
          <w:lang w:val="lv-LV"/>
        </w:rPr>
      </w:pPr>
    </w:p>
    <w:p w14:paraId="553C4647" w14:textId="77777777" w:rsidR="00D87E57" w:rsidRDefault="00D87E57" w:rsidP="0093074A">
      <w:pPr>
        <w:rPr>
          <w:lang w:val="lv-LV"/>
        </w:rPr>
      </w:pPr>
    </w:p>
    <w:p w14:paraId="0460E6FE" w14:textId="77777777" w:rsidR="00D87E57" w:rsidRDefault="00D87E57" w:rsidP="0093074A">
      <w:pPr>
        <w:rPr>
          <w:lang w:val="lv-LV"/>
        </w:rPr>
      </w:pPr>
    </w:p>
    <w:p w14:paraId="148A3F8B" w14:textId="77777777" w:rsidR="00D87E57" w:rsidRDefault="00D87E57" w:rsidP="0093074A">
      <w:pPr>
        <w:rPr>
          <w:lang w:val="lv-LV"/>
        </w:rPr>
      </w:pPr>
    </w:p>
    <w:p w14:paraId="0FCD4F48" w14:textId="4B109F9F" w:rsidR="002139B5" w:rsidRDefault="002139B5" w:rsidP="002139B5">
      <w:pPr>
        <w:pStyle w:val="Heading1"/>
        <w:rPr>
          <w:lang w:val="lv-LV"/>
        </w:rPr>
      </w:pPr>
      <w:bookmarkStart w:id="5" w:name="_Toc498690603"/>
      <w:bookmarkStart w:id="6" w:name="_Toc499025300"/>
      <w:r>
        <w:rPr>
          <w:lang w:val="lv-LV"/>
        </w:rPr>
        <w:lastRenderedPageBreak/>
        <w:t>Izmantotie saīsinājumi</w:t>
      </w:r>
      <w:bookmarkEnd w:id="5"/>
      <w:bookmarkEnd w:id="6"/>
    </w:p>
    <w:p w14:paraId="647AA237" w14:textId="77777777" w:rsidR="008E6576" w:rsidRPr="008E6576" w:rsidRDefault="008E6576" w:rsidP="008E6576">
      <w:pPr>
        <w:rPr>
          <w:lang w:val="lv-LV"/>
        </w:rPr>
      </w:pPr>
      <w:r w:rsidRPr="008E6576">
        <w:rPr>
          <w:lang w:val="lv-LV"/>
        </w:rPr>
        <w:t xml:space="preserve">AER – atjaunojamie energoresursi </w:t>
      </w:r>
    </w:p>
    <w:p w14:paraId="4FAE1389" w14:textId="77777777" w:rsidR="008E6576" w:rsidRPr="008E6576" w:rsidRDefault="008E6576" w:rsidP="008E6576">
      <w:pPr>
        <w:rPr>
          <w:lang w:val="lv-LV"/>
        </w:rPr>
      </w:pPr>
      <w:r w:rsidRPr="008E6576">
        <w:rPr>
          <w:lang w:val="lv-LV"/>
        </w:rPr>
        <w:t xml:space="preserve">AIC – Akadēmiskās informācijas centrs </w:t>
      </w:r>
    </w:p>
    <w:p w14:paraId="64305CC3" w14:textId="77777777" w:rsidR="008E6576" w:rsidRPr="008E6576" w:rsidRDefault="008E6576" w:rsidP="008E6576">
      <w:pPr>
        <w:rPr>
          <w:lang w:val="lv-LV"/>
        </w:rPr>
      </w:pPr>
      <w:r w:rsidRPr="008E6576">
        <w:rPr>
          <w:lang w:val="lv-LV"/>
        </w:rPr>
        <w:t xml:space="preserve">AS – akciju sabiedrība </w:t>
      </w:r>
    </w:p>
    <w:p w14:paraId="2E63978E" w14:textId="77777777" w:rsidR="008E6576" w:rsidRPr="008E6576" w:rsidRDefault="008E6576" w:rsidP="008E6576">
      <w:pPr>
        <w:rPr>
          <w:lang w:val="lv-LV"/>
        </w:rPr>
      </w:pPr>
      <w:r w:rsidRPr="008E6576">
        <w:rPr>
          <w:lang w:val="lv-LV"/>
        </w:rPr>
        <w:t xml:space="preserve">ATD – VSIA "Autotransporta direkcija" </w:t>
      </w:r>
    </w:p>
    <w:p w14:paraId="3DB9FFF2" w14:textId="77777777" w:rsidR="008E6576" w:rsidRPr="008E6576" w:rsidRDefault="008E6576" w:rsidP="008E6576">
      <w:pPr>
        <w:rPr>
          <w:lang w:val="lv-LV"/>
        </w:rPr>
      </w:pPr>
      <w:r w:rsidRPr="008E6576">
        <w:rPr>
          <w:lang w:val="lv-LV"/>
        </w:rPr>
        <w:t xml:space="preserve">ĀM – Ārlietu ministrija </w:t>
      </w:r>
    </w:p>
    <w:p w14:paraId="239CCD31" w14:textId="77777777" w:rsidR="008E6576" w:rsidRPr="008E6576" w:rsidRDefault="008E6576" w:rsidP="008E6576">
      <w:pPr>
        <w:rPr>
          <w:lang w:val="lv-LV"/>
        </w:rPr>
      </w:pPr>
      <w:r w:rsidRPr="008E6576">
        <w:rPr>
          <w:lang w:val="lv-LV"/>
        </w:rPr>
        <w:t xml:space="preserve">ĀTI – ārvalstu tiešās investīcijas </w:t>
      </w:r>
    </w:p>
    <w:p w14:paraId="5178A851" w14:textId="77777777" w:rsidR="008E6576" w:rsidRPr="008E6576" w:rsidRDefault="008E6576" w:rsidP="008E6576">
      <w:pPr>
        <w:rPr>
          <w:lang w:val="lv-LV"/>
        </w:rPr>
      </w:pPr>
      <w:r w:rsidRPr="008E6576">
        <w:rPr>
          <w:lang w:val="lv-LV"/>
        </w:rPr>
        <w:t xml:space="preserve">CFLA – Centrālā finanšu un līgumu aģentūra </w:t>
      </w:r>
    </w:p>
    <w:p w14:paraId="1CDE0B43" w14:textId="77777777" w:rsidR="008E6576" w:rsidRPr="008E6576" w:rsidRDefault="008E6576" w:rsidP="008E6576">
      <w:pPr>
        <w:rPr>
          <w:lang w:val="lv-LV"/>
        </w:rPr>
      </w:pPr>
      <w:r w:rsidRPr="008E6576">
        <w:rPr>
          <w:lang w:val="lv-LV"/>
        </w:rPr>
        <w:t xml:space="preserve">CSDD – Ceļu satiksmes drošības direkcija </w:t>
      </w:r>
    </w:p>
    <w:p w14:paraId="0D62C908" w14:textId="77777777" w:rsidR="008E6576" w:rsidRPr="008E6576" w:rsidRDefault="008E6576" w:rsidP="008E6576">
      <w:pPr>
        <w:rPr>
          <w:lang w:val="lv-LV"/>
        </w:rPr>
      </w:pPr>
      <w:r w:rsidRPr="008E6576">
        <w:rPr>
          <w:lang w:val="lv-LV"/>
        </w:rPr>
        <w:t xml:space="preserve">CSP – Centrālā statistikas pārvalde </w:t>
      </w:r>
    </w:p>
    <w:p w14:paraId="21C6FA85" w14:textId="77777777" w:rsidR="008E6576" w:rsidRPr="008E6576" w:rsidRDefault="008E6576" w:rsidP="008E6576">
      <w:pPr>
        <w:rPr>
          <w:lang w:val="lv-LV"/>
        </w:rPr>
      </w:pPr>
      <w:r w:rsidRPr="008E6576">
        <w:rPr>
          <w:lang w:val="lv-LV"/>
        </w:rPr>
        <w:t xml:space="preserve">EK – Eiropas Komisija </w:t>
      </w:r>
    </w:p>
    <w:p w14:paraId="69858626" w14:textId="77777777" w:rsidR="008E6576" w:rsidRPr="008E6576" w:rsidRDefault="008E6576" w:rsidP="008E6576">
      <w:pPr>
        <w:rPr>
          <w:lang w:val="lv-LV"/>
        </w:rPr>
      </w:pPr>
      <w:r w:rsidRPr="008E6576">
        <w:rPr>
          <w:lang w:val="lv-LV"/>
        </w:rPr>
        <w:t xml:space="preserve">EM – Ekonomikas ministrija </w:t>
      </w:r>
    </w:p>
    <w:p w14:paraId="427844BC" w14:textId="77777777" w:rsidR="008E6576" w:rsidRPr="008E6576" w:rsidRDefault="008E6576" w:rsidP="008E6576">
      <w:pPr>
        <w:rPr>
          <w:lang w:val="lv-LV"/>
        </w:rPr>
      </w:pPr>
      <w:r w:rsidRPr="008E6576">
        <w:rPr>
          <w:lang w:val="lv-LV"/>
        </w:rPr>
        <w:t xml:space="preserve">EPB – Eiropas Patentu birojs </w:t>
      </w:r>
    </w:p>
    <w:p w14:paraId="1AF1AD7A" w14:textId="77777777" w:rsidR="008E6576" w:rsidRPr="008E6576" w:rsidRDefault="008E6576" w:rsidP="008E6576">
      <w:pPr>
        <w:rPr>
          <w:lang w:val="lv-LV"/>
        </w:rPr>
      </w:pPr>
      <w:r w:rsidRPr="008E6576">
        <w:rPr>
          <w:lang w:val="lv-LV"/>
        </w:rPr>
        <w:t xml:space="preserve">ERAF – Eiropas Reģionālās attīstības fonds </w:t>
      </w:r>
    </w:p>
    <w:p w14:paraId="4498D83E" w14:textId="77777777" w:rsidR="008E6576" w:rsidRPr="008E6576" w:rsidRDefault="008E6576" w:rsidP="008E6576">
      <w:pPr>
        <w:rPr>
          <w:lang w:val="lv-LV"/>
        </w:rPr>
      </w:pPr>
      <w:r w:rsidRPr="008E6576">
        <w:rPr>
          <w:lang w:val="lv-LV"/>
        </w:rPr>
        <w:t xml:space="preserve">ES – Eiropas Savienība </w:t>
      </w:r>
    </w:p>
    <w:p w14:paraId="36ACA1D5" w14:textId="77777777" w:rsidR="008E6576" w:rsidRPr="008E6576" w:rsidRDefault="008E6576" w:rsidP="008E6576">
      <w:pPr>
        <w:rPr>
          <w:lang w:val="lv-LV"/>
        </w:rPr>
      </w:pPr>
      <w:r w:rsidRPr="008E6576">
        <w:rPr>
          <w:lang w:val="lv-LV"/>
        </w:rPr>
        <w:t xml:space="preserve">ES-28 – Eiropas Savienības 28 dalībvalstis </w:t>
      </w:r>
    </w:p>
    <w:p w14:paraId="17C94405" w14:textId="77777777" w:rsidR="008E6576" w:rsidRPr="008E6576" w:rsidRDefault="008E6576" w:rsidP="008E6576">
      <w:pPr>
        <w:rPr>
          <w:lang w:val="lv-LV"/>
        </w:rPr>
      </w:pPr>
      <w:r w:rsidRPr="008E6576">
        <w:rPr>
          <w:lang w:val="lv-LV"/>
        </w:rPr>
        <w:t xml:space="preserve">ESAO – Ekonomiskās sadarbības un attīstības organizācija (OECD) </w:t>
      </w:r>
    </w:p>
    <w:p w14:paraId="1F432CEA" w14:textId="77777777" w:rsidR="008E6576" w:rsidRPr="008E6576" w:rsidRDefault="008E6576" w:rsidP="008E6576">
      <w:pPr>
        <w:rPr>
          <w:lang w:val="lv-LV"/>
        </w:rPr>
      </w:pPr>
      <w:r w:rsidRPr="008E6576">
        <w:rPr>
          <w:lang w:val="lv-LV"/>
        </w:rPr>
        <w:t xml:space="preserve">EPB – Eiropas Patentu birojs </w:t>
      </w:r>
    </w:p>
    <w:p w14:paraId="6F1ED037" w14:textId="77777777" w:rsidR="008E6576" w:rsidRPr="008E6576" w:rsidRDefault="008E6576" w:rsidP="008E6576">
      <w:pPr>
        <w:rPr>
          <w:lang w:val="lv-LV"/>
        </w:rPr>
      </w:pPr>
      <w:r w:rsidRPr="008E6576">
        <w:rPr>
          <w:lang w:val="lv-LV"/>
        </w:rPr>
        <w:t xml:space="preserve">Eurostat – Eiropas Statistikas birojs </w:t>
      </w:r>
    </w:p>
    <w:p w14:paraId="0C26CB90" w14:textId="77777777" w:rsidR="008E6576" w:rsidRPr="008E6576" w:rsidRDefault="008E6576" w:rsidP="008E6576">
      <w:pPr>
        <w:rPr>
          <w:lang w:val="lv-LV"/>
        </w:rPr>
      </w:pPr>
      <w:r w:rsidRPr="008E6576">
        <w:rPr>
          <w:lang w:val="lv-LV"/>
        </w:rPr>
        <w:t xml:space="preserve">EURES – Eiropas Darba mobilitātes portāls </w:t>
      </w:r>
    </w:p>
    <w:p w14:paraId="475C1746" w14:textId="77777777" w:rsidR="008E6576" w:rsidRPr="008E6576" w:rsidRDefault="008E6576" w:rsidP="008E6576">
      <w:pPr>
        <w:rPr>
          <w:lang w:val="lv-LV"/>
        </w:rPr>
      </w:pPr>
      <w:r w:rsidRPr="008E6576">
        <w:rPr>
          <w:lang w:val="lv-LV"/>
        </w:rPr>
        <w:t xml:space="preserve">FM – Finanšu ministrija </w:t>
      </w:r>
    </w:p>
    <w:p w14:paraId="32F5A89B" w14:textId="77777777" w:rsidR="008E6576" w:rsidRPr="008E6576" w:rsidRDefault="008E6576" w:rsidP="008E6576">
      <w:pPr>
        <w:rPr>
          <w:lang w:val="lv-LV"/>
        </w:rPr>
      </w:pPr>
      <w:r w:rsidRPr="008E6576">
        <w:rPr>
          <w:lang w:val="lv-LV"/>
        </w:rPr>
        <w:t xml:space="preserve">GCI – globālais konkurētspējas indekss </w:t>
      </w:r>
    </w:p>
    <w:p w14:paraId="1552036D" w14:textId="77777777" w:rsidR="008E6576" w:rsidRPr="008E6576" w:rsidRDefault="008E6576" w:rsidP="008E6576">
      <w:pPr>
        <w:rPr>
          <w:lang w:val="lv-LV"/>
        </w:rPr>
      </w:pPr>
      <w:r w:rsidRPr="008E6576">
        <w:rPr>
          <w:lang w:val="lv-LV"/>
        </w:rPr>
        <w:t xml:space="preserve">GOS – gaistošie organiskie savienojumi </w:t>
      </w:r>
    </w:p>
    <w:p w14:paraId="065A1A28" w14:textId="77777777" w:rsidR="008E6576" w:rsidRPr="008E6576" w:rsidRDefault="008E6576" w:rsidP="008E6576">
      <w:pPr>
        <w:rPr>
          <w:lang w:val="lv-LV"/>
        </w:rPr>
      </w:pPr>
      <w:r w:rsidRPr="008E6576">
        <w:rPr>
          <w:lang w:val="lv-LV"/>
        </w:rPr>
        <w:t xml:space="preserve">GRICS – valsts pārvaldes efektivitātes novērtējums </w:t>
      </w:r>
    </w:p>
    <w:p w14:paraId="49AA34CA" w14:textId="77777777" w:rsidR="008E6576" w:rsidRPr="008E6576" w:rsidRDefault="008E6576" w:rsidP="008E6576">
      <w:pPr>
        <w:rPr>
          <w:lang w:val="lv-LV"/>
        </w:rPr>
      </w:pPr>
      <w:r w:rsidRPr="008E6576">
        <w:rPr>
          <w:lang w:val="lv-LV"/>
        </w:rPr>
        <w:t xml:space="preserve">GWh – gigavatstunda </w:t>
      </w:r>
    </w:p>
    <w:p w14:paraId="21B8156E" w14:textId="77777777" w:rsidR="008E6576" w:rsidRPr="008E6576" w:rsidRDefault="008E6576" w:rsidP="008E6576">
      <w:pPr>
        <w:rPr>
          <w:lang w:val="lv-LV"/>
        </w:rPr>
      </w:pPr>
      <w:r w:rsidRPr="008E6576">
        <w:rPr>
          <w:lang w:val="lv-LV"/>
        </w:rPr>
        <w:t xml:space="preserve">ĢVP – ģimenes valsts pabalsts ha – hektārs </w:t>
      </w:r>
    </w:p>
    <w:p w14:paraId="2E1AF3F4" w14:textId="77777777" w:rsidR="008E6576" w:rsidRPr="008E6576" w:rsidRDefault="008E6576" w:rsidP="008E6576">
      <w:pPr>
        <w:rPr>
          <w:lang w:val="lv-LV"/>
        </w:rPr>
      </w:pPr>
      <w:r w:rsidRPr="008E6576">
        <w:rPr>
          <w:lang w:val="lv-LV"/>
        </w:rPr>
        <w:t xml:space="preserve">HIV – cilvēka imūndeficīta vīruss </w:t>
      </w:r>
    </w:p>
    <w:p w14:paraId="5B0DAD0F" w14:textId="77777777" w:rsidR="008E6576" w:rsidRPr="008E6576" w:rsidRDefault="008E6576" w:rsidP="008E6576">
      <w:pPr>
        <w:rPr>
          <w:lang w:val="lv-LV"/>
        </w:rPr>
      </w:pPr>
      <w:r w:rsidRPr="008E6576">
        <w:rPr>
          <w:lang w:val="lv-LV"/>
        </w:rPr>
        <w:t xml:space="preserve">IIN – iedzīvotāju ienākuma nodoklis </w:t>
      </w:r>
    </w:p>
    <w:p w14:paraId="36B4F4FD" w14:textId="77777777" w:rsidR="008E6576" w:rsidRPr="008E6576" w:rsidRDefault="008E6576" w:rsidP="008E6576">
      <w:pPr>
        <w:rPr>
          <w:lang w:val="lv-LV"/>
        </w:rPr>
      </w:pPr>
      <w:r w:rsidRPr="008E6576">
        <w:rPr>
          <w:lang w:val="lv-LV"/>
        </w:rPr>
        <w:t xml:space="preserve">IKP – iekšzemes kopprodukts </w:t>
      </w:r>
    </w:p>
    <w:p w14:paraId="57274DE6" w14:textId="77777777" w:rsidR="008E6576" w:rsidRPr="008E6576" w:rsidRDefault="008E6576" w:rsidP="008E6576">
      <w:pPr>
        <w:rPr>
          <w:lang w:val="lv-LV"/>
        </w:rPr>
      </w:pPr>
      <w:r w:rsidRPr="008E6576">
        <w:rPr>
          <w:lang w:val="lv-LV"/>
        </w:rPr>
        <w:t xml:space="preserve">IKT – informācijas un komunikāciju tehnoloģijas </w:t>
      </w:r>
    </w:p>
    <w:p w14:paraId="19E44F0B" w14:textId="77777777" w:rsidR="008E6576" w:rsidRPr="008E6576" w:rsidRDefault="008E6576" w:rsidP="008E6576">
      <w:pPr>
        <w:rPr>
          <w:lang w:val="lv-LV"/>
        </w:rPr>
      </w:pPr>
      <w:r w:rsidRPr="008E6576">
        <w:rPr>
          <w:lang w:val="lv-LV"/>
        </w:rPr>
        <w:t xml:space="preserve">IVN – ietekmes uz vidi novērtējums </w:t>
      </w:r>
    </w:p>
    <w:p w14:paraId="66B90E58" w14:textId="77777777" w:rsidR="008E6576" w:rsidRPr="008E6576" w:rsidRDefault="008E6576" w:rsidP="008E6576">
      <w:pPr>
        <w:rPr>
          <w:lang w:val="lv-LV"/>
        </w:rPr>
      </w:pPr>
      <w:r w:rsidRPr="008E6576">
        <w:rPr>
          <w:lang w:val="lv-LV"/>
        </w:rPr>
        <w:t xml:space="preserve">IZM – Izglītības un zinātnes ministrija </w:t>
      </w:r>
    </w:p>
    <w:p w14:paraId="64682C65" w14:textId="77777777" w:rsidR="008E6576" w:rsidRPr="008E6576" w:rsidRDefault="008E6576" w:rsidP="008E6576">
      <w:pPr>
        <w:rPr>
          <w:lang w:val="lv-LV"/>
        </w:rPr>
      </w:pPr>
      <w:r w:rsidRPr="008E6576">
        <w:rPr>
          <w:lang w:val="lv-LV"/>
        </w:rPr>
        <w:t xml:space="preserve">ĪADT – īpaši aizsargājamā dabas teritorija </w:t>
      </w:r>
    </w:p>
    <w:p w14:paraId="0B7C0426" w14:textId="77777777" w:rsidR="008E6576" w:rsidRPr="008E6576" w:rsidRDefault="008E6576" w:rsidP="008E6576">
      <w:pPr>
        <w:rPr>
          <w:lang w:val="lv-LV"/>
        </w:rPr>
      </w:pPr>
      <w:r w:rsidRPr="008E6576">
        <w:rPr>
          <w:lang w:val="lv-LV"/>
        </w:rPr>
        <w:t xml:space="preserve">kg – kilograms </w:t>
      </w:r>
    </w:p>
    <w:p w14:paraId="2FB7D709" w14:textId="77777777" w:rsidR="008E6576" w:rsidRPr="008E6576" w:rsidRDefault="008E6576" w:rsidP="008E6576">
      <w:pPr>
        <w:rPr>
          <w:lang w:val="lv-LV"/>
        </w:rPr>
      </w:pPr>
      <w:r w:rsidRPr="008E6576">
        <w:rPr>
          <w:lang w:val="lv-LV"/>
        </w:rPr>
        <w:t xml:space="preserve">KM – Kultūras ministrija </w:t>
      </w:r>
    </w:p>
    <w:p w14:paraId="3AC134B5" w14:textId="77777777" w:rsidR="008E6576" w:rsidRPr="008E6576" w:rsidRDefault="008E6576" w:rsidP="008E6576">
      <w:pPr>
        <w:rPr>
          <w:lang w:val="lv-LV"/>
        </w:rPr>
      </w:pPr>
      <w:r w:rsidRPr="008E6576">
        <w:rPr>
          <w:lang w:val="lv-LV"/>
        </w:rPr>
        <w:t xml:space="preserve">kt – kilotonna </w:t>
      </w:r>
    </w:p>
    <w:p w14:paraId="210FE5B0" w14:textId="77777777" w:rsidR="008E6576" w:rsidRDefault="008E6576" w:rsidP="008E6576">
      <w:pPr>
        <w:rPr>
          <w:lang w:val="lv-LV"/>
        </w:rPr>
      </w:pPr>
      <w:r w:rsidRPr="008E6576">
        <w:rPr>
          <w:lang w:val="lv-LV"/>
        </w:rPr>
        <w:lastRenderedPageBreak/>
        <w:t xml:space="preserve">LAD – Lauku atbalsta dienests </w:t>
      </w:r>
    </w:p>
    <w:p w14:paraId="48D03259" w14:textId="5140E3A6" w:rsidR="008C14F2" w:rsidRPr="008E6576" w:rsidRDefault="008C14F2" w:rsidP="008E6576">
      <w:pPr>
        <w:rPr>
          <w:lang w:val="lv-LV"/>
        </w:rPr>
      </w:pPr>
      <w:r>
        <w:rPr>
          <w:lang w:val="lv-LV"/>
        </w:rPr>
        <w:t xml:space="preserve">LLAP2030 </w:t>
      </w:r>
      <w:r w:rsidRPr="008E6576">
        <w:rPr>
          <w:lang w:val="lv-LV"/>
        </w:rPr>
        <w:t>–</w:t>
      </w:r>
      <w:r>
        <w:rPr>
          <w:lang w:val="lv-LV"/>
        </w:rPr>
        <w:t xml:space="preserve"> </w:t>
      </w:r>
      <w:r w:rsidRPr="008E6576">
        <w:rPr>
          <w:lang w:val="lv-LV"/>
        </w:rPr>
        <w:t>Latvijas lauku attīstības programmas 2014.-2020. gadam</w:t>
      </w:r>
    </w:p>
    <w:p w14:paraId="79EB53EC" w14:textId="77777777" w:rsidR="008E6576" w:rsidRPr="008E6576" w:rsidRDefault="008E6576" w:rsidP="008E6576">
      <w:pPr>
        <w:rPr>
          <w:lang w:val="lv-LV"/>
        </w:rPr>
      </w:pPr>
      <w:r w:rsidRPr="008E6576">
        <w:rPr>
          <w:lang w:val="lv-LV"/>
        </w:rPr>
        <w:t xml:space="preserve">LEADER – Latvijas lauku attīstības programmas 2014.-2020. gadam pasākums </w:t>
      </w:r>
    </w:p>
    <w:p w14:paraId="53FF6D69" w14:textId="77777777" w:rsidR="008E6576" w:rsidRPr="008E6576" w:rsidRDefault="008E6576" w:rsidP="008E6576">
      <w:pPr>
        <w:rPr>
          <w:lang w:val="lv-LV"/>
        </w:rPr>
      </w:pPr>
      <w:r w:rsidRPr="008E6576">
        <w:rPr>
          <w:lang w:val="lv-LV"/>
        </w:rPr>
        <w:t xml:space="preserve">LIAS2030 – Latvijas ilgtspējīgas attīstības stratēģija līdz 2030. gadam </w:t>
      </w:r>
    </w:p>
    <w:p w14:paraId="0915258C" w14:textId="77777777" w:rsidR="008E6576" w:rsidRPr="008E6576" w:rsidRDefault="008E6576" w:rsidP="008E6576">
      <w:pPr>
        <w:rPr>
          <w:lang w:val="lv-LV"/>
        </w:rPr>
      </w:pPr>
      <w:r w:rsidRPr="008E6576">
        <w:rPr>
          <w:lang w:val="lv-LV"/>
        </w:rPr>
        <w:t xml:space="preserve">LIZ – lauksaimniecībā izmantojamā zeme </w:t>
      </w:r>
    </w:p>
    <w:p w14:paraId="0B4E1B84" w14:textId="77777777" w:rsidR="008E6576" w:rsidRPr="008E6576" w:rsidRDefault="008E6576" w:rsidP="008E6576">
      <w:pPr>
        <w:rPr>
          <w:lang w:val="lv-LV"/>
        </w:rPr>
      </w:pPr>
      <w:r w:rsidRPr="008E6576">
        <w:rPr>
          <w:lang w:val="lv-LV"/>
        </w:rPr>
        <w:t xml:space="preserve">LLU – Latvijas Lauksaimniecības universitāte </w:t>
      </w:r>
    </w:p>
    <w:p w14:paraId="4E825E82" w14:textId="77777777" w:rsidR="008E6576" w:rsidRPr="008E6576" w:rsidRDefault="008E6576" w:rsidP="008E6576">
      <w:pPr>
        <w:rPr>
          <w:lang w:val="lv-LV"/>
        </w:rPr>
      </w:pPr>
      <w:r w:rsidRPr="008E6576">
        <w:rPr>
          <w:lang w:val="lv-LV"/>
        </w:rPr>
        <w:t xml:space="preserve">LM – Labklājības ministrija </w:t>
      </w:r>
    </w:p>
    <w:p w14:paraId="7A708CF8" w14:textId="77777777" w:rsidR="008E6576" w:rsidRPr="008E6576" w:rsidRDefault="008E6576" w:rsidP="008E6576">
      <w:pPr>
        <w:rPr>
          <w:lang w:val="lv-LV"/>
        </w:rPr>
      </w:pPr>
      <w:r w:rsidRPr="008E6576">
        <w:rPr>
          <w:lang w:val="lv-LV"/>
        </w:rPr>
        <w:t xml:space="preserve">LPI – lauku putnu indekss </w:t>
      </w:r>
    </w:p>
    <w:p w14:paraId="4ADD0DF0" w14:textId="77777777" w:rsidR="008E6576" w:rsidRPr="008E6576" w:rsidRDefault="008E6576" w:rsidP="008E6576">
      <w:pPr>
        <w:rPr>
          <w:lang w:val="lv-LV"/>
        </w:rPr>
      </w:pPr>
      <w:r w:rsidRPr="008E6576">
        <w:rPr>
          <w:lang w:val="lv-LV"/>
        </w:rPr>
        <w:t xml:space="preserve">LR – Latvijas Republika </w:t>
      </w:r>
    </w:p>
    <w:p w14:paraId="1D6C962B" w14:textId="77777777" w:rsidR="008E6576" w:rsidRPr="008E6576" w:rsidRDefault="008E6576" w:rsidP="008E6576">
      <w:pPr>
        <w:rPr>
          <w:lang w:val="lv-LV"/>
        </w:rPr>
      </w:pPr>
      <w:r w:rsidRPr="008E6576">
        <w:rPr>
          <w:lang w:val="lv-LV"/>
        </w:rPr>
        <w:t xml:space="preserve">LVAEI – Latvijas Valsts agrārās ekonomikas institūts </w:t>
      </w:r>
    </w:p>
    <w:p w14:paraId="69C9AB43" w14:textId="77777777" w:rsidR="008E6576" w:rsidRPr="008E6576" w:rsidRDefault="008E6576" w:rsidP="008E6576">
      <w:pPr>
        <w:rPr>
          <w:lang w:val="lv-LV"/>
        </w:rPr>
      </w:pPr>
      <w:r w:rsidRPr="008E6576">
        <w:rPr>
          <w:lang w:val="lv-LV"/>
        </w:rPr>
        <w:t xml:space="preserve">milj. – miljons </w:t>
      </w:r>
    </w:p>
    <w:p w14:paraId="78BC19A7" w14:textId="77777777" w:rsidR="008E6576" w:rsidRPr="008E6576" w:rsidRDefault="008E6576" w:rsidP="008E6576">
      <w:pPr>
        <w:rPr>
          <w:lang w:val="lv-LV"/>
        </w:rPr>
      </w:pPr>
      <w:r w:rsidRPr="008E6576">
        <w:rPr>
          <w:lang w:val="lv-LV"/>
        </w:rPr>
        <w:t xml:space="preserve">mljrd. – miljards </w:t>
      </w:r>
    </w:p>
    <w:p w14:paraId="63312695" w14:textId="77777777" w:rsidR="008E6576" w:rsidRPr="008E6576" w:rsidRDefault="008E6576" w:rsidP="008E6576">
      <w:pPr>
        <w:rPr>
          <w:lang w:val="lv-LV"/>
        </w:rPr>
      </w:pPr>
      <w:r w:rsidRPr="008E6576">
        <w:rPr>
          <w:lang w:val="lv-LV"/>
        </w:rPr>
        <w:t xml:space="preserve">MK – Ministru kabinets </w:t>
      </w:r>
    </w:p>
    <w:p w14:paraId="6FA21956" w14:textId="77777777" w:rsidR="008E6576" w:rsidRPr="008E6576" w:rsidRDefault="008E6576" w:rsidP="008E6576">
      <w:pPr>
        <w:rPr>
          <w:lang w:val="lv-LV"/>
        </w:rPr>
      </w:pPr>
      <w:r w:rsidRPr="008E6576">
        <w:rPr>
          <w:lang w:val="lv-LV"/>
        </w:rPr>
        <w:t xml:space="preserve">MVU – mazie un vidējie uzņēmumi </w:t>
      </w:r>
    </w:p>
    <w:p w14:paraId="38B2F812" w14:textId="77777777" w:rsidR="008E6576" w:rsidRPr="008E6576" w:rsidRDefault="008E6576" w:rsidP="008E6576">
      <w:pPr>
        <w:rPr>
          <w:lang w:val="lv-LV"/>
        </w:rPr>
      </w:pPr>
      <w:r w:rsidRPr="008E6576">
        <w:rPr>
          <w:lang w:val="lv-LV"/>
        </w:rPr>
        <w:t xml:space="preserve">MPI – meža putnu indekss </w:t>
      </w:r>
    </w:p>
    <w:p w14:paraId="44E39FE2" w14:textId="77777777" w:rsidR="008E6576" w:rsidRPr="008E6576" w:rsidRDefault="008E6576" w:rsidP="008E6576">
      <w:pPr>
        <w:rPr>
          <w:lang w:val="lv-LV"/>
        </w:rPr>
      </w:pPr>
      <w:r w:rsidRPr="008E6576">
        <w:rPr>
          <w:lang w:val="lv-LV"/>
        </w:rPr>
        <w:t xml:space="preserve">NAP2020 – Nacionālais attīstības plāns 2014.–2020. gadam </w:t>
      </w:r>
    </w:p>
    <w:p w14:paraId="6B7976AB" w14:textId="77777777" w:rsidR="008E6576" w:rsidRPr="008E6576" w:rsidRDefault="008E6576" w:rsidP="008E6576">
      <w:pPr>
        <w:rPr>
          <w:lang w:val="lv-LV"/>
        </w:rPr>
      </w:pPr>
      <w:r w:rsidRPr="008E6576">
        <w:rPr>
          <w:lang w:val="lv-LV"/>
        </w:rPr>
        <w:t xml:space="preserve">NATO – Ziemeļatlantijas līguma organizācija </w:t>
      </w:r>
    </w:p>
    <w:p w14:paraId="2DCA6898" w14:textId="77777777" w:rsidR="008E6576" w:rsidRPr="008E6576" w:rsidRDefault="008E6576" w:rsidP="008E6576">
      <w:pPr>
        <w:rPr>
          <w:lang w:val="lv-LV"/>
        </w:rPr>
      </w:pPr>
      <w:r w:rsidRPr="008E6576">
        <w:rPr>
          <w:lang w:val="lv-LV"/>
        </w:rPr>
        <w:t xml:space="preserve">NBS – Nacionālie bruņotie spēki </w:t>
      </w:r>
    </w:p>
    <w:p w14:paraId="491B6D67" w14:textId="77777777" w:rsidR="008E6576" w:rsidRPr="008E6576" w:rsidRDefault="008E6576" w:rsidP="008E6576">
      <w:pPr>
        <w:rPr>
          <w:lang w:val="lv-LV"/>
        </w:rPr>
      </w:pPr>
      <w:r w:rsidRPr="008E6576">
        <w:rPr>
          <w:lang w:val="lv-LV"/>
        </w:rPr>
        <w:t xml:space="preserve">NVA – Nodarbinātības valsts aģentūra </w:t>
      </w:r>
    </w:p>
    <w:p w14:paraId="3C40EE9F" w14:textId="77777777" w:rsidR="008E6576" w:rsidRPr="008E6576" w:rsidRDefault="008E6576" w:rsidP="008E6576">
      <w:pPr>
        <w:rPr>
          <w:lang w:val="lv-LV"/>
        </w:rPr>
      </w:pPr>
      <w:r w:rsidRPr="008E6576">
        <w:rPr>
          <w:lang w:val="lv-LV"/>
        </w:rPr>
        <w:t xml:space="preserve">NVD – Nacionālais veselības dienests </w:t>
      </w:r>
    </w:p>
    <w:p w14:paraId="220F1A50" w14:textId="77777777" w:rsidR="008E6576" w:rsidRPr="008E6576" w:rsidRDefault="008E6576" w:rsidP="008E6576">
      <w:pPr>
        <w:rPr>
          <w:lang w:val="lv-LV"/>
        </w:rPr>
      </w:pPr>
      <w:r w:rsidRPr="008E6576">
        <w:rPr>
          <w:lang w:val="lv-LV"/>
        </w:rPr>
        <w:t xml:space="preserve">NVO – nevalstiskās organizācijas </w:t>
      </w:r>
    </w:p>
    <w:p w14:paraId="38712CA8" w14:textId="77777777" w:rsidR="008E6576" w:rsidRPr="008E6576" w:rsidRDefault="008E6576" w:rsidP="008E6576">
      <w:pPr>
        <w:rPr>
          <w:lang w:val="lv-LV"/>
        </w:rPr>
      </w:pPr>
      <w:r w:rsidRPr="008E6576">
        <w:rPr>
          <w:lang w:val="lv-LV"/>
        </w:rPr>
        <w:t xml:space="preserve">OIK – obligātā iepirkuma komponente </w:t>
      </w:r>
    </w:p>
    <w:p w14:paraId="68CAE858" w14:textId="77777777" w:rsidR="008E6576" w:rsidRPr="008E6576" w:rsidRDefault="008E6576" w:rsidP="008E6576">
      <w:pPr>
        <w:rPr>
          <w:lang w:val="lv-LV"/>
        </w:rPr>
      </w:pPr>
      <w:r w:rsidRPr="008E6576">
        <w:rPr>
          <w:lang w:val="lv-LV"/>
        </w:rPr>
        <w:t xml:space="preserve">PA – pētniecība un attīstība </w:t>
      </w:r>
    </w:p>
    <w:p w14:paraId="4B406477" w14:textId="77777777" w:rsidR="008E6576" w:rsidRPr="008E6576" w:rsidRDefault="008E6576" w:rsidP="008E6576">
      <w:pPr>
        <w:rPr>
          <w:lang w:val="lv-LV"/>
        </w:rPr>
      </w:pPr>
      <w:r w:rsidRPr="008E6576">
        <w:rPr>
          <w:lang w:val="lv-LV"/>
        </w:rPr>
        <w:t xml:space="preserve">PB – Pasaules Banka </w:t>
      </w:r>
    </w:p>
    <w:p w14:paraId="005B03AC" w14:textId="77777777" w:rsidR="008E6576" w:rsidRPr="008E6576" w:rsidRDefault="008E6576" w:rsidP="008E6576">
      <w:pPr>
        <w:rPr>
          <w:lang w:val="lv-LV"/>
        </w:rPr>
      </w:pPr>
      <w:r w:rsidRPr="008E6576">
        <w:rPr>
          <w:lang w:val="lv-LV"/>
        </w:rPr>
        <w:t xml:space="preserve">PKC – Pārresoru koordinācijas centrs </w:t>
      </w:r>
    </w:p>
    <w:p w14:paraId="3EA89A2D" w14:textId="77777777" w:rsidR="008E6576" w:rsidRPr="008E6576" w:rsidRDefault="008E6576" w:rsidP="008E6576">
      <w:pPr>
        <w:rPr>
          <w:lang w:val="lv-LV"/>
        </w:rPr>
      </w:pPr>
      <w:r w:rsidRPr="008E6576">
        <w:rPr>
          <w:lang w:val="lv-LV"/>
        </w:rPr>
        <w:t xml:space="preserve">PMLP – Pilsonības un migrācijas lietu pārvalde </w:t>
      </w:r>
    </w:p>
    <w:p w14:paraId="652F8F22" w14:textId="77777777" w:rsidR="008E6576" w:rsidRPr="008E6576" w:rsidRDefault="008E6576" w:rsidP="008E6576">
      <w:pPr>
        <w:rPr>
          <w:lang w:val="lv-LV"/>
        </w:rPr>
      </w:pPr>
      <w:r w:rsidRPr="008E6576">
        <w:rPr>
          <w:lang w:val="lv-LV"/>
        </w:rPr>
        <w:t xml:space="preserve">PVD – Pārtikas un veterinārais dienests </w:t>
      </w:r>
    </w:p>
    <w:p w14:paraId="6C92EAF5" w14:textId="77777777" w:rsidR="008E6576" w:rsidRPr="008E6576" w:rsidRDefault="008E6576" w:rsidP="008E6576">
      <w:pPr>
        <w:rPr>
          <w:lang w:val="lv-LV"/>
        </w:rPr>
      </w:pPr>
      <w:r w:rsidRPr="008E6576">
        <w:rPr>
          <w:lang w:val="lv-LV"/>
        </w:rPr>
        <w:t xml:space="preserve">PVN – pievienotās vērtības nodoklis </w:t>
      </w:r>
    </w:p>
    <w:p w14:paraId="5B4CB083" w14:textId="77777777" w:rsidR="008E6576" w:rsidRPr="008E6576" w:rsidRDefault="008E6576" w:rsidP="008E6576">
      <w:pPr>
        <w:rPr>
          <w:lang w:val="lv-LV"/>
        </w:rPr>
      </w:pPr>
      <w:r w:rsidRPr="008E6576">
        <w:rPr>
          <w:lang w:val="lv-LV"/>
        </w:rPr>
        <w:t xml:space="preserve">PVO – Pasaules Veselības organizācija </w:t>
      </w:r>
    </w:p>
    <w:p w14:paraId="281C8701" w14:textId="77777777" w:rsidR="008E6576" w:rsidRPr="008E6576" w:rsidRDefault="008E6576" w:rsidP="008E6576">
      <w:pPr>
        <w:rPr>
          <w:lang w:val="lv-LV"/>
        </w:rPr>
      </w:pPr>
      <w:r w:rsidRPr="008E6576">
        <w:rPr>
          <w:lang w:val="lv-LV"/>
        </w:rPr>
        <w:t xml:space="preserve">PZDG – potenciāli zaudētie dzīves gadi </w:t>
      </w:r>
    </w:p>
    <w:p w14:paraId="6973FD0A" w14:textId="77777777" w:rsidR="008E6576" w:rsidRPr="008E6576" w:rsidRDefault="008E6576" w:rsidP="008E6576">
      <w:pPr>
        <w:rPr>
          <w:lang w:val="lv-LV"/>
        </w:rPr>
      </w:pPr>
      <w:r w:rsidRPr="008E6576">
        <w:rPr>
          <w:lang w:val="lv-LV"/>
        </w:rPr>
        <w:t xml:space="preserve">PUA – pastāvīgās uzturēšanās atļauja </w:t>
      </w:r>
    </w:p>
    <w:p w14:paraId="21BF5402" w14:textId="77777777" w:rsidR="008E6576" w:rsidRPr="008E6576" w:rsidRDefault="008E6576" w:rsidP="008E6576">
      <w:pPr>
        <w:rPr>
          <w:lang w:val="lv-LV"/>
        </w:rPr>
      </w:pPr>
      <w:r w:rsidRPr="008E6576">
        <w:rPr>
          <w:lang w:val="lv-LV"/>
        </w:rPr>
        <w:t xml:space="preserve">SAM – specifiskais atbalsta mērķis </w:t>
      </w:r>
    </w:p>
    <w:p w14:paraId="44068F5E" w14:textId="77777777" w:rsidR="008E6576" w:rsidRPr="008E6576" w:rsidRDefault="008E6576" w:rsidP="008E6576">
      <w:pPr>
        <w:rPr>
          <w:lang w:val="lv-LV"/>
        </w:rPr>
      </w:pPr>
      <w:r w:rsidRPr="008E6576">
        <w:rPr>
          <w:lang w:val="lv-LV"/>
        </w:rPr>
        <w:t xml:space="preserve">SEG – siltumnīcefekta gāzes </w:t>
      </w:r>
    </w:p>
    <w:p w14:paraId="4AB6DD4B" w14:textId="77777777" w:rsidR="008E6576" w:rsidRPr="008E6576" w:rsidRDefault="008E6576" w:rsidP="008E6576">
      <w:pPr>
        <w:rPr>
          <w:lang w:val="lv-LV"/>
        </w:rPr>
      </w:pPr>
      <w:r w:rsidRPr="008E6576">
        <w:rPr>
          <w:lang w:val="lv-LV"/>
        </w:rPr>
        <w:t xml:space="preserve">SIA – sabiedrība ar ierobežotu atbildību </w:t>
      </w:r>
    </w:p>
    <w:p w14:paraId="64545F69" w14:textId="77777777" w:rsidR="008E6576" w:rsidRPr="008E6576" w:rsidRDefault="008E6576" w:rsidP="008E6576">
      <w:pPr>
        <w:rPr>
          <w:lang w:val="lv-LV"/>
        </w:rPr>
      </w:pPr>
      <w:r w:rsidRPr="008E6576">
        <w:rPr>
          <w:lang w:val="lv-LV"/>
        </w:rPr>
        <w:t xml:space="preserve">SIF – Sabiedrības integrācijas fonds </w:t>
      </w:r>
    </w:p>
    <w:p w14:paraId="13DD1ED5" w14:textId="77777777" w:rsidR="008E6576" w:rsidRPr="008E6576" w:rsidRDefault="008E6576" w:rsidP="008E6576">
      <w:pPr>
        <w:rPr>
          <w:lang w:val="lv-LV"/>
        </w:rPr>
      </w:pPr>
      <w:r w:rsidRPr="008E6576">
        <w:rPr>
          <w:lang w:val="lv-LV"/>
        </w:rPr>
        <w:t xml:space="preserve">TEN-T – Viseiropas transporta tīkls </w:t>
      </w:r>
    </w:p>
    <w:p w14:paraId="24F48322" w14:textId="77777777" w:rsidR="008E6576" w:rsidRPr="008E6576" w:rsidRDefault="008E6576" w:rsidP="008E6576">
      <w:pPr>
        <w:rPr>
          <w:lang w:val="lv-LV"/>
        </w:rPr>
      </w:pPr>
      <w:r w:rsidRPr="008E6576">
        <w:rPr>
          <w:lang w:val="lv-LV"/>
        </w:rPr>
        <w:t xml:space="preserve">TM – Tieslietu ministrija </w:t>
      </w:r>
    </w:p>
    <w:p w14:paraId="53577A34" w14:textId="77777777" w:rsidR="008E6576" w:rsidRPr="008E6576" w:rsidRDefault="008E6576" w:rsidP="008E6576">
      <w:pPr>
        <w:rPr>
          <w:lang w:val="lv-LV"/>
        </w:rPr>
      </w:pPr>
      <w:r w:rsidRPr="008E6576">
        <w:rPr>
          <w:lang w:val="lv-LV"/>
        </w:rPr>
        <w:lastRenderedPageBreak/>
        <w:t xml:space="preserve">TUA – termiņuzturēšanās atļauja </w:t>
      </w:r>
    </w:p>
    <w:p w14:paraId="5DF80856" w14:textId="77777777" w:rsidR="008E6576" w:rsidRPr="008E6576" w:rsidRDefault="008E6576" w:rsidP="008E6576">
      <w:pPr>
        <w:rPr>
          <w:lang w:val="lv-LV"/>
        </w:rPr>
      </w:pPr>
      <w:r w:rsidRPr="008E6576">
        <w:rPr>
          <w:lang w:val="lv-LV"/>
        </w:rPr>
        <w:t xml:space="preserve">UR – Uzņēmumu reģistrs </w:t>
      </w:r>
    </w:p>
    <w:p w14:paraId="0F64B738" w14:textId="77777777" w:rsidR="008E6576" w:rsidRPr="008E6576" w:rsidRDefault="008E6576" w:rsidP="008E6576">
      <w:pPr>
        <w:rPr>
          <w:lang w:val="lv-LV"/>
        </w:rPr>
      </w:pPr>
      <w:r w:rsidRPr="008E6576">
        <w:rPr>
          <w:lang w:val="lv-LV"/>
        </w:rPr>
        <w:t xml:space="preserve">VAS – valsts akciju sabiedrība </w:t>
      </w:r>
    </w:p>
    <w:p w14:paraId="25D58901" w14:textId="77777777" w:rsidR="008E6576" w:rsidRPr="008E6576" w:rsidRDefault="008E6576" w:rsidP="008E6576">
      <w:pPr>
        <w:rPr>
          <w:lang w:val="lv-LV"/>
        </w:rPr>
      </w:pPr>
      <w:r w:rsidRPr="008E6576">
        <w:rPr>
          <w:lang w:val="lv-LV"/>
        </w:rPr>
        <w:t xml:space="preserve">VARAM – Vides aizsardzības un reģionālās attīstības ministrija </w:t>
      </w:r>
    </w:p>
    <w:p w14:paraId="0BF5C4E8" w14:textId="77777777" w:rsidR="008E6576" w:rsidRPr="008E6576" w:rsidRDefault="008E6576" w:rsidP="008E6576">
      <w:pPr>
        <w:rPr>
          <w:lang w:val="lv-LV"/>
        </w:rPr>
      </w:pPr>
      <w:r w:rsidRPr="008E6576">
        <w:rPr>
          <w:lang w:val="lv-LV"/>
        </w:rPr>
        <w:t xml:space="preserve">VM – Veselības ministrija </w:t>
      </w:r>
    </w:p>
    <w:p w14:paraId="6E8FAE14" w14:textId="77777777" w:rsidR="008E6576" w:rsidRPr="008E6576" w:rsidRDefault="008E6576" w:rsidP="008E6576">
      <w:pPr>
        <w:rPr>
          <w:lang w:val="lv-LV"/>
        </w:rPr>
      </w:pPr>
      <w:r w:rsidRPr="008E6576">
        <w:rPr>
          <w:lang w:val="lv-LV"/>
        </w:rPr>
        <w:t xml:space="preserve">VNPC – valsts nozīmes pētniecības centrs </w:t>
      </w:r>
    </w:p>
    <w:p w14:paraId="19161F24" w14:textId="77777777" w:rsidR="008E6576" w:rsidRPr="008E6576" w:rsidRDefault="008E6576" w:rsidP="008E6576">
      <w:pPr>
        <w:rPr>
          <w:lang w:val="lv-LV"/>
        </w:rPr>
      </w:pPr>
      <w:r w:rsidRPr="008E6576">
        <w:rPr>
          <w:lang w:val="lv-LV"/>
        </w:rPr>
        <w:t xml:space="preserve">VID – Valsts ieņēmumu dienests </w:t>
      </w:r>
    </w:p>
    <w:p w14:paraId="00B574E2" w14:textId="77777777" w:rsidR="008E6576" w:rsidRPr="008E6576" w:rsidRDefault="008E6576" w:rsidP="008E6576">
      <w:pPr>
        <w:rPr>
          <w:lang w:val="lv-LV"/>
        </w:rPr>
      </w:pPr>
      <w:r w:rsidRPr="008E6576">
        <w:rPr>
          <w:lang w:val="lv-LV"/>
        </w:rPr>
        <w:t xml:space="preserve">VPVB – Vides pārraudzības valsts birojs </w:t>
      </w:r>
    </w:p>
    <w:p w14:paraId="4C51BC8C" w14:textId="77777777" w:rsidR="008E6576" w:rsidRPr="008E6576" w:rsidRDefault="008E6576" w:rsidP="008E6576">
      <w:pPr>
        <w:rPr>
          <w:lang w:val="lv-LV"/>
        </w:rPr>
      </w:pPr>
      <w:r w:rsidRPr="008E6576">
        <w:rPr>
          <w:lang w:val="lv-LV"/>
        </w:rPr>
        <w:t xml:space="preserve">VRAA – Valsts reģionālās attīstības aģentūra </w:t>
      </w:r>
    </w:p>
    <w:p w14:paraId="76BB1469" w14:textId="77777777" w:rsidR="008E6576" w:rsidRPr="008E6576" w:rsidRDefault="008E6576" w:rsidP="008E6576">
      <w:pPr>
        <w:rPr>
          <w:lang w:val="lv-LV"/>
        </w:rPr>
      </w:pPr>
      <w:r w:rsidRPr="008E6576">
        <w:rPr>
          <w:lang w:val="lv-LV"/>
        </w:rPr>
        <w:t xml:space="preserve">VRP – Valdības rīcības plāns </w:t>
      </w:r>
    </w:p>
    <w:p w14:paraId="020AE560" w14:textId="77777777" w:rsidR="008E6576" w:rsidRPr="008E6576" w:rsidRDefault="008E6576" w:rsidP="008E6576">
      <w:pPr>
        <w:rPr>
          <w:lang w:val="lv-LV"/>
        </w:rPr>
      </w:pPr>
      <w:r w:rsidRPr="008E6576">
        <w:rPr>
          <w:lang w:val="lv-LV"/>
        </w:rPr>
        <w:t xml:space="preserve">VSAOI – valsts sociālās apdrošināšanas obligātās iemaksas </w:t>
      </w:r>
    </w:p>
    <w:p w14:paraId="770E56A2" w14:textId="77777777" w:rsidR="008E6576" w:rsidRPr="008E6576" w:rsidRDefault="008E6576" w:rsidP="008E6576">
      <w:pPr>
        <w:rPr>
          <w:lang w:val="lv-LV"/>
        </w:rPr>
      </w:pPr>
      <w:r w:rsidRPr="008E6576">
        <w:rPr>
          <w:lang w:val="lv-LV"/>
        </w:rPr>
        <w:t xml:space="preserve">VSIA – valsts sabiedrība ar ierobežotu atbildību </w:t>
      </w:r>
    </w:p>
    <w:p w14:paraId="7C1E7EFC" w14:textId="77777777" w:rsidR="008E6576" w:rsidRPr="008E6576" w:rsidRDefault="008E6576" w:rsidP="008E6576">
      <w:pPr>
        <w:rPr>
          <w:lang w:val="lv-LV"/>
        </w:rPr>
      </w:pPr>
      <w:r w:rsidRPr="008E6576">
        <w:rPr>
          <w:lang w:val="lv-LV"/>
        </w:rPr>
        <w:t xml:space="preserve">VSS – Valsts sekretāru sanāksme </w:t>
      </w:r>
    </w:p>
    <w:p w14:paraId="38FA7D50" w14:textId="77777777" w:rsidR="008E6576" w:rsidRDefault="008E6576" w:rsidP="008E6576">
      <w:pPr>
        <w:rPr>
          <w:lang w:val="lv-LV"/>
        </w:rPr>
      </w:pPr>
      <w:r w:rsidRPr="008E6576">
        <w:rPr>
          <w:lang w:val="lv-LV"/>
        </w:rPr>
        <w:t>ZM – Zemkopības ministrija</w:t>
      </w:r>
    </w:p>
    <w:p w14:paraId="05FB9298" w14:textId="77777777" w:rsidR="00D87E57" w:rsidRDefault="00D87E57" w:rsidP="008E6576">
      <w:pPr>
        <w:rPr>
          <w:lang w:val="lv-LV"/>
        </w:rPr>
      </w:pPr>
    </w:p>
    <w:p w14:paraId="1F338512" w14:textId="77777777" w:rsidR="00D87E57" w:rsidRDefault="00D87E57" w:rsidP="008E6576">
      <w:pPr>
        <w:rPr>
          <w:lang w:val="lv-LV"/>
        </w:rPr>
      </w:pPr>
    </w:p>
    <w:p w14:paraId="1684D1B1" w14:textId="77777777" w:rsidR="00D87E57" w:rsidRDefault="00D87E57" w:rsidP="008E6576">
      <w:pPr>
        <w:rPr>
          <w:lang w:val="lv-LV"/>
        </w:rPr>
      </w:pPr>
    </w:p>
    <w:p w14:paraId="006D3817" w14:textId="77777777" w:rsidR="00D87E57" w:rsidRDefault="00D87E57" w:rsidP="008E6576">
      <w:pPr>
        <w:rPr>
          <w:lang w:val="lv-LV"/>
        </w:rPr>
      </w:pPr>
    </w:p>
    <w:p w14:paraId="790D7416" w14:textId="77777777" w:rsidR="00D87E57" w:rsidRDefault="00D87E57" w:rsidP="008E6576">
      <w:pPr>
        <w:rPr>
          <w:lang w:val="lv-LV"/>
        </w:rPr>
      </w:pPr>
    </w:p>
    <w:p w14:paraId="142B76DE" w14:textId="77777777" w:rsidR="00D87E57" w:rsidRDefault="00D87E57" w:rsidP="008E6576">
      <w:pPr>
        <w:rPr>
          <w:lang w:val="lv-LV"/>
        </w:rPr>
      </w:pPr>
    </w:p>
    <w:p w14:paraId="627BDFDD" w14:textId="77777777" w:rsidR="00D87E57" w:rsidRDefault="00D87E57" w:rsidP="008E6576">
      <w:pPr>
        <w:rPr>
          <w:lang w:val="lv-LV"/>
        </w:rPr>
      </w:pPr>
    </w:p>
    <w:p w14:paraId="45480A7C" w14:textId="77777777" w:rsidR="00D87E57" w:rsidRDefault="00D87E57" w:rsidP="008E6576">
      <w:pPr>
        <w:rPr>
          <w:lang w:val="lv-LV"/>
        </w:rPr>
      </w:pPr>
    </w:p>
    <w:p w14:paraId="77C711C8" w14:textId="77777777" w:rsidR="00D87E57" w:rsidRDefault="00D87E57" w:rsidP="008E6576">
      <w:pPr>
        <w:rPr>
          <w:lang w:val="lv-LV"/>
        </w:rPr>
      </w:pPr>
    </w:p>
    <w:p w14:paraId="2B022496" w14:textId="77777777" w:rsidR="00D87E57" w:rsidRDefault="00D87E57" w:rsidP="008E6576">
      <w:pPr>
        <w:rPr>
          <w:lang w:val="lv-LV"/>
        </w:rPr>
      </w:pPr>
    </w:p>
    <w:p w14:paraId="0C425CCC" w14:textId="77777777" w:rsidR="00D87E57" w:rsidRDefault="00D87E57" w:rsidP="008E6576">
      <w:pPr>
        <w:rPr>
          <w:lang w:val="lv-LV"/>
        </w:rPr>
      </w:pPr>
    </w:p>
    <w:p w14:paraId="68EEAA77" w14:textId="77777777" w:rsidR="00D87E57" w:rsidRDefault="00D87E57" w:rsidP="008E6576">
      <w:pPr>
        <w:rPr>
          <w:lang w:val="lv-LV"/>
        </w:rPr>
      </w:pPr>
    </w:p>
    <w:p w14:paraId="270E8574" w14:textId="77777777" w:rsidR="00D87E57" w:rsidRDefault="00D87E57" w:rsidP="008E6576">
      <w:pPr>
        <w:rPr>
          <w:lang w:val="lv-LV"/>
        </w:rPr>
      </w:pPr>
    </w:p>
    <w:p w14:paraId="73226E08" w14:textId="77777777" w:rsidR="00D87E57" w:rsidRDefault="00D87E57" w:rsidP="008E6576">
      <w:pPr>
        <w:rPr>
          <w:lang w:val="lv-LV"/>
        </w:rPr>
      </w:pPr>
    </w:p>
    <w:p w14:paraId="0AE42045" w14:textId="77777777" w:rsidR="00D87E57" w:rsidRDefault="00D87E57" w:rsidP="008E6576">
      <w:pPr>
        <w:rPr>
          <w:lang w:val="lv-LV"/>
        </w:rPr>
      </w:pPr>
    </w:p>
    <w:p w14:paraId="6CB6B82D" w14:textId="77777777" w:rsidR="00D87E57" w:rsidRDefault="00D87E57" w:rsidP="008E6576">
      <w:pPr>
        <w:rPr>
          <w:lang w:val="lv-LV"/>
        </w:rPr>
      </w:pPr>
    </w:p>
    <w:p w14:paraId="38C490A2" w14:textId="77777777" w:rsidR="00D87E57" w:rsidRDefault="00D87E57" w:rsidP="008E6576">
      <w:pPr>
        <w:rPr>
          <w:lang w:val="lv-LV"/>
        </w:rPr>
      </w:pPr>
    </w:p>
    <w:p w14:paraId="67ED5B1C" w14:textId="77777777" w:rsidR="00D87E57" w:rsidRDefault="00D87E57" w:rsidP="008E6576">
      <w:pPr>
        <w:rPr>
          <w:lang w:val="lv-LV"/>
        </w:rPr>
      </w:pPr>
    </w:p>
    <w:p w14:paraId="17CD2D39" w14:textId="77777777" w:rsidR="00D87E57" w:rsidRDefault="00D87E57" w:rsidP="008E6576">
      <w:pPr>
        <w:rPr>
          <w:lang w:val="lv-LV"/>
        </w:rPr>
      </w:pPr>
    </w:p>
    <w:p w14:paraId="354C9456" w14:textId="77777777" w:rsidR="00D87E57" w:rsidRPr="008E6576" w:rsidRDefault="00D87E57" w:rsidP="008E6576">
      <w:pPr>
        <w:rPr>
          <w:lang w:val="lv-LV"/>
        </w:rPr>
      </w:pPr>
    </w:p>
    <w:p w14:paraId="63EB657A" w14:textId="65FDD210" w:rsidR="0070078D" w:rsidRPr="002139B5" w:rsidRDefault="0070078D" w:rsidP="0070078D">
      <w:pPr>
        <w:pStyle w:val="Heading1"/>
        <w:rPr>
          <w:lang w:val="lv-LV"/>
        </w:rPr>
      </w:pPr>
      <w:bookmarkStart w:id="7" w:name="_Toc498690604"/>
      <w:bookmarkStart w:id="8" w:name="_Toc499025301"/>
      <w:r w:rsidRPr="002139B5">
        <w:rPr>
          <w:lang w:val="lv-LV"/>
        </w:rPr>
        <w:lastRenderedPageBreak/>
        <w:t>IEVADS</w:t>
      </w:r>
      <w:bookmarkEnd w:id="7"/>
      <w:bookmarkEnd w:id="8"/>
    </w:p>
    <w:p w14:paraId="4E260073" w14:textId="60F909C2" w:rsidR="009838D5" w:rsidRPr="00DA11BE" w:rsidRDefault="000664FB" w:rsidP="009838D5">
      <w:pPr>
        <w:rPr>
          <w:lang w:val="lv-LV"/>
        </w:rPr>
      </w:pPr>
      <w:r>
        <w:rPr>
          <w:lang w:val="lv-LV"/>
        </w:rPr>
        <w:t>Pagājuši pieci</w:t>
      </w:r>
      <w:r w:rsidR="009838D5" w:rsidRPr="00DA11BE">
        <w:rPr>
          <w:lang w:val="lv-LV"/>
        </w:rPr>
        <w:t xml:space="preserve"> gadi kopš Latvijas Republikas Saeima apstiprināja Nacionālo attīstības plānu 2014.-2020. gadam (NAP2020). Kopš tā laika īstenota rīcībpolitika, veiktas </w:t>
      </w:r>
      <w:r w:rsidR="005E4E37">
        <w:rPr>
          <w:lang w:val="lv-LV"/>
        </w:rPr>
        <w:t xml:space="preserve">Latvijas valsts budžeta un </w:t>
      </w:r>
      <w:r w:rsidR="009838D5" w:rsidRPr="00DA11BE">
        <w:rPr>
          <w:lang w:val="lv-LV"/>
        </w:rPr>
        <w:t>Eiropas Savienības fondu investīcijas NAP2020 mērķu sasniegšanai.</w:t>
      </w:r>
    </w:p>
    <w:p w14:paraId="22EC1F6F" w14:textId="5F03A20A" w:rsidR="009838D5" w:rsidRPr="00DA11BE" w:rsidRDefault="009838D5" w:rsidP="009838D5">
      <w:pPr>
        <w:rPr>
          <w:lang w:val="lv-LV"/>
        </w:rPr>
      </w:pPr>
      <w:r w:rsidRPr="00DA11BE">
        <w:rPr>
          <w:lang w:val="lv-LV"/>
        </w:rPr>
        <w:t>Šogad ir pienācis laiks noskaidrot, kā veicies NAP2020 īstenošanā – vai tajā noteiktie mērķi un uzdevumi ir sasniegti, vai līdz ar izmaiņām sociālekonomiskajā un ģeopolitiskajā vidē, mainījusies arī valsts stratēģisko mērķu aktualitāte. Lai novērtētu paveikto un darāmo valsts attīstības mērķu sasniegšanā, Pārresoru koordināc</w:t>
      </w:r>
      <w:r w:rsidR="00D56CCC">
        <w:rPr>
          <w:lang w:val="lv-LV"/>
        </w:rPr>
        <w:t xml:space="preserve">ijas centrs 2017. gadā </w:t>
      </w:r>
      <w:r w:rsidRPr="00DA11BE">
        <w:rPr>
          <w:lang w:val="lv-LV"/>
        </w:rPr>
        <w:t xml:space="preserve">veicis padziļinātu analīzi, šajā procesā iesaistot nozaru ekspertus un </w:t>
      </w:r>
      <w:r w:rsidR="00D56CCC">
        <w:rPr>
          <w:lang w:val="lv-LV"/>
        </w:rPr>
        <w:t>augstākā līmeņa vadītājus</w:t>
      </w:r>
      <w:r w:rsidRPr="00DA11BE">
        <w:rPr>
          <w:lang w:val="lv-LV"/>
        </w:rPr>
        <w:t xml:space="preserve">, pašvaldību </w:t>
      </w:r>
      <w:r w:rsidR="00D56CCC">
        <w:rPr>
          <w:lang w:val="lv-LV"/>
        </w:rPr>
        <w:t>un</w:t>
      </w:r>
      <w:r w:rsidR="005E4E37">
        <w:rPr>
          <w:lang w:val="lv-LV"/>
        </w:rPr>
        <w:t xml:space="preserve"> plānošanas reģionu pārstāvjus, sociālos un sadarbības partnerus, uzņēmējus, zinātniekus un akadēmiskās vides pārstāvjus, kā arī</w:t>
      </w:r>
      <w:r w:rsidRPr="00DA11BE">
        <w:rPr>
          <w:lang w:val="lv-LV"/>
        </w:rPr>
        <w:t xml:space="preserve"> </w:t>
      </w:r>
      <w:r w:rsidR="000947F0">
        <w:rPr>
          <w:lang w:val="lv-LV"/>
        </w:rPr>
        <w:t xml:space="preserve">politiķus un </w:t>
      </w:r>
      <w:r w:rsidRPr="00DA11BE">
        <w:rPr>
          <w:lang w:val="lv-LV"/>
        </w:rPr>
        <w:t>nevalstisko sektoru, noskaidrojot būtiskākos izaicinājumus NAP2020 īstenošanā.</w:t>
      </w:r>
    </w:p>
    <w:p w14:paraId="577EAF21" w14:textId="090A5FA2" w:rsidR="009838D5" w:rsidRPr="00DA11BE" w:rsidRDefault="009838D5" w:rsidP="009838D5">
      <w:pPr>
        <w:rPr>
          <w:lang w:val="lv-LV"/>
        </w:rPr>
      </w:pPr>
      <w:r w:rsidRPr="00DA11BE">
        <w:rPr>
          <w:lang w:val="lv-LV"/>
        </w:rPr>
        <w:t>Atskatoties uz NAP2020 izstrādi, atceramies, ka tā notika straujos tempos, taču ar plašu sabiedrības, ekspertu un viedokļu līderu iesaisti. NAP2020 veidots tiešā sasaistē ar valsts budžeta attīstības daļu un Eiropas Savienības struktūrfondiem, liekot uzsvaru uz būtiskākajiem valsts konkurētspēju un att</w:t>
      </w:r>
      <w:r>
        <w:rPr>
          <w:lang w:val="lv-LV"/>
        </w:rPr>
        <w:t>īstību ietekmējošiem faktoriem,</w:t>
      </w:r>
      <w:r w:rsidRPr="00DA11BE">
        <w:rPr>
          <w:lang w:val="lv-LV"/>
        </w:rPr>
        <w:t xml:space="preserve"> </w:t>
      </w:r>
      <w:r>
        <w:rPr>
          <w:lang w:val="lv-LV"/>
        </w:rPr>
        <w:t xml:space="preserve">tostarp </w:t>
      </w:r>
      <w:r w:rsidRPr="00DA11BE">
        <w:rPr>
          <w:lang w:val="lv-LV"/>
        </w:rPr>
        <w:t xml:space="preserve">produktivitātes celšanu, iedzīvotāju labklājības un dzīves kvalitātes uzlabošanu, īpaši strādājot pie ģimeņu ar zemiem ienākumiem </w:t>
      </w:r>
      <w:r w:rsidRPr="002034E7">
        <w:rPr>
          <w:lang w:val="lv-LV"/>
        </w:rPr>
        <w:t>nabadzības riska novēršanas, un reformām tādās jomās kā izglītība un veselības aprūpe. Lai sasniegtu ambiciozākos no NAP2020</w:t>
      </w:r>
      <w:r w:rsidRPr="00DA11BE">
        <w:rPr>
          <w:lang w:val="lv-LV"/>
        </w:rPr>
        <w:t xml:space="preserve"> mērķiem</w:t>
      </w:r>
      <w:r w:rsidR="00F031DC">
        <w:rPr>
          <w:lang w:val="lv-LV"/>
        </w:rPr>
        <w:t>,</w:t>
      </w:r>
      <w:r w:rsidRPr="00DA11BE">
        <w:rPr>
          <w:lang w:val="lv-LV"/>
        </w:rPr>
        <w:t xml:space="preserve"> ikvienam jābūt gatavam pārmaiņām savā dzīvē</w:t>
      </w:r>
      <w:r>
        <w:rPr>
          <w:lang w:val="lv-LV"/>
        </w:rPr>
        <w:t xml:space="preserve"> un aktīvi jāiesaistās savas un valsts nākotnes veidošanā</w:t>
      </w:r>
      <w:r w:rsidRPr="00DA11BE">
        <w:rPr>
          <w:lang w:val="lv-LV"/>
        </w:rPr>
        <w:t xml:space="preserve">, </w:t>
      </w:r>
      <w:r>
        <w:rPr>
          <w:lang w:val="lv-LV"/>
        </w:rPr>
        <w:t>pielāgojoties nākotnes darba tirgus vajadzībām un attīstot</w:t>
      </w:r>
      <w:r w:rsidRPr="00DA11BE">
        <w:rPr>
          <w:lang w:val="lv-LV"/>
        </w:rPr>
        <w:t xml:space="preserve"> zināšanas un prasmes</w:t>
      </w:r>
      <w:r>
        <w:rPr>
          <w:lang w:val="lv-LV"/>
        </w:rPr>
        <w:t>, kas sekmēs kā individuālo, tā valsts izaugsmi.</w:t>
      </w:r>
    </w:p>
    <w:p w14:paraId="32115B9B" w14:textId="5BC0E2DA" w:rsidR="009838D5" w:rsidRDefault="009838D5" w:rsidP="002034E7">
      <w:pPr>
        <w:rPr>
          <w:lang w:val="lv-LV"/>
        </w:rPr>
      </w:pPr>
      <w:r w:rsidRPr="00DA11BE">
        <w:rPr>
          <w:lang w:val="lv-LV"/>
        </w:rPr>
        <w:t>NAP2020 vadmotīva</w:t>
      </w:r>
      <w:r w:rsidR="002034E7">
        <w:rPr>
          <w:lang w:val="lv-LV"/>
        </w:rPr>
        <w:t xml:space="preserve"> </w:t>
      </w:r>
      <w:r w:rsidR="00ED1439">
        <w:rPr>
          <w:i/>
          <w:lang w:val="lv-LV"/>
        </w:rPr>
        <w:t>Ekonomikas</w:t>
      </w:r>
      <w:r w:rsidRPr="002034E7">
        <w:rPr>
          <w:i/>
          <w:lang w:val="lv-LV"/>
        </w:rPr>
        <w:t xml:space="preserve"> izrāviens</w:t>
      </w:r>
      <w:r w:rsidRPr="00DA11BE">
        <w:rPr>
          <w:lang w:val="lv-LV"/>
        </w:rPr>
        <w:t xml:space="preserve"> un trīs prioritāšu </w:t>
      </w:r>
      <w:r w:rsidRPr="002034E7">
        <w:rPr>
          <w:i/>
          <w:lang w:val="lv-LV"/>
        </w:rPr>
        <w:t>Tautas saimniecības izaugsme</w:t>
      </w:r>
      <w:r w:rsidRPr="00DA11BE">
        <w:rPr>
          <w:lang w:val="lv-LV"/>
        </w:rPr>
        <w:t xml:space="preserve">, </w:t>
      </w:r>
      <w:r w:rsidRPr="002034E7">
        <w:rPr>
          <w:i/>
          <w:lang w:val="lv-LV"/>
        </w:rPr>
        <w:t>Cilvēka drošumspēja</w:t>
      </w:r>
      <w:r w:rsidRPr="00DA11BE">
        <w:rPr>
          <w:lang w:val="lv-LV"/>
        </w:rPr>
        <w:t xml:space="preserve"> un </w:t>
      </w:r>
      <w:r w:rsidRPr="002034E7">
        <w:rPr>
          <w:i/>
          <w:lang w:val="lv-LV"/>
        </w:rPr>
        <w:t>Izaugsmi atbalstošas teritorijas</w:t>
      </w:r>
      <w:r w:rsidRPr="00DA11BE">
        <w:rPr>
          <w:lang w:val="lv-LV"/>
        </w:rPr>
        <w:t xml:space="preserve"> īstenošana ir savstarpēji cieši saistītu pasākumu kopums, kura fokuss ir konkurētspējīgs, uz pasaules pārmaiņām gatavs cilvēks</w:t>
      </w:r>
      <w:r w:rsidR="002034E7">
        <w:rPr>
          <w:lang w:val="lv-LV"/>
        </w:rPr>
        <w:t>,</w:t>
      </w:r>
      <w:r w:rsidRPr="00DA11BE">
        <w:rPr>
          <w:lang w:val="lv-LV"/>
        </w:rPr>
        <w:t xml:space="preserve"> no vienas puses, un darbotiesspējīga, uz reformām vērsta valsts un pašvaldību pārvalde</w:t>
      </w:r>
      <w:r w:rsidR="002034E7">
        <w:rPr>
          <w:lang w:val="lv-LV"/>
        </w:rPr>
        <w:t>,</w:t>
      </w:r>
      <w:r w:rsidRPr="00DA11BE">
        <w:rPr>
          <w:lang w:val="lv-LV"/>
        </w:rPr>
        <w:t xml:space="preserve"> no otras puses. </w:t>
      </w:r>
    </w:p>
    <w:p w14:paraId="5EF4223F" w14:textId="775ACAF1" w:rsidR="009838D5" w:rsidRPr="0099362E" w:rsidRDefault="009838D5" w:rsidP="00D73E71">
      <w:pPr>
        <w:rPr>
          <w:lang w:val="lv-LV"/>
        </w:rPr>
      </w:pPr>
      <w:r w:rsidRPr="00741FDC">
        <w:rPr>
          <w:lang w:val="lv-LV"/>
        </w:rPr>
        <w:t>Uz 2016.</w:t>
      </w:r>
      <w:r>
        <w:rPr>
          <w:lang w:val="lv-LV"/>
        </w:rPr>
        <w:t> </w:t>
      </w:r>
      <w:r w:rsidRPr="00741FDC">
        <w:rPr>
          <w:lang w:val="lv-LV"/>
        </w:rPr>
        <w:t>gada 31.</w:t>
      </w:r>
      <w:r>
        <w:rPr>
          <w:lang w:val="lv-LV"/>
        </w:rPr>
        <w:t> </w:t>
      </w:r>
      <w:r w:rsidRPr="00741FDC">
        <w:rPr>
          <w:lang w:val="lv-LV"/>
        </w:rPr>
        <w:t>decembri</w:t>
      </w:r>
      <w:r>
        <w:rPr>
          <w:lang w:val="lv-LV"/>
        </w:rPr>
        <w:t xml:space="preserve"> valsts attīstībā un iedzīvotāju labklājības celšanā caur NAP2020 mērķu īstenošanu ieguldīts ap 1,47 mljrd e</w:t>
      </w:r>
      <w:r w:rsidR="00D73E71">
        <w:rPr>
          <w:lang w:val="lv-LV"/>
        </w:rPr>
        <w:t>u</w:t>
      </w:r>
      <w:r w:rsidR="00F2758E">
        <w:rPr>
          <w:lang w:val="lv-LV"/>
        </w:rPr>
        <w:t xml:space="preserve">ro valsts budžeta finansējuma, kas veido </w:t>
      </w:r>
      <w:r>
        <w:rPr>
          <w:lang w:val="lv-LV"/>
        </w:rPr>
        <w:t>aptuveni 73% no kopējā plānotā ieguldījum</w:t>
      </w:r>
      <w:r w:rsidR="00F2758E">
        <w:rPr>
          <w:lang w:val="lv-LV"/>
        </w:rPr>
        <w:t>u apmēra,</w:t>
      </w:r>
      <w:r>
        <w:rPr>
          <w:lang w:val="lv-LV"/>
        </w:rPr>
        <w:t xml:space="preserve"> un nedaudz virs 497 mlj e</w:t>
      </w:r>
      <w:r w:rsidR="00D73E71">
        <w:rPr>
          <w:lang w:val="lv-LV"/>
        </w:rPr>
        <w:t>u</w:t>
      </w:r>
      <w:r>
        <w:rPr>
          <w:lang w:val="lv-LV"/>
        </w:rPr>
        <w:t xml:space="preserve">ro Eiropas Savienības fondu finansējuma </w:t>
      </w:r>
      <w:r w:rsidR="00D73E71">
        <w:rPr>
          <w:lang w:val="lv-LV"/>
        </w:rPr>
        <w:t>no kopējā 5,</w:t>
      </w:r>
      <w:r>
        <w:rPr>
          <w:lang w:val="lv-LV"/>
        </w:rPr>
        <w:t>4 mljrd e</w:t>
      </w:r>
      <w:r w:rsidR="00D73E71">
        <w:rPr>
          <w:lang w:val="lv-LV"/>
        </w:rPr>
        <w:t>u</w:t>
      </w:r>
      <w:r>
        <w:rPr>
          <w:lang w:val="lv-LV"/>
        </w:rPr>
        <w:t xml:space="preserve">ro plānotā. Lielākās investīcijas no valsts budžeta līdz šim </w:t>
      </w:r>
      <w:r w:rsidRPr="00741FDC">
        <w:rPr>
          <w:lang w:val="lv-LV"/>
        </w:rPr>
        <w:t xml:space="preserve">veiktas rīcības virzienos </w:t>
      </w:r>
      <w:r w:rsidRPr="00D73E71">
        <w:rPr>
          <w:i/>
          <w:lang w:val="lv-LV"/>
        </w:rPr>
        <w:t>Cienīgs darbs</w:t>
      </w:r>
      <w:r w:rsidRPr="00741FDC">
        <w:rPr>
          <w:lang w:val="lv-LV"/>
        </w:rPr>
        <w:t xml:space="preserve">, </w:t>
      </w:r>
      <w:r w:rsidRPr="00D73E71">
        <w:rPr>
          <w:i/>
          <w:lang w:val="lv-LV"/>
        </w:rPr>
        <w:t>Pakalpojumu pieejamība līdzvērtīgāku darba iespēju un dzīves apstākļu radīšanai</w:t>
      </w:r>
      <w:r w:rsidRPr="00741FDC">
        <w:rPr>
          <w:lang w:val="lv-LV"/>
        </w:rPr>
        <w:t xml:space="preserve"> un </w:t>
      </w:r>
      <w:r w:rsidRPr="00D73E71">
        <w:rPr>
          <w:i/>
          <w:lang w:val="lv-LV"/>
        </w:rPr>
        <w:t>Izcila uzņēmējdarbības vide</w:t>
      </w:r>
      <w:r>
        <w:rPr>
          <w:lang w:val="lv-LV"/>
        </w:rPr>
        <w:t xml:space="preserve"> – attiecīgi 321,2 mlj e</w:t>
      </w:r>
      <w:r w:rsidR="00D73E71">
        <w:rPr>
          <w:lang w:val="lv-LV"/>
        </w:rPr>
        <w:t>u</w:t>
      </w:r>
      <w:r>
        <w:rPr>
          <w:lang w:val="lv-LV"/>
        </w:rPr>
        <w:t>ro</w:t>
      </w:r>
      <w:r w:rsidRPr="00741FDC">
        <w:rPr>
          <w:lang w:val="lv-LV"/>
        </w:rPr>
        <w:t xml:space="preserve">, 270 </w:t>
      </w:r>
      <w:r w:rsidR="00D73E71">
        <w:rPr>
          <w:lang w:val="lv-LV"/>
        </w:rPr>
        <w:t>m</w:t>
      </w:r>
      <w:r>
        <w:rPr>
          <w:lang w:val="lv-LV"/>
        </w:rPr>
        <w:t>lj e</w:t>
      </w:r>
      <w:r w:rsidR="00D73E71">
        <w:rPr>
          <w:lang w:val="lv-LV"/>
        </w:rPr>
        <w:t>u</w:t>
      </w:r>
      <w:r>
        <w:rPr>
          <w:lang w:val="lv-LV"/>
        </w:rPr>
        <w:t>ro</w:t>
      </w:r>
      <w:r w:rsidRPr="00741FDC">
        <w:rPr>
          <w:lang w:val="lv-LV"/>
        </w:rPr>
        <w:t xml:space="preserve"> </w:t>
      </w:r>
      <w:r w:rsidR="00D73E71">
        <w:rPr>
          <w:lang w:val="lv-LV"/>
        </w:rPr>
        <w:t>un 219,7 m</w:t>
      </w:r>
      <w:r>
        <w:rPr>
          <w:lang w:val="lv-LV"/>
        </w:rPr>
        <w:t>lj e</w:t>
      </w:r>
      <w:r w:rsidR="00D73E71">
        <w:rPr>
          <w:lang w:val="lv-LV"/>
        </w:rPr>
        <w:t>u</w:t>
      </w:r>
      <w:r w:rsidRPr="00741FDC">
        <w:rPr>
          <w:lang w:val="lv-LV"/>
        </w:rPr>
        <w:t>ro.</w:t>
      </w:r>
      <w:r>
        <w:rPr>
          <w:lang w:val="lv-LV"/>
        </w:rPr>
        <w:t xml:space="preserve"> </w:t>
      </w:r>
    </w:p>
    <w:p w14:paraId="6D843D05" w14:textId="1BAA3133" w:rsidR="009838D5" w:rsidRDefault="00F031DC" w:rsidP="001F01A3">
      <w:pPr>
        <w:rPr>
          <w:lang w:val="lv-LV"/>
        </w:rPr>
      </w:pPr>
      <w:r>
        <w:rPr>
          <w:lang w:val="lv-LV"/>
        </w:rPr>
        <w:t>Kā liecina NAP2020 vidusposma novērtējums, rīcības virzien</w:t>
      </w:r>
      <w:r w:rsidR="00253A65">
        <w:rPr>
          <w:lang w:val="lv-LV"/>
        </w:rPr>
        <w:t>os</w:t>
      </w:r>
      <w:r>
        <w:rPr>
          <w:lang w:val="lv-LV"/>
        </w:rPr>
        <w:t xml:space="preserve">, kuros veikti lielākie </w:t>
      </w:r>
      <w:r w:rsidR="0097384A">
        <w:rPr>
          <w:lang w:val="lv-LV"/>
        </w:rPr>
        <w:t xml:space="preserve">valsts budžeta </w:t>
      </w:r>
      <w:r>
        <w:rPr>
          <w:lang w:val="lv-LV"/>
        </w:rPr>
        <w:t>ieguldījumi</w:t>
      </w:r>
      <w:r w:rsidR="001F01A3">
        <w:rPr>
          <w:lang w:val="lv-LV"/>
        </w:rPr>
        <w:t xml:space="preserve">, ir sasniegti arī rezultāti. No visiem NAP2020 mērķiem </w:t>
      </w:r>
      <w:r w:rsidR="001A09E6">
        <w:rPr>
          <w:lang w:val="lv-LV"/>
        </w:rPr>
        <w:t>visatzinīgāk</w:t>
      </w:r>
      <w:r w:rsidR="001F01A3">
        <w:rPr>
          <w:lang w:val="lv-LV"/>
        </w:rPr>
        <w:t xml:space="preserve"> </w:t>
      </w:r>
      <w:r w:rsidR="00D52168">
        <w:rPr>
          <w:lang w:val="lv-LV"/>
        </w:rPr>
        <w:t>vērt</w:t>
      </w:r>
      <w:r w:rsidR="0097384A">
        <w:rPr>
          <w:lang w:val="lv-LV"/>
        </w:rPr>
        <w:t>ē</w:t>
      </w:r>
      <w:r w:rsidR="001A09E6">
        <w:rPr>
          <w:lang w:val="lv-LV"/>
        </w:rPr>
        <w:t>jams</w:t>
      </w:r>
      <w:r w:rsidR="0097384A">
        <w:rPr>
          <w:lang w:val="lv-LV"/>
        </w:rPr>
        <w:t xml:space="preserve"> progress saistībā ar</w:t>
      </w:r>
      <w:r w:rsidR="00D52168">
        <w:rPr>
          <w:lang w:val="lv-LV"/>
        </w:rPr>
        <w:t xml:space="preserve"> IKT un e-pārvaldības attīstīb</w:t>
      </w:r>
      <w:r w:rsidR="0097384A">
        <w:rPr>
          <w:lang w:val="lv-LV"/>
        </w:rPr>
        <w:t>u</w:t>
      </w:r>
      <w:r w:rsidR="00C30914">
        <w:rPr>
          <w:lang w:val="lv-LV"/>
        </w:rPr>
        <w:t xml:space="preserve"> (rīcības virziens</w:t>
      </w:r>
      <w:r w:rsidR="00013FF1" w:rsidRPr="00013FF1">
        <w:rPr>
          <w:i/>
          <w:lang w:val="lv-LV"/>
        </w:rPr>
        <w:t xml:space="preserve"> </w:t>
      </w:r>
      <w:r w:rsidR="00013FF1" w:rsidRPr="00D73E71">
        <w:rPr>
          <w:i/>
          <w:lang w:val="lv-LV"/>
        </w:rPr>
        <w:t>Pakalpojumu pieejamība līdzvērtīgāku darba iespēju un dzīves apstākļu radīšanai</w:t>
      </w:r>
      <w:r w:rsidR="00013FF1" w:rsidRPr="00013FF1">
        <w:rPr>
          <w:lang w:val="lv-LV"/>
        </w:rPr>
        <w:t>)</w:t>
      </w:r>
      <w:r w:rsidR="00D52168">
        <w:rPr>
          <w:lang w:val="lv-LV"/>
        </w:rPr>
        <w:t>, nodarbinātības veicinā</w:t>
      </w:r>
      <w:r w:rsidR="0097384A">
        <w:rPr>
          <w:lang w:val="lv-LV"/>
        </w:rPr>
        <w:t>šanu</w:t>
      </w:r>
      <w:r w:rsidR="00013FF1">
        <w:rPr>
          <w:lang w:val="lv-LV"/>
        </w:rPr>
        <w:t xml:space="preserve"> (rīcības virziens </w:t>
      </w:r>
      <w:r w:rsidR="00013FF1" w:rsidRPr="00013FF1">
        <w:rPr>
          <w:i/>
          <w:lang w:val="lv-LV"/>
        </w:rPr>
        <w:t>Cienīgs darbs</w:t>
      </w:r>
      <w:r w:rsidR="00013FF1">
        <w:rPr>
          <w:lang w:val="lv-LV"/>
        </w:rPr>
        <w:t>)</w:t>
      </w:r>
      <w:r w:rsidR="00D52168">
        <w:rPr>
          <w:lang w:val="lv-LV"/>
        </w:rPr>
        <w:t xml:space="preserve">, kā arī </w:t>
      </w:r>
      <w:r w:rsidR="0097384A">
        <w:rPr>
          <w:lang w:val="lv-LV"/>
        </w:rPr>
        <w:t xml:space="preserve">ar </w:t>
      </w:r>
      <w:r w:rsidR="00D52168">
        <w:rPr>
          <w:lang w:val="lv-LV"/>
        </w:rPr>
        <w:t>kultūras</w:t>
      </w:r>
      <w:r w:rsidR="00F2758E">
        <w:rPr>
          <w:lang w:val="lv-LV"/>
        </w:rPr>
        <w:t xml:space="preserve"> kapitāla resursu ilgtspējīg</w:t>
      </w:r>
      <w:r w:rsidR="0097384A">
        <w:rPr>
          <w:lang w:val="lv-LV"/>
        </w:rPr>
        <w:t>u</w:t>
      </w:r>
      <w:r w:rsidR="00F2758E">
        <w:rPr>
          <w:lang w:val="lv-LV"/>
        </w:rPr>
        <w:t xml:space="preserve"> izmantošan</w:t>
      </w:r>
      <w:r w:rsidR="0097384A">
        <w:rPr>
          <w:lang w:val="lv-LV"/>
        </w:rPr>
        <w:t xml:space="preserve">u </w:t>
      </w:r>
      <w:r w:rsidR="00013FF1">
        <w:rPr>
          <w:lang w:val="lv-LV"/>
        </w:rPr>
        <w:t xml:space="preserve">(rīcības virziens </w:t>
      </w:r>
      <w:r w:rsidR="00013FF1" w:rsidRPr="00013FF1">
        <w:rPr>
          <w:i/>
          <w:lang w:val="lv-LV"/>
        </w:rPr>
        <w:t>Dabas un kultūras kapitāla ilgtspējīga apsaimniekošana</w:t>
      </w:r>
      <w:r w:rsidR="00013FF1">
        <w:rPr>
          <w:lang w:val="lv-LV"/>
        </w:rPr>
        <w:t xml:space="preserve">) </w:t>
      </w:r>
      <w:r w:rsidR="0097384A">
        <w:rPr>
          <w:lang w:val="lv-LV"/>
        </w:rPr>
        <w:t>un latviešu valodas lietojuma sabiedrībā nostiprināšanos</w:t>
      </w:r>
      <w:r w:rsidR="00013FF1">
        <w:rPr>
          <w:lang w:val="lv-LV"/>
        </w:rPr>
        <w:t xml:space="preserve"> (rīcības virziens </w:t>
      </w:r>
      <w:r w:rsidR="00013FF1" w:rsidRPr="00013FF1">
        <w:rPr>
          <w:i/>
          <w:lang w:val="lv-LV"/>
        </w:rPr>
        <w:t>Cilvēku sadarbība, kultūra un pilsoniskā līdzdalība kā piederības Latvijai pamats</w:t>
      </w:r>
      <w:r w:rsidR="00013FF1">
        <w:rPr>
          <w:lang w:val="lv-LV"/>
        </w:rPr>
        <w:t>)</w:t>
      </w:r>
      <w:r w:rsidR="001A09E6">
        <w:rPr>
          <w:lang w:val="lv-LV"/>
        </w:rPr>
        <w:t>. Savukārt, ņemot vērā izmaiņas NAP2020 indikatoros un ekspertu vērtējumu, būtiskākie klupšanas akmeņi valsts attīstīb</w:t>
      </w:r>
      <w:r w:rsidR="008110C5">
        <w:rPr>
          <w:lang w:val="lv-LV"/>
        </w:rPr>
        <w:t>ā</w:t>
      </w:r>
      <w:r w:rsidR="001A09E6">
        <w:rPr>
          <w:lang w:val="lv-LV"/>
        </w:rPr>
        <w:t xml:space="preserve"> šobrīd </w:t>
      </w:r>
      <w:r w:rsidR="008110C5">
        <w:rPr>
          <w:lang w:val="lv-LV"/>
        </w:rPr>
        <w:t>ir zinātne</w:t>
      </w:r>
      <w:r w:rsidR="0059244A">
        <w:rPr>
          <w:lang w:val="lv-LV"/>
        </w:rPr>
        <w:t>s</w:t>
      </w:r>
      <w:r w:rsidR="008110C5">
        <w:rPr>
          <w:lang w:val="lv-LV"/>
        </w:rPr>
        <w:t>, pētniecība</w:t>
      </w:r>
      <w:r w:rsidR="0059244A">
        <w:rPr>
          <w:lang w:val="lv-LV"/>
        </w:rPr>
        <w:t>s</w:t>
      </w:r>
      <w:r w:rsidR="008110C5">
        <w:rPr>
          <w:lang w:val="lv-LV"/>
        </w:rPr>
        <w:t xml:space="preserve"> un inovāciju attīstība, kam par iemeslu ir kritiski zemais ieguldījumu apmērs </w:t>
      </w:r>
      <w:r w:rsidR="0059244A">
        <w:rPr>
          <w:lang w:val="lv-LV"/>
        </w:rPr>
        <w:t>gan no publiskajiem, gan privātajiem resursiem, sasniegumi vispārējā izglītībā, reģionālās politikas attīst</w:t>
      </w:r>
      <w:r w:rsidR="00C30914">
        <w:rPr>
          <w:lang w:val="lv-LV"/>
        </w:rPr>
        <w:t xml:space="preserve">ība, kā arī </w:t>
      </w:r>
      <w:r w:rsidR="0059244A">
        <w:rPr>
          <w:lang w:val="lv-LV"/>
        </w:rPr>
        <w:t xml:space="preserve">migrācija, </w:t>
      </w:r>
      <w:r w:rsidR="00C30914">
        <w:rPr>
          <w:lang w:val="lv-LV"/>
        </w:rPr>
        <w:t>turpinoties</w:t>
      </w:r>
      <w:r w:rsidR="0059244A">
        <w:rPr>
          <w:lang w:val="lv-LV"/>
        </w:rPr>
        <w:t xml:space="preserve"> darbspējas vecuma cilvēku aiz</w:t>
      </w:r>
      <w:r w:rsidR="00C30914">
        <w:rPr>
          <w:lang w:val="lv-LV"/>
        </w:rPr>
        <w:t>braukšanai un vienlaikus nepalielinoties remigrācijas plūsmai.</w:t>
      </w:r>
    </w:p>
    <w:p w14:paraId="6B2E259A" w14:textId="724EDD34" w:rsidR="00253A65" w:rsidRPr="007209DD" w:rsidRDefault="00253A65" w:rsidP="001F01A3">
      <w:pPr>
        <w:rPr>
          <w:lang w:val="lv-LV"/>
        </w:rPr>
      </w:pPr>
      <w:r>
        <w:rPr>
          <w:lang w:val="lv-LV"/>
        </w:rPr>
        <w:lastRenderedPageBreak/>
        <w:t xml:space="preserve">NAP2020 vidusposma novērtējuma ziņojumā vērtēta augstākā līmeņa attīstības plānošanas dokumentu aktualitāte un nozīme, </w:t>
      </w:r>
      <w:r w:rsidR="006F14C6">
        <w:rPr>
          <w:lang w:val="lv-LV"/>
        </w:rPr>
        <w:t xml:space="preserve">progress saistībā ar NAP2020 mērķu un uzdevumu īstenošanu, analizēti NAP2020 īstenošanas gaitu ietekmējošie faktori un sniegts Latvijas konkurētspējas novērtējums, iezīmējot iespējamās prioritātes un izšķiršanās nākotnei, </w:t>
      </w:r>
      <w:r w:rsidR="0028393B">
        <w:rPr>
          <w:lang w:val="lv-LV"/>
        </w:rPr>
        <w:t xml:space="preserve">tostarp kontekstā ar ilgtspējīgas attīstības mērķiem, </w:t>
      </w:r>
      <w:r w:rsidR="006F14C6">
        <w:rPr>
          <w:lang w:val="lv-LV"/>
        </w:rPr>
        <w:t xml:space="preserve">lai </w:t>
      </w:r>
      <w:r w:rsidR="006F14C6" w:rsidRPr="007209DD">
        <w:rPr>
          <w:lang w:val="lv-LV"/>
        </w:rPr>
        <w:t xml:space="preserve">nodrošinātu sekmīgu un līdzsvarotu </w:t>
      </w:r>
      <w:r w:rsidR="0028393B" w:rsidRPr="007209DD">
        <w:rPr>
          <w:lang w:val="lv-LV"/>
        </w:rPr>
        <w:t>valsts attīstību.</w:t>
      </w:r>
    </w:p>
    <w:p w14:paraId="0DF19EF9" w14:textId="59E03A34" w:rsidR="008A4F60" w:rsidRDefault="009838D5" w:rsidP="008A4F60">
      <w:pPr>
        <w:rPr>
          <w:rFonts w:ascii="Times New Roman" w:hAnsi="Times New Roman" w:cs="Times New Roman"/>
          <w:sz w:val="24"/>
          <w:lang w:val="lv-LV"/>
        </w:rPr>
      </w:pPr>
      <w:r w:rsidRPr="00DA11BE">
        <w:rPr>
          <w:lang w:val="lv-LV"/>
        </w:rPr>
        <w:t>Ziņojums izstrādāts, pamatojoties uz Ministru kabineta 2011. gada 19. oktobra noteikumu Nr. 816 “Nacionālā attīstības plāna 2014.–2020. gadam izstrādes, ieviešanas, uzraudzības un publiskās apspriešanas kārtība” 7.3. apakšpunktu, saskaņā ar kuru reizi divos gados vienotā procesā un sadarbībā ar iesaistī</w:t>
      </w:r>
      <w:r w:rsidR="00D81527">
        <w:rPr>
          <w:lang w:val="lv-LV"/>
        </w:rPr>
        <w:t>ta</w:t>
      </w:r>
      <w:r w:rsidRPr="00DA11BE">
        <w:rPr>
          <w:lang w:val="lv-LV"/>
        </w:rPr>
        <w:t>jām institūcijām tiek sagatavots Nacionālā attīstības plāna izpildes un stratēģijas Latvija 2030 izpildes ziņojums, kā arī ievērojot Ministru kabineta 2015. gada 12. maija  sēdes lēmuma (prot. Nr.24 §. 28) 4.punktu, ietverot konkurētspējas aspektu.</w:t>
      </w:r>
      <w:r w:rsidR="008A4F60" w:rsidRPr="008A4F60">
        <w:rPr>
          <w:lang w:val="lv-LV"/>
        </w:rPr>
        <w:t xml:space="preserve"> </w:t>
      </w:r>
      <w:r w:rsidR="008A4F60">
        <w:rPr>
          <w:lang w:val="lv-LV"/>
        </w:rPr>
        <w:t>A</w:t>
      </w:r>
      <w:r w:rsidR="008A4F60" w:rsidRPr="007209DD">
        <w:rPr>
          <w:rFonts w:ascii="Times New Roman" w:hAnsi="Times New Roman" w:cs="Times New Roman"/>
          <w:sz w:val="24"/>
          <w:lang w:val="lv-LV"/>
        </w:rPr>
        <w:t>tbilstoši likumam „Par ietekmes uz vidi novērtējumu” un Ministru kabineta 2004.gada 23.marta noteikumiem Nr.157 „Kārtība, kādā veicams ietekmes uz vidi stratēģiskais novērtējums”</w:t>
      </w:r>
      <w:r w:rsidR="008A4F60">
        <w:rPr>
          <w:rFonts w:ascii="Times New Roman" w:hAnsi="Times New Roman" w:cs="Times New Roman"/>
          <w:sz w:val="24"/>
          <w:lang w:val="lv-LV"/>
        </w:rPr>
        <w:t xml:space="preserve"> i</w:t>
      </w:r>
      <w:r w:rsidR="008A4F60" w:rsidRPr="007209DD">
        <w:rPr>
          <w:lang w:val="lv-LV"/>
        </w:rPr>
        <w:t xml:space="preserve">r veikts </w:t>
      </w:r>
      <w:r w:rsidR="008A4F60">
        <w:rPr>
          <w:lang w:val="lv-LV"/>
        </w:rPr>
        <w:t>arī neatkarīgs NAP</w:t>
      </w:r>
      <w:r w:rsidR="008A4F60" w:rsidRPr="007209DD">
        <w:rPr>
          <w:lang w:val="lv-LV"/>
        </w:rPr>
        <w:t>2020 īstenošanas ietekmes uz vidi monitorings</w:t>
      </w:r>
      <w:r w:rsidR="008A4F60">
        <w:rPr>
          <w:lang w:val="lv-LV"/>
        </w:rPr>
        <w:t xml:space="preserve"> un</w:t>
      </w:r>
      <w:r w:rsidR="008A4F60" w:rsidRPr="007209DD">
        <w:rPr>
          <w:lang w:val="lv-LV"/>
        </w:rPr>
        <w:t xml:space="preserve"> sagatavots monitoringa ziņojums</w:t>
      </w:r>
      <w:r w:rsidR="00857584">
        <w:rPr>
          <w:lang w:val="lv-LV"/>
        </w:rPr>
        <w:t>.</w:t>
      </w:r>
      <w:r w:rsidR="008A4F60">
        <w:rPr>
          <w:rFonts w:ascii="Times New Roman" w:hAnsi="Times New Roman" w:cs="Times New Roman"/>
          <w:sz w:val="24"/>
          <w:lang w:val="lv-LV"/>
        </w:rPr>
        <w:t xml:space="preserve"> </w:t>
      </w:r>
    </w:p>
    <w:p w14:paraId="78069E92" w14:textId="77777777" w:rsidR="00F47013" w:rsidRPr="003367AF" w:rsidRDefault="00F47013" w:rsidP="00FB2379">
      <w:pPr>
        <w:pStyle w:val="Heading1"/>
        <w:rPr>
          <w:lang w:val="lv-LV"/>
        </w:rPr>
      </w:pPr>
      <w:bookmarkStart w:id="9" w:name="_Toc499025302"/>
      <w:r w:rsidRPr="003367AF">
        <w:rPr>
          <w:lang w:val="lv-LV"/>
        </w:rPr>
        <w:t>Metodoloģija</w:t>
      </w:r>
      <w:bookmarkEnd w:id="9"/>
    </w:p>
    <w:p w14:paraId="30FE4F8F" w14:textId="77777777" w:rsidR="00F47013" w:rsidRPr="00F47013" w:rsidRDefault="00F47013" w:rsidP="00F47013">
      <w:pPr>
        <w:rPr>
          <w:lang w:val="lv-LV"/>
        </w:rPr>
      </w:pPr>
      <w:r w:rsidRPr="00F47013">
        <w:rPr>
          <w:lang w:val="lv-LV"/>
        </w:rPr>
        <w:t>Lai veiktu NAP2020 novērtējumu, tika secīgi izmantotas vairākas datu ieguves un analīzes metodes:</w:t>
      </w:r>
    </w:p>
    <w:p w14:paraId="273EF8D8" w14:textId="77777777" w:rsidR="00F47013" w:rsidRDefault="00F47013" w:rsidP="00F47013">
      <w:pPr>
        <w:pStyle w:val="ListParagraph"/>
        <w:numPr>
          <w:ilvl w:val="0"/>
          <w:numId w:val="31"/>
        </w:numPr>
        <w:spacing w:before="0" w:after="160" w:line="259" w:lineRule="auto"/>
      </w:pPr>
      <w:r>
        <w:t xml:space="preserve">politikas plānotāju aptauja; </w:t>
      </w:r>
    </w:p>
    <w:p w14:paraId="35DD2C6B" w14:textId="77777777" w:rsidR="00F47013" w:rsidRDefault="00F47013" w:rsidP="00F47013">
      <w:pPr>
        <w:pStyle w:val="ListParagraph"/>
        <w:numPr>
          <w:ilvl w:val="0"/>
          <w:numId w:val="31"/>
        </w:numPr>
        <w:spacing w:before="0" w:after="160" w:line="259" w:lineRule="auto"/>
      </w:pPr>
      <w:r>
        <w:t>viedokļu līderu jeb ekspertu aptauja;</w:t>
      </w:r>
    </w:p>
    <w:p w14:paraId="00FDD653" w14:textId="77777777" w:rsidR="00F47013" w:rsidRDefault="00F47013" w:rsidP="00F47013">
      <w:pPr>
        <w:pStyle w:val="ListParagraph"/>
        <w:numPr>
          <w:ilvl w:val="0"/>
          <w:numId w:val="31"/>
        </w:numPr>
        <w:spacing w:before="0" w:after="160" w:line="259" w:lineRule="auto"/>
      </w:pPr>
      <w:r>
        <w:t>statistikas un sekundāro datu analīze;</w:t>
      </w:r>
    </w:p>
    <w:p w14:paraId="2513CC47" w14:textId="77777777" w:rsidR="00F47013" w:rsidRDefault="00F47013" w:rsidP="00F47013">
      <w:pPr>
        <w:pStyle w:val="ListParagraph"/>
        <w:numPr>
          <w:ilvl w:val="0"/>
          <w:numId w:val="31"/>
        </w:numPr>
        <w:spacing w:before="0" w:after="160" w:line="259" w:lineRule="auto"/>
      </w:pPr>
      <w:r>
        <w:t>ieguldījumu lietderīguma analīze;</w:t>
      </w:r>
    </w:p>
    <w:p w14:paraId="03907406" w14:textId="77777777" w:rsidR="00F47013" w:rsidRPr="00CA37C5" w:rsidRDefault="00F47013" w:rsidP="00F47013">
      <w:pPr>
        <w:pStyle w:val="ListParagraph"/>
        <w:numPr>
          <w:ilvl w:val="0"/>
          <w:numId w:val="31"/>
        </w:numPr>
        <w:spacing w:before="0" w:after="160" w:line="259" w:lineRule="auto"/>
      </w:pPr>
      <w:r w:rsidRPr="00CA37C5">
        <w:t>Sae</w:t>
      </w:r>
      <w:r>
        <w:t>imas stenogrammu kontentanalīze.</w:t>
      </w:r>
    </w:p>
    <w:p w14:paraId="57BFB9F2" w14:textId="77777777" w:rsidR="00F47013" w:rsidRDefault="00F47013" w:rsidP="00F47013">
      <w:pPr>
        <w:rPr>
          <w:b/>
        </w:rPr>
      </w:pPr>
      <w:r>
        <w:rPr>
          <w:b/>
        </w:rPr>
        <w:t xml:space="preserve">Politikas plānotāju aptaujas </w:t>
      </w:r>
      <w:r w:rsidRPr="00DE501E">
        <w:t>mērķi</w:t>
      </w:r>
      <w:r>
        <w:t>s bija</w:t>
      </w:r>
      <w:r w:rsidRPr="00DE501E">
        <w:t xml:space="preserve"> iegūt vērtējumu par NAP2020 nosprausto mērķu sasniegšanas gaitu un uzdevumu izpildi, identificējot šķēršļus, kas traucē sasniegt </w:t>
      </w:r>
      <w:r>
        <w:t>izvirzītos izaicinājumus</w:t>
      </w:r>
      <w:r w:rsidRPr="00DE501E">
        <w:t xml:space="preserve">, kā arī faktorus, kas sekmē to izpildi. Informācija, kas </w:t>
      </w:r>
      <w:r>
        <w:t xml:space="preserve">tika </w:t>
      </w:r>
      <w:r w:rsidRPr="00DE501E">
        <w:t>iegūta šajā novērtējuma posmā kalpo</w:t>
      </w:r>
      <w:r>
        <w:t>ja</w:t>
      </w:r>
      <w:r w:rsidRPr="00DE501E">
        <w:t xml:space="preserve"> par pamatu, lai izstrādātu viedokļu līderu aptaujas instrument</w:t>
      </w:r>
      <w:r>
        <w:t>āriju.</w:t>
      </w:r>
    </w:p>
    <w:p w14:paraId="714D5E1A" w14:textId="77777777" w:rsidR="00F47013" w:rsidRDefault="00F47013" w:rsidP="00F47013">
      <w:r>
        <w:rPr>
          <w:b/>
        </w:rPr>
        <w:t>Viedokļu līderu jeb e</w:t>
      </w:r>
      <w:r w:rsidRPr="00B3323D">
        <w:rPr>
          <w:b/>
        </w:rPr>
        <w:t>kspertu aptaujas</w:t>
      </w:r>
      <w:r>
        <w:t xml:space="preserve"> mērķis – noskaidrot politikas veidotāju, viedokļu līderu un sociāli aktīvu personību viedokli par:</w:t>
      </w:r>
    </w:p>
    <w:p w14:paraId="4020043B" w14:textId="77777777" w:rsidR="00F47013" w:rsidRDefault="00F47013" w:rsidP="00F47013">
      <w:pPr>
        <w:pStyle w:val="ListParagraph"/>
        <w:numPr>
          <w:ilvl w:val="0"/>
          <w:numId w:val="30"/>
        </w:numPr>
        <w:spacing w:before="0" w:after="160" w:line="259" w:lineRule="auto"/>
        <w:jc w:val="left"/>
      </w:pPr>
      <w:r>
        <w:t xml:space="preserve">NAP2020 aktualitāti, </w:t>
      </w:r>
    </w:p>
    <w:p w14:paraId="274F1DC8" w14:textId="77777777" w:rsidR="00F47013" w:rsidRDefault="00F47013" w:rsidP="00F47013">
      <w:pPr>
        <w:pStyle w:val="ListParagraph"/>
        <w:numPr>
          <w:ilvl w:val="0"/>
          <w:numId w:val="30"/>
        </w:numPr>
        <w:spacing w:before="0" w:after="160" w:line="259" w:lineRule="auto"/>
      </w:pPr>
      <w:r>
        <w:t>NAP2020 nosprausto mērķu aktualitāti un vērtējumu par to sasniegšanas progresu;</w:t>
      </w:r>
    </w:p>
    <w:p w14:paraId="21364D09" w14:textId="77777777" w:rsidR="00F47013" w:rsidRDefault="00F47013" w:rsidP="00F47013">
      <w:pPr>
        <w:pStyle w:val="ListParagraph"/>
        <w:numPr>
          <w:ilvl w:val="0"/>
          <w:numId w:val="30"/>
        </w:numPr>
        <w:spacing w:before="0" w:after="160" w:line="259" w:lineRule="auto"/>
      </w:pPr>
      <w:r>
        <w:t>jomām, kur mērķu sasniegšana norit visveiksmīgāk, un tām jomām, kur tā ir visapgrūtinošākā;</w:t>
      </w:r>
    </w:p>
    <w:p w14:paraId="3B3621C5" w14:textId="77777777" w:rsidR="00F47013" w:rsidRDefault="00F47013" w:rsidP="00F47013">
      <w:pPr>
        <w:pStyle w:val="ListParagraph"/>
        <w:numPr>
          <w:ilvl w:val="0"/>
          <w:numId w:val="30"/>
        </w:numPr>
        <w:spacing w:before="0" w:after="160" w:line="259" w:lineRule="auto"/>
      </w:pPr>
      <w:r>
        <w:t>NAP2020 ieviešanas procesu un ierosinājumus ieviešanas procesa pilnveidei;</w:t>
      </w:r>
    </w:p>
    <w:p w14:paraId="26BA51B1" w14:textId="77777777" w:rsidR="00F47013" w:rsidRDefault="00F47013" w:rsidP="00F47013">
      <w:pPr>
        <w:pStyle w:val="ListParagraph"/>
        <w:numPr>
          <w:ilvl w:val="0"/>
          <w:numId w:val="30"/>
        </w:numPr>
        <w:spacing w:before="0" w:after="160" w:line="259" w:lineRule="auto"/>
        <w:jc w:val="left"/>
      </w:pPr>
      <w:r>
        <w:t>jauniem izaicinājumiem, kuriem jāvērš uzmanība attīstības plānošanas procesā.</w:t>
      </w:r>
    </w:p>
    <w:p w14:paraId="54DCC5F2" w14:textId="77777777" w:rsidR="00F47013" w:rsidRDefault="00F47013" w:rsidP="00F47013">
      <w:r>
        <w:t xml:space="preserve">Ekspertu paneli veidoja aptuveni 720 personas, to vidū ministriju augstākā līmeņa vadītāji un speciālisti, Saeimas deputāti, ministri, sociālie un sadarbības partneri, uzņēmēji, nevalstisko organizāciju, plānošanas reģionu pārstāvji, pašvaldību līderi, žurnālisti, pētnieki un akadēmiskās vides pārstāvji. Sasniegtā izlase – n=300. Ekspertu aptaujas metode – datorizēta aptauja, izmantojot </w:t>
      </w:r>
      <w:r>
        <w:rPr>
          <w:i/>
        </w:rPr>
        <w:t xml:space="preserve">Limesurvey </w:t>
      </w:r>
      <w:r w:rsidRPr="005258E2">
        <w:t>aptaujas rīku</w:t>
      </w:r>
      <w:r>
        <w:t>. Aptaujas datu analīze tika veikta, izmantojot deskriptīvās un salīdzinošās metodes.</w:t>
      </w:r>
    </w:p>
    <w:p w14:paraId="34A2BC2B" w14:textId="296C40E3" w:rsidR="00F47013" w:rsidRDefault="00F47013" w:rsidP="00F47013">
      <w:r w:rsidRPr="005258E2">
        <w:lastRenderedPageBreak/>
        <w:t>Veicot,</w:t>
      </w:r>
      <w:r>
        <w:rPr>
          <w:b/>
        </w:rPr>
        <w:t xml:space="preserve"> s</w:t>
      </w:r>
      <w:r w:rsidRPr="0002053C">
        <w:rPr>
          <w:b/>
        </w:rPr>
        <w:t>tati</w:t>
      </w:r>
      <w:r>
        <w:rPr>
          <w:b/>
        </w:rPr>
        <w:t>stikas un sekundāro datu analīzi,</w:t>
      </w:r>
      <w:r>
        <w:t xml:space="preserve"> tika ievākta un apkopota informācija/dati par </w:t>
      </w:r>
      <w:r w:rsidRPr="00C62AC3">
        <w:rPr>
          <w:u w:val="single"/>
        </w:rPr>
        <w:t xml:space="preserve">NAP2020 </w:t>
      </w:r>
      <w:r w:rsidR="00D81527">
        <w:rPr>
          <w:u w:val="single"/>
        </w:rPr>
        <w:t xml:space="preserve">un LIAS2030 </w:t>
      </w:r>
      <w:r w:rsidRPr="00C62AC3">
        <w:rPr>
          <w:u w:val="single"/>
        </w:rPr>
        <w:t>indikatoriem</w:t>
      </w:r>
      <w:r>
        <w:t xml:space="preserve">, novērtējot rādītāju izmaiņu progresu, izmaiņas ietekmējošos faktorus, būtiskākos izaicinājumus, kas saistīti ar nosprausto mērķu sasniegšanu nākotnē. </w:t>
      </w:r>
    </w:p>
    <w:p w14:paraId="62197CA2" w14:textId="77777777" w:rsidR="00F47013" w:rsidRDefault="00F47013" w:rsidP="00F47013">
      <w:r>
        <w:t>Izmantojamie datu avoti – statistika, esošie pētījumi, dokumenti, attīstības plānošanas dokumentu izvērtējumi.</w:t>
      </w:r>
    </w:p>
    <w:p w14:paraId="06CF49D7" w14:textId="77777777" w:rsidR="00F47013" w:rsidRPr="00F6722B" w:rsidRDefault="00F47013" w:rsidP="00F47013">
      <w:r w:rsidRPr="0026345D">
        <w:rPr>
          <w:b/>
        </w:rPr>
        <w:t>Ieguldījumu lietderīguma analīze</w:t>
      </w:r>
      <w:r>
        <w:rPr>
          <w:b/>
        </w:rPr>
        <w:t xml:space="preserve">s </w:t>
      </w:r>
      <w:r w:rsidRPr="00F6722B">
        <w:t xml:space="preserve">mērķis ir identificēt valsts budžeta un Eiropas Savienības fondu ieguldījumu apmēru NAP2020 </w:t>
      </w:r>
      <w:r>
        <w:t>mērķu</w:t>
      </w:r>
      <w:r w:rsidRPr="00F6722B">
        <w:t xml:space="preserve"> sasniegšanā, vienlaikus skatot ieguldījumu apmēra sasaisti ar progresu mērķu sasniegšanā, kā arī uzrādot t.s. “pārfinansētās” un “nepietiekami finansētās” jomas jeb jautājumus.</w:t>
      </w:r>
      <w:r>
        <w:t xml:space="preserve"> Datu analīzē izmantojama deskriptīvās un salīdzinošās metodes, grupēšanas tehnikas un paņēmieni.</w:t>
      </w:r>
    </w:p>
    <w:p w14:paraId="595081AA" w14:textId="77777777" w:rsidR="00F47013" w:rsidRDefault="00F47013" w:rsidP="00F47013">
      <w:r w:rsidRPr="00C84311">
        <w:rPr>
          <w:b/>
        </w:rPr>
        <w:t>Saeimas plenārsēžu stenogrammu kontentanalīzes</w:t>
      </w:r>
      <w:r>
        <w:t xml:space="preserve"> mērķis ir noskaidrot, cik bieži parlamenta deputātu debatēs ticis pieminēts NAP2020, kāds ir konteksts NAP2020 pieminēšanai, kā arī kā laika gaitā mainījusies NAP2020 aktualitāte.  </w:t>
      </w:r>
    </w:p>
    <w:p w14:paraId="67408AA6" w14:textId="1A9A5E76" w:rsidR="00DA51E4" w:rsidRDefault="00DA51E4">
      <w:pPr>
        <w:spacing w:before="0" w:after="0"/>
        <w:jc w:val="left"/>
        <w:rPr>
          <w:lang w:val="lv-LV"/>
        </w:rPr>
      </w:pPr>
      <w:r>
        <w:rPr>
          <w:lang w:val="lv-LV"/>
        </w:rPr>
        <w:br w:type="page"/>
      </w:r>
    </w:p>
    <w:p w14:paraId="19DC7F82" w14:textId="3B662B8D" w:rsidR="00DA51E4" w:rsidRDefault="00FC488E" w:rsidP="008F326C">
      <w:pPr>
        <w:pStyle w:val="Heading1"/>
        <w:rPr>
          <w:lang w:val="lv-LV"/>
        </w:rPr>
      </w:pPr>
      <w:bookmarkStart w:id="10" w:name="_Toc498690605"/>
      <w:bookmarkStart w:id="11" w:name="_Toc499025303"/>
      <w:r>
        <w:rPr>
          <w:lang w:val="lv-LV"/>
        </w:rPr>
        <w:lastRenderedPageBreak/>
        <w:t>1. NAP2020 un</w:t>
      </w:r>
      <w:r w:rsidR="0093074A">
        <w:rPr>
          <w:lang w:val="lv-LV"/>
        </w:rPr>
        <w:t xml:space="preserve"> Latvija</w:t>
      </w:r>
      <w:r w:rsidR="008F326C">
        <w:rPr>
          <w:lang w:val="lv-LV"/>
        </w:rPr>
        <w:t xml:space="preserve"> </w:t>
      </w:r>
      <w:r w:rsidR="00DA51E4">
        <w:rPr>
          <w:lang w:val="lv-LV"/>
        </w:rPr>
        <w:t xml:space="preserve">2030 </w:t>
      </w:r>
      <w:r w:rsidR="0093074A">
        <w:rPr>
          <w:lang w:val="lv-LV"/>
        </w:rPr>
        <w:t>aktualitāte un nozīme</w:t>
      </w:r>
      <w:bookmarkEnd w:id="10"/>
      <w:bookmarkEnd w:id="11"/>
    </w:p>
    <w:p w14:paraId="3C2A3EB4" w14:textId="465D89B1" w:rsidR="001D06C8" w:rsidRPr="008F326C" w:rsidRDefault="008F326C" w:rsidP="003C5CB3">
      <w:pPr>
        <w:pStyle w:val="Heading2"/>
        <w:rPr>
          <w:lang w:val="lv-LV"/>
        </w:rPr>
      </w:pPr>
      <w:bookmarkStart w:id="12" w:name="_Toc498690606"/>
      <w:bookmarkStart w:id="13" w:name="_Toc499025304"/>
      <w:r w:rsidRPr="008F326C">
        <w:rPr>
          <w:lang w:val="lv-LV"/>
        </w:rPr>
        <w:t>1.</w:t>
      </w:r>
      <w:r>
        <w:rPr>
          <w:lang w:val="lv-LV"/>
        </w:rPr>
        <w:t>1. Augstākā līmeņa attīstības plānošanas dokumentu</w:t>
      </w:r>
      <w:r w:rsidR="001D06C8" w:rsidRPr="008F326C">
        <w:rPr>
          <w:lang w:val="lv-LV"/>
        </w:rPr>
        <w:t xml:space="preserve"> vieta </w:t>
      </w:r>
      <w:r w:rsidR="00622F8F">
        <w:rPr>
          <w:lang w:val="lv-LV"/>
        </w:rPr>
        <w:t xml:space="preserve">un loma </w:t>
      </w:r>
      <w:r w:rsidR="001D06C8" w:rsidRPr="008F326C">
        <w:rPr>
          <w:lang w:val="lv-LV"/>
        </w:rPr>
        <w:t>attīstības plānošanas sistēmā</w:t>
      </w:r>
      <w:bookmarkEnd w:id="12"/>
      <w:bookmarkEnd w:id="13"/>
    </w:p>
    <w:p w14:paraId="6EC57DEE"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Latvijā ir izveidota vienota attīstības plānošanas sistēma un normatīvajā regulējumā nostiprināti tās principi. Ilgtspējīga attīstība nodrošina šodienas vajadzību apmierināšanu, neradot draudus nākamām paaudzēm, jo politika līdzsvaro sociālekonomiskās attīstības mērķus, racionāli izmantojot ierobežotos dabas resursus un cilvēkresursus, kā arī materiālos resursus sabiedrības vajadzību apmierināšanai.</w:t>
      </w:r>
    </w:p>
    <w:p w14:paraId="297CFCE3" w14:textId="77777777" w:rsidR="001E4135" w:rsidRPr="001E4135" w:rsidRDefault="001E4135" w:rsidP="001E4135">
      <w:pPr>
        <w:rPr>
          <w:rFonts w:ascii="Cambria" w:eastAsia="MS Mincho" w:hAnsi="Cambria" w:cs="Times New Roman"/>
          <w:shd w:val="clear" w:color="auto" w:fill="FFFFFF"/>
          <w:lang w:val="lv-LV"/>
        </w:rPr>
      </w:pPr>
      <w:r w:rsidRPr="001E4135">
        <w:rPr>
          <w:rFonts w:ascii="Cambria" w:eastAsia="MS Mincho" w:hAnsi="Cambria" w:cs="Times New Roman"/>
          <w:shd w:val="clear" w:color="auto" w:fill="FFFFFF"/>
          <w:lang w:val="lv-LV"/>
        </w:rPr>
        <w:t>Latvija 2030 un NAP2020 ir sabiedrības, ekspertu un valsts kopējais redzējums un attīstības vīzija, kur virzāmies un kā plānojam sasniegt noteiktos mērķus. NAP2020 sasaiste ar valsts budžeta finansējumu un tā uzraudzības mehānisms nodrošina valdības darba pēctecību un kalpo kā vadlīnijas politiķiem un Ministru kabinetam, ikdienā pieņemot lēmumus, kas skar visus Latvijas iedzīvotājus un ietekmē mūsu valsts nākotni.</w:t>
      </w:r>
    </w:p>
    <w:p w14:paraId="3AFE59D2"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Nepieciešamības gadījumā valdībai ir tiesības piedāvāt hierarhiski augstāko attīstības plānošanas dokumentu pārskatīšanu, tādējādi veidojot paplašinātu politikas perspektīvu. Vienlaikus valdības izaicinājums ir NAP2020 mērķu sasniegšana, kas ne vienmēr atspoguļojas politiķu dienaskārtībā, un ne vienmēr rīcībpolitika ir saistīta ar NAP2020 īstenošanu.</w:t>
      </w:r>
    </w:p>
    <w:p w14:paraId="4AC8A076"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Atbilstoši politikas plānošanas sistēmas regulējumam, visiem pārējiem nozaru attīstības plānošanas dokumentiem ir jāatbilst Latvija 2030 un NAP2020 noteiktajiem valsts attīstības mērķiem (hierarhijas principa ievērošana). NAP2020 mērķu sasniegšanas rādītāji (politikas rezultāti) ir iestrādāti nozaru plānošanas dokumentos jau daudz lielākā detalizācijas līmenī, paredzot konkrētas veicamās darbības to sasniegšanai.</w:t>
      </w:r>
    </w:p>
    <w:p w14:paraId="0DC09A2C"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 xml:space="preserve">Svarīgākie 2014.–2020. gada plānošanas perioda nozaru politikas dokumenti ir izstrādāti pēc NAP2020 pieņemšanas, kas ir devis iespēju nozaru politiku veidotājiem piedāvāt labākos veidus un risinājumus NAP2020 noteikto politikas mērķu sasniegšanai. Tādējādi </w:t>
      </w:r>
      <w:r w:rsidRPr="001E4135">
        <w:rPr>
          <w:rFonts w:ascii="Cambria" w:eastAsia="MS Mincho" w:hAnsi="Cambria" w:cs="Times New Roman"/>
          <w:b/>
          <w:lang w:val="lv-LV"/>
        </w:rPr>
        <w:t>plānošanas sistēma ir nodrošinājusi pietiekamu elastību efektīvāko instrumentu izvēlē konkrēto politiku īstenošanai, vienlaikus saglabājot skaidru fokusu uz nacionālajā līmenī noteiktajiem NAP2020 mērķiem un prioritātēm</w:t>
      </w:r>
      <w:r w:rsidRPr="001E4135">
        <w:rPr>
          <w:rFonts w:ascii="Cambria" w:eastAsia="MS Mincho" w:hAnsi="Cambria" w:cs="Times New Roman"/>
          <w:lang w:val="lv-LV"/>
        </w:rPr>
        <w:t>.</w:t>
      </w:r>
    </w:p>
    <w:p w14:paraId="30E75284"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Eiropas Savienības un citu ārvalstu finanšu instrumentu finansējuma plānošanas dokumentu izstrāde 2014.–2020. gadam notikusi, pamatojoties uz NAP2020 noteiktajām prioritātēm un mērķiem. Nacionālais attīstības plāns nosaka attīstības budžeta sadali, nevis bāzes budžetu, un tas ieviešams, izmantojot valsts un pašvaldību budžeta līdzekļus, Kohēzijas politikas un kopējās lauksaimniecības politikas fondus, citu Eiropas Savienības budžeta instrumentu investīcijas, kā arī Eiropas Savienības un citus ārvalstu finanšu palīdzības instrumentus un privāto finansējumu.</w:t>
      </w:r>
    </w:p>
    <w:p w14:paraId="35556533" w14:textId="77777777" w:rsidR="001E4135" w:rsidRPr="001E4135" w:rsidRDefault="001E4135" w:rsidP="001E4135">
      <w:pPr>
        <w:rPr>
          <w:rFonts w:ascii="Cambria" w:eastAsia="MS Mincho" w:hAnsi="Cambria" w:cs="Times New Roman"/>
          <w:b/>
          <w:lang w:val="lv-LV"/>
        </w:rPr>
      </w:pPr>
      <w:r w:rsidRPr="001E4135">
        <w:rPr>
          <w:rFonts w:ascii="Cambria" w:eastAsia="MS Mincho" w:hAnsi="Cambria" w:cs="Times New Roman"/>
          <w:b/>
          <w:lang w:val="lv-LV"/>
        </w:rPr>
        <w:t>Novērtējot esošo plānošanas sistēmu, secināms, ka tā nodrošina pēctecību valsts ilgtermiņa attīstībai, vienlaikus ļaujot politiķiem reaģēt uz mainīgajiem ārējās vides apstākļiem un piedāvāt jaunus, labākus risinājumus.</w:t>
      </w:r>
    </w:p>
    <w:p w14:paraId="56D453C9" w14:textId="77777777" w:rsidR="001D06C8" w:rsidRPr="002443DF" w:rsidRDefault="001D06C8" w:rsidP="003C5CB3">
      <w:pPr>
        <w:rPr>
          <w:lang w:val="lv-LV"/>
        </w:rPr>
      </w:pPr>
    </w:p>
    <w:p w14:paraId="57882A80" w14:textId="4F6FFCEC" w:rsidR="001D06C8" w:rsidRPr="002443DF" w:rsidRDefault="001D06C8" w:rsidP="003C5CB3">
      <w:pPr>
        <w:pStyle w:val="Heading2"/>
        <w:rPr>
          <w:lang w:val="lv-LV"/>
        </w:rPr>
      </w:pPr>
      <w:bookmarkStart w:id="14" w:name="_Toc498690607"/>
      <w:bookmarkStart w:id="15" w:name="_Toc499025305"/>
      <w:r w:rsidRPr="002443DF">
        <w:rPr>
          <w:lang w:val="lv-LV"/>
        </w:rPr>
        <w:t>1.2.</w:t>
      </w:r>
      <w:r w:rsidR="003C5CB3" w:rsidRPr="002443DF">
        <w:rPr>
          <w:lang w:val="lv-LV"/>
        </w:rPr>
        <w:t xml:space="preserve"> NAP2020 aktualitāte</w:t>
      </w:r>
      <w:bookmarkEnd w:id="14"/>
      <w:bookmarkEnd w:id="15"/>
    </w:p>
    <w:p w14:paraId="1E12D4C6"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 xml:space="preserve">Atbilstoši Attīstības plānošanas sistēmas likumam Nacionālais attīstības plāns nosaka valsts attīstības mērķus, prioritātes, tai skaitā teritoriju attīstības prioritātes, sasniedzamos makrolīmeņa rezultātus, rīcības virzienus katrā prioritātē, sasniedzamos politikas rezultātus un atbildīgās institūcijas. Ņemot vērā noteikto dokumenta struktūru, NAP2020 kā augstākā līmeņa attīstības plānošanas dokuments kopumā pārvaldības </w:t>
      </w:r>
      <w:r w:rsidRPr="001E4135">
        <w:rPr>
          <w:rFonts w:ascii="Cambria" w:eastAsia="MS Mincho" w:hAnsi="Cambria" w:cs="Times New Roman"/>
          <w:lang w:val="lv-LV"/>
        </w:rPr>
        <w:lastRenderedPageBreak/>
        <w:t>ekspertu vidū tiek vērtēts atzinīgi un tiek uzskatīts par vajadzīgu instrumentu, kas atspoguļo attīstības vīziju un mērķus, kā arī resursus mērķu sasniegšanai. Kā uzskata vidusposma novērtējuma ietvaros aptaujātie viedokļu līderi, NAP2020 stiprās puses ir:</w:t>
      </w:r>
    </w:p>
    <w:p w14:paraId="537970E4" w14:textId="77777777" w:rsidR="001E4135" w:rsidRPr="001E4135" w:rsidRDefault="001E4135" w:rsidP="001E4135">
      <w:pPr>
        <w:numPr>
          <w:ilvl w:val="0"/>
          <w:numId w:val="19"/>
        </w:numPr>
        <w:contextualSpacing/>
        <w:rPr>
          <w:rFonts w:ascii="Cambria" w:eastAsia="MS Mincho" w:hAnsi="Cambria" w:cs="Times New Roman"/>
          <w:lang w:val="lv-LV"/>
        </w:rPr>
      </w:pPr>
      <w:r w:rsidRPr="001E4135">
        <w:rPr>
          <w:rFonts w:ascii="Cambria" w:eastAsia="MS Mincho" w:hAnsi="Cambria" w:cs="Times New Roman"/>
          <w:lang w:val="lv-LV"/>
        </w:rPr>
        <w:t>mērķu un uzdevumu sasaiste ar provizorisko finanšu līdzekļu sadali septiņu gadu periodam. Kopumā 84% no aptaujātajiem ekspertiem piekrīt tam, ka Nacionālajam attīstības plānam ir nozīme tikai tad, ja ar dokumentu tiek provizoriski plānota finanšu līdzekļu sadale turpmākajiem gadiem;</w:t>
      </w:r>
    </w:p>
    <w:p w14:paraId="74ECC72C" w14:textId="77777777" w:rsidR="001E4135" w:rsidRPr="001E4135" w:rsidRDefault="001E4135" w:rsidP="001E4135">
      <w:pPr>
        <w:numPr>
          <w:ilvl w:val="0"/>
          <w:numId w:val="19"/>
        </w:numPr>
        <w:contextualSpacing/>
        <w:rPr>
          <w:rFonts w:ascii="Cambria" w:eastAsia="MS Mincho" w:hAnsi="Cambria" w:cs="Times New Roman"/>
          <w:lang w:val="lv-LV"/>
        </w:rPr>
      </w:pPr>
      <w:r w:rsidRPr="001E4135">
        <w:rPr>
          <w:rFonts w:ascii="Cambria" w:eastAsia="MS Mincho" w:hAnsi="Cambria" w:cs="Times New Roman"/>
          <w:lang w:val="lv-LV"/>
        </w:rPr>
        <w:t>iekļautās vērtības un attīstības vīzija. Teju visi (90%) uzrunātie eksperti norādījuši, ka tikpat būtiski kā Nacionālā attīstības plāna mērķi un uzdevumi ir arī vērtības un vīzija jeb redzējums par valsts attīstību;</w:t>
      </w:r>
    </w:p>
    <w:p w14:paraId="3AA1D5DA" w14:textId="77777777" w:rsidR="001E4135" w:rsidRPr="001E4135" w:rsidRDefault="001E4135" w:rsidP="001E4135">
      <w:pPr>
        <w:numPr>
          <w:ilvl w:val="0"/>
          <w:numId w:val="19"/>
        </w:numPr>
        <w:contextualSpacing/>
        <w:rPr>
          <w:rFonts w:ascii="Cambria" w:eastAsia="MS Mincho" w:hAnsi="Cambria" w:cs="Times New Roman"/>
          <w:lang w:val="lv-LV"/>
        </w:rPr>
      </w:pPr>
      <w:r w:rsidRPr="001E4135">
        <w:rPr>
          <w:rFonts w:ascii="Cambria" w:eastAsia="MS Mincho" w:hAnsi="Cambria" w:cs="Times New Roman"/>
          <w:lang w:val="lv-LV"/>
        </w:rPr>
        <w:t xml:space="preserve">pakārtotība un sasaiste ar citiem attīstības plānošanas dokumentiem dažādās </w:t>
      </w:r>
      <w:r w:rsidRPr="00264DA8">
        <w:rPr>
          <w:rFonts w:ascii="Cambria" w:eastAsia="MS Mincho" w:hAnsi="Cambria" w:cs="Times New Roman"/>
          <w:lang w:val="lv-LV"/>
        </w:rPr>
        <w:t>politikas jomās. 89% viedokļu līderu uzskata, ka attīstības plānošanas</w:t>
      </w:r>
      <w:r w:rsidRPr="001E4135">
        <w:rPr>
          <w:rFonts w:ascii="Cambria" w:eastAsia="MS Mincho" w:hAnsi="Cambria" w:cs="Times New Roman"/>
          <w:lang w:val="lv-LV"/>
        </w:rPr>
        <w:t xml:space="preserve"> dokumentiem dažādās politikas jomās ir jābūt pakārtotiem Nacionālā attīstības plāna mērķiem.</w:t>
      </w:r>
    </w:p>
    <w:p w14:paraId="6D95D134" w14:textId="77777777" w:rsidR="001E4135" w:rsidRPr="001E4135" w:rsidRDefault="001E4135" w:rsidP="001E4135">
      <w:pPr>
        <w:ind w:left="720"/>
        <w:contextualSpacing/>
        <w:rPr>
          <w:rFonts w:ascii="Cambria" w:eastAsia="MS Mincho" w:hAnsi="Cambria" w:cs="Times New Roman"/>
          <w:lang w:val="lv-LV"/>
        </w:rPr>
      </w:pPr>
    </w:p>
    <w:p w14:paraId="27879CE5" w14:textId="48CE68EA"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Salīdzinoši tikai katrs piektais no viedokļu līderiem (22%) domā, ka NAP2020 nebūtu vajadzīgs, ja ar to netiktu programmēti Eiropas fondu līdzekļi, kas norāda uz to, ka attīstības plānošanas sistēma kopumā uzskatāma par piemērotu rīku valsts stratēģisko mērķu definēšanai un realizācijai. Tomēr vienlaikus nākotnē iespējamas diskusijas par nākamā Nacionā</w:t>
      </w:r>
      <w:r w:rsidRPr="00264DA8">
        <w:rPr>
          <w:rFonts w:ascii="Cambria" w:eastAsia="MS Mincho" w:hAnsi="Cambria" w:cs="Times New Roman"/>
          <w:lang w:val="lv-LV"/>
        </w:rPr>
        <w:t>l</w:t>
      </w:r>
      <w:r w:rsidRPr="001E4135">
        <w:rPr>
          <w:rFonts w:ascii="Cambria" w:eastAsia="MS Mincho" w:hAnsi="Cambria" w:cs="Times New Roman"/>
          <w:lang w:val="lv-LV"/>
        </w:rPr>
        <w:t xml:space="preserve">ā attīstības plāna struktūras pilnveidi, nākamajā dokumentā iestrādājot </w:t>
      </w:r>
      <w:r w:rsidR="00264DA8">
        <w:rPr>
          <w:rFonts w:ascii="Cambria" w:eastAsia="MS Mincho" w:hAnsi="Cambria" w:cs="Times New Roman"/>
          <w:lang w:val="lv-LV"/>
        </w:rPr>
        <w:t xml:space="preserve">precīzus uz valsts attīstību vērstus </w:t>
      </w:r>
      <w:r w:rsidRPr="001E4135">
        <w:rPr>
          <w:rFonts w:ascii="Cambria" w:eastAsia="MS Mincho" w:hAnsi="Cambria" w:cs="Times New Roman"/>
          <w:lang w:val="lv-LV"/>
        </w:rPr>
        <w:t>uzdevumus, kuru īstenošanas ietekme uz mērķa sasniegšanu ir pierādāma, piemēram, izmantojot rezultatīvo rādītāju sistēmu ne tikai mērķu, bet arī uzdevumu līmenī.</w:t>
      </w:r>
    </w:p>
    <w:p w14:paraId="189AD157"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Lai novērtētu NAP2020 aktualitāti Latvijas likumdevēja ieskatā, tika veikta Saeimas stenogrammu analīze, aplūkojot publiski pieejamās parlamentārās diskusijas laika posmā 2012.–2016. gadam. Analīzei tikai izmantota kvalitatīvās kontentanalīzes metode, sākotnēji identificējot, kurās no deputātu runām Saeimas diskusijās pieminēts NAP2020, bet pēc tam identificējot frakciju, kurai pieder deputāts, deputāta attieksmi pret NAP2020 un saturisko tēmu, kas skarta deputāta uzstāšanās reizē. Analīze ļauj novērtēt, cik aktuāls šis attīstības plānošanas dokuments ir starp dažādu frakciju un parlamentāro pozīciju deputātiem kontekstā ar dažādu politiku apspriešanu parlamentārās diskusijās.</w:t>
      </w:r>
    </w:p>
    <w:p w14:paraId="065DA969"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Stenogrammu analīzei ir arī vērā ņemami ierobežojumi – parlamentārās diskusijas, kas ir tikai neliela daļa no parlamentārā darba, atspoguļo tikai tās idejas un argumentus, kurus deputāti vēlas publiski parādīt vai īpaši izcelt parlamentārajās debatēs, par tiem jautājumiem, kas nonākuši parlamenta dienaskārtībā. Parlamentārās diskusijas ir salīdzinoši formāls politiskās komunikācijas veids, kā arī nozīmīgu lomu spēlē parlamentārā dinamika starp pozīcijas un opozīcijas deputātiem. Jāņem vērā arī salīdzinoši nelielais deputātu uzstāšanās reižu skaits, runā pieminot vai citējot NAP2020, kas liedz izdarīt drošus secinājumus par iespējamām tendencēm un izmaiņām NAP2020 aktualitātē.</w:t>
      </w:r>
    </w:p>
    <w:p w14:paraId="5238DA77" w14:textId="77777777" w:rsidR="001E4135" w:rsidRPr="001E4135" w:rsidRDefault="001E4135" w:rsidP="001E4135">
      <w:pPr>
        <w:rPr>
          <w:rFonts w:ascii="Cambria" w:eastAsia="MS Mincho" w:hAnsi="Cambria" w:cs="Times New Roman"/>
          <w:lang w:val="lv-LV"/>
        </w:rPr>
      </w:pPr>
      <w:r w:rsidRPr="001E4135">
        <w:rPr>
          <w:rFonts w:ascii="Cambria" w:eastAsia="MS Mincho" w:hAnsi="Cambria" w:cs="Times New Roman"/>
          <w:lang w:val="lv-LV"/>
        </w:rPr>
        <w:t xml:space="preserve">Kopumā no 2012. gada līdz 2016. gadam sīkāk aplūkotas un analizētas 70 uzstāšanās reizes no 39 dažādiem deputātiem, diskutējot par 41 likumprojektu vai ziņojumiem. NAP2020 pieminēts kontekstā ar budžeta veidošanu nākamajam gadam, budžetu trīs gadu plānošanas periodam, apspriežot izmaiņas nodokļu jautājumos un saistībā ar citiem jautājumiem. 2014. gadā NAP2020 parlamentārajās debatēs pieminēts visbiežāk – 26 uzstāšanās reizēs, bet 2012. un 2016. gadā visretāk – attiecīgi deviņās un sešās uzstāšanās reizēs. </w:t>
      </w:r>
    </w:p>
    <w:p w14:paraId="16304A64" w14:textId="513E04C5" w:rsidR="005245DD" w:rsidRPr="00EF3D80" w:rsidRDefault="001E4135" w:rsidP="003C5CB3">
      <w:pPr>
        <w:rPr>
          <w:rFonts w:ascii="Cambria" w:eastAsia="MS Mincho" w:hAnsi="Cambria" w:cs="Times New Roman"/>
          <w:lang w:val="lv-LV"/>
        </w:rPr>
      </w:pPr>
      <w:r w:rsidRPr="001E4135">
        <w:rPr>
          <w:rFonts w:ascii="Cambria" w:eastAsia="MS Mincho" w:hAnsi="Cambria" w:cs="Times New Roman"/>
          <w:lang w:val="lv-LV"/>
        </w:rPr>
        <w:t xml:space="preserve">Aplūkotajā laika posmā opozīcijas frakcijas pārstāvošie deputāti NAP2020 parlamentārajās diskusijās pieminējuši biežāk nekā pozīcijas deputāti, proti, 41 </w:t>
      </w:r>
      <w:r w:rsidRPr="001E4135">
        <w:rPr>
          <w:rFonts w:ascii="Cambria" w:eastAsia="MS Mincho" w:hAnsi="Cambria" w:cs="Times New Roman"/>
          <w:lang w:val="lv-LV"/>
        </w:rPr>
        <w:lastRenderedPageBreak/>
        <w:t>diskusijā salīdzinot ar koalīciju veidojošo frakciju deputātiem, kas NAP2020 pi</w:t>
      </w:r>
      <w:r w:rsidR="00EF3D80">
        <w:rPr>
          <w:rFonts w:ascii="Cambria" w:eastAsia="MS Mincho" w:hAnsi="Cambria" w:cs="Times New Roman"/>
          <w:lang w:val="lv-LV"/>
        </w:rPr>
        <w:t>eminējuši 29 uzstāšanās reizēs.</w:t>
      </w:r>
    </w:p>
    <w:p w14:paraId="53592ABF" w14:textId="627AAD1A" w:rsidR="001D06C8" w:rsidRPr="005C50B8" w:rsidRDefault="00F37159" w:rsidP="003C5CB3">
      <w:pPr>
        <w:pStyle w:val="attelunosaukums"/>
      </w:pPr>
      <w:r>
        <w:t xml:space="preserve">1. attēls.  </w:t>
      </w:r>
      <w:r w:rsidR="001D06C8" w:rsidRPr="005C50B8">
        <w:t xml:space="preserve">Uzstāšanās parlamentārajās diskusijās, kurās pieminēts </w:t>
      </w:r>
      <w:r w:rsidR="00975B38">
        <w:t>NAP2020</w:t>
      </w:r>
    </w:p>
    <w:p w14:paraId="3E3CD96E" w14:textId="35F6BE7E" w:rsidR="001D06C8" w:rsidRPr="005C50B8" w:rsidRDefault="001D06C8" w:rsidP="0039360B">
      <w:pPr>
        <w:pStyle w:val="Normal1"/>
        <w:jc w:val="center"/>
      </w:pPr>
      <w:r w:rsidRPr="005C50B8">
        <w:rPr>
          <w:noProof/>
        </w:rPr>
        <w:drawing>
          <wp:inline distT="0" distB="0" distL="0" distR="0" wp14:anchorId="50860E37" wp14:editId="4A309239">
            <wp:extent cx="3648075" cy="15240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35C5157" w14:textId="03ED87F8" w:rsidR="001D06C8" w:rsidRPr="005C50B8" w:rsidRDefault="001D06C8" w:rsidP="003C5CB3">
      <w:pPr>
        <w:rPr>
          <w:lang w:val="lv-LV"/>
        </w:rPr>
      </w:pPr>
      <w:r w:rsidRPr="005C50B8">
        <w:rPr>
          <w:lang w:val="lv-LV"/>
        </w:rPr>
        <w:t xml:space="preserve">Aplūkojot Saeimas diskusijas frakciju griezumā, var identificēt frakcijas, kuru deputāti biežāk pieminējuši </w:t>
      </w:r>
      <w:r w:rsidR="00542363">
        <w:rPr>
          <w:lang w:val="lv-LV"/>
        </w:rPr>
        <w:t>NAP2020</w:t>
      </w:r>
      <w:r w:rsidRPr="005C50B8">
        <w:rPr>
          <w:lang w:val="lv-LV"/>
        </w:rPr>
        <w:t xml:space="preserve"> parlamentārajās diskusijās. Visbiežāk NAP</w:t>
      </w:r>
      <w:r w:rsidR="00542363">
        <w:rPr>
          <w:lang w:val="lv-LV"/>
        </w:rPr>
        <w:t>2020</w:t>
      </w:r>
      <w:r w:rsidRPr="005C50B8">
        <w:rPr>
          <w:lang w:val="lv-LV"/>
        </w:rPr>
        <w:t xml:space="preserve"> minējuši partiju apvienības „Saskaņas Centrs” un partijas „Saskaņa” deputāti </w:t>
      </w:r>
      <w:r w:rsidR="00542363">
        <w:rPr>
          <w:lang w:val="lv-LV"/>
        </w:rPr>
        <w:t>–</w:t>
      </w:r>
      <w:r w:rsidRPr="005C50B8">
        <w:rPr>
          <w:lang w:val="lv-LV"/>
        </w:rPr>
        <w:t xml:space="preserve"> 2</w:t>
      </w:r>
      <w:r w:rsidR="00542363">
        <w:rPr>
          <w:lang w:val="lv-LV"/>
        </w:rPr>
        <w:t>0 uzstāšanas reize</w:t>
      </w:r>
      <w:r w:rsidRPr="005C50B8">
        <w:rPr>
          <w:lang w:val="lv-LV"/>
        </w:rPr>
        <w:t xml:space="preserve">s. </w:t>
      </w:r>
      <w:r w:rsidR="00A032D9">
        <w:rPr>
          <w:lang w:val="lv-LV"/>
        </w:rPr>
        <w:t xml:space="preserve">Partijas </w:t>
      </w:r>
      <w:r w:rsidRPr="005C50B8">
        <w:rPr>
          <w:lang w:val="lv-LV"/>
        </w:rPr>
        <w:t xml:space="preserve">„No Sirds Latvijai” un frakcijas „Vienotība” deputāti pieminējuši </w:t>
      </w:r>
      <w:r w:rsidR="00A032D9">
        <w:rPr>
          <w:lang w:val="lv-LV"/>
        </w:rPr>
        <w:t>NAP2020</w:t>
      </w:r>
      <w:r w:rsidRPr="005C50B8">
        <w:rPr>
          <w:lang w:val="lv-LV"/>
        </w:rPr>
        <w:t xml:space="preserve"> </w:t>
      </w:r>
      <w:r w:rsidR="00A032D9">
        <w:rPr>
          <w:lang w:val="lv-LV"/>
        </w:rPr>
        <w:t xml:space="preserve">pa desmit </w:t>
      </w:r>
      <w:r w:rsidRPr="005C50B8">
        <w:rPr>
          <w:lang w:val="lv-LV"/>
        </w:rPr>
        <w:t>uzstāšanās reizē</w:t>
      </w:r>
      <w:r w:rsidR="00A032D9">
        <w:rPr>
          <w:lang w:val="lv-LV"/>
        </w:rPr>
        <w:t>m katra</w:t>
      </w:r>
      <w:r w:rsidRPr="005C50B8">
        <w:rPr>
          <w:lang w:val="lv-LV"/>
        </w:rPr>
        <w:t xml:space="preserve">, </w:t>
      </w:r>
      <w:r w:rsidR="00A032D9">
        <w:rPr>
          <w:lang w:val="lv-LV"/>
        </w:rPr>
        <w:t xml:space="preserve">savukārt </w:t>
      </w:r>
      <w:r w:rsidRPr="005C50B8">
        <w:rPr>
          <w:lang w:val="lv-LV"/>
        </w:rPr>
        <w:t xml:space="preserve">frakciju „Zaļo un Zemnieku savienība” un „Visu Latvijai – Tēvzemei un Brīvībai/LNNK” </w:t>
      </w:r>
      <w:r w:rsidR="00A032D9">
        <w:rPr>
          <w:lang w:val="lv-LV"/>
        </w:rPr>
        <w:t>deputāti augstākā līmeņa plānošanas dokumentu minējuši pa astoņām</w:t>
      </w:r>
      <w:r w:rsidRPr="005C50B8">
        <w:rPr>
          <w:lang w:val="lv-LV"/>
        </w:rPr>
        <w:t xml:space="preserve"> uzstāšanās reizē</w:t>
      </w:r>
      <w:r w:rsidR="00A032D9">
        <w:rPr>
          <w:lang w:val="lv-LV"/>
        </w:rPr>
        <w:t>m katrs</w:t>
      </w:r>
      <w:r w:rsidRPr="005C50B8">
        <w:rPr>
          <w:lang w:val="lv-LV"/>
        </w:rPr>
        <w:t>.</w:t>
      </w:r>
    </w:p>
    <w:p w14:paraId="27A93480" w14:textId="4386B406" w:rsidR="001D06C8" w:rsidRPr="005C50B8" w:rsidRDefault="00F37159" w:rsidP="003C5CB3">
      <w:pPr>
        <w:pStyle w:val="attelunosaukums"/>
      </w:pPr>
      <w:r>
        <w:t xml:space="preserve">2. attēls. </w:t>
      </w:r>
      <w:r w:rsidR="001D06C8" w:rsidRPr="005C50B8">
        <w:t xml:space="preserve">Uzstāšanās parlamentārajās diskusijās, kurās pieminēts </w:t>
      </w:r>
      <w:r w:rsidR="00A032D9">
        <w:t>NAP2020,</w:t>
      </w:r>
      <w:r>
        <w:t xml:space="preserve"> frakciju griezumā</w:t>
      </w:r>
    </w:p>
    <w:p w14:paraId="3B1A0232" w14:textId="09934478" w:rsidR="001D06C8" w:rsidRPr="005C50B8" w:rsidRDefault="001D06C8" w:rsidP="0039360B">
      <w:pPr>
        <w:pStyle w:val="Normal1"/>
        <w:jc w:val="center"/>
      </w:pPr>
      <w:r w:rsidRPr="005C50B8">
        <w:rPr>
          <w:noProof/>
        </w:rPr>
        <w:drawing>
          <wp:inline distT="0" distB="0" distL="0" distR="0" wp14:anchorId="138574D6" wp14:editId="1124E58C">
            <wp:extent cx="5143500" cy="2238375"/>
            <wp:effectExtent l="0" t="0" r="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ABAA72" w14:textId="4E66CC8D" w:rsidR="001D06C8" w:rsidRPr="005C50B8" w:rsidRDefault="00A032D9" w:rsidP="0039360B">
      <w:pPr>
        <w:rPr>
          <w:lang w:val="lv-LV"/>
        </w:rPr>
      </w:pPr>
      <w:r>
        <w:rPr>
          <w:lang w:val="lv-LV"/>
        </w:rPr>
        <w:t>Tika analizēta</w:t>
      </w:r>
      <w:r w:rsidR="001D06C8" w:rsidRPr="005C50B8">
        <w:rPr>
          <w:lang w:val="lv-LV"/>
        </w:rPr>
        <w:t xml:space="preserve"> arī runātāju attieksme pret N</w:t>
      </w:r>
      <w:r>
        <w:rPr>
          <w:lang w:val="lv-LV"/>
        </w:rPr>
        <w:t>AP2020, novērtējot,</w:t>
      </w:r>
      <w:r w:rsidR="001D06C8" w:rsidRPr="005C50B8">
        <w:rPr>
          <w:lang w:val="lv-LV"/>
        </w:rPr>
        <w:t xml:space="preserve"> vai deputāta uzstāšanās reizē pausta pozitīva, negatīva vai neitrāla attieksme pret </w:t>
      </w:r>
      <w:r w:rsidR="00687FB7">
        <w:rPr>
          <w:lang w:val="lv-LV"/>
        </w:rPr>
        <w:t>dokumentu. Lielākajā daļā gadījumu, t.i.,</w:t>
      </w:r>
      <w:r w:rsidR="001D06C8" w:rsidRPr="005C50B8">
        <w:rPr>
          <w:lang w:val="lv-LV"/>
        </w:rPr>
        <w:t xml:space="preserve"> 22 uzstāšanās reizēs jeb 31% runu, kurās pieminēts NAP</w:t>
      </w:r>
      <w:r w:rsidR="00687FB7">
        <w:rPr>
          <w:lang w:val="lv-LV"/>
        </w:rPr>
        <w:t>2020,</w:t>
      </w:r>
      <w:r w:rsidR="001D06C8" w:rsidRPr="005C50B8">
        <w:rPr>
          <w:lang w:val="lv-LV"/>
        </w:rPr>
        <w:t xml:space="preserve"> deputāti pauduši pozitīvu attieksmi, 14 uzstāšanās reizēs neitrālu, un tikai </w:t>
      </w:r>
      <w:r w:rsidR="00687FB7">
        <w:rPr>
          <w:lang w:val="lv-LV"/>
        </w:rPr>
        <w:t>piecās</w:t>
      </w:r>
      <w:r w:rsidR="001D06C8" w:rsidRPr="005C50B8">
        <w:rPr>
          <w:lang w:val="lv-LV"/>
        </w:rPr>
        <w:t xml:space="preserve"> uzstāšanās reizēs pret N</w:t>
      </w:r>
      <w:r w:rsidR="00687FB7">
        <w:rPr>
          <w:lang w:val="lv-LV"/>
        </w:rPr>
        <w:t>AP2020</w:t>
      </w:r>
      <w:r w:rsidR="001D06C8" w:rsidRPr="005C50B8">
        <w:rPr>
          <w:lang w:val="lv-LV"/>
        </w:rPr>
        <w:t xml:space="preserve"> pausta negatīva attieksme.</w:t>
      </w:r>
    </w:p>
    <w:p w14:paraId="40D89045" w14:textId="77777777" w:rsidR="00EF3D80" w:rsidRDefault="00EF3D80">
      <w:pPr>
        <w:spacing w:before="0" w:after="0"/>
        <w:jc w:val="left"/>
        <w:rPr>
          <w:b/>
          <w:color w:val="253356" w:themeColor="accent1" w:themeShade="80"/>
          <w:lang w:val="lv-LV"/>
        </w:rPr>
      </w:pPr>
      <w:r w:rsidRPr="000664FB">
        <w:rPr>
          <w:lang w:val="lv-LV"/>
        </w:rPr>
        <w:br w:type="page"/>
      </w:r>
    </w:p>
    <w:p w14:paraId="0AAC7B86" w14:textId="15999AE9" w:rsidR="000A7E63" w:rsidRDefault="00F2488C" w:rsidP="00687FB7">
      <w:pPr>
        <w:pStyle w:val="attelunosaukums"/>
      </w:pPr>
      <w:r>
        <w:lastRenderedPageBreak/>
        <w:t xml:space="preserve">3. attēls.  </w:t>
      </w:r>
      <w:r w:rsidR="001D06C8" w:rsidRPr="005C50B8">
        <w:t xml:space="preserve">Deputātu uzstāšanās reizēs paustā attieksme pret </w:t>
      </w:r>
      <w:r w:rsidR="00687FB7">
        <w:t>NAP2020</w:t>
      </w:r>
    </w:p>
    <w:p w14:paraId="6FF4236B" w14:textId="160B8A7D" w:rsidR="001D06C8" w:rsidRPr="005C50B8" w:rsidRDefault="001D06C8" w:rsidP="00687FB7">
      <w:pPr>
        <w:pStyle w:val="attelunosaukums"/>
      </w:pPr>
      <w:r w:rsidRPr="005C50B8">
        <w:rPr>
          <w:noProof/>
          <w:lang w:eastAsia="lv-LV"/>
        </w:rPr>
        <w:drawing>
          <wp:inline distT="0" distB="0" distL="0" distR="0" wp14:anchorId="04CC68FD" wp14:editId="3BAD0B1D">
            <wp:extent cx="3778370" cy="1457864"/>
            <wp:effectExtent l="0" t="0" r="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FFAF4B" w14:textId="75E5AF23" w:rsidR="001D06C8" w:rsidRDefault="00677143" w:rsidP="0039360B">
      <w:pPr>
        <w:rPr>
          <w:rFonts w:ascii="Cambria" w:eastAsia="MS Mincho" w:hAnsi="Cambria" w:cs="Times New Roman"/>
          <w:lang w:val="lv-LV"/>
        </w:rPr>
      </w:pPr>
      <w:r w:rsidRPr="00677143">
        <w:rPr>
          <w:rFonts w:ascii="Cambria" w:eastAsia="MS Mincho" w:hAnsi="Cambria" w:cs="Times New Roman"/>
          <w:lang w:val="lv-LV"/>
        </w:rPr>
        <w:t>Visbiežāk – 19 deputātu uzstāšanās reizēs - Saeimas plenārsēžu debatēs NAP2020 minēts saistībā ar jautājumiem, kas skar ekonomiku. Piecas reizes deputāti augstākā līmeņa plānošanas dokumentu pieminējuši izglītības kontekstā, bet pa trīs reizēm saistībā ar veselības politiku, reģionālo attīstību, nevienlīdzību un demogrāfijas problemātiku. Aptuveni 30 uzstāšanas reizēs ir grūti identificēt konkrētu tēmu, piemēram, situācijās, kad diskusijas skārušas attīstības politiku kopumā.</w:t>
      </w:r>
    </w:p>
    <w:p w14:paraId="375D42ED" w14:textId="25964D9F" w:rsidR="00FB2379" w:rsidRPr="001E4135" w:rsidRDefault="00F745F5" w:rsidP="00FB2379">
      <w:pPr>
        <w:rPr>
          <w:rFonts w:ascii="Cambria" w:eastAsia="MS Mincho" w:hAnsi="Cambria" w:cs="Times New Roman"/>
          <w:lang w:val="lv-LV"/>
        </w:rPr>
      </w:pPr>
      <w:r>
        <w:rPr>
          <w:rFonts w:ascii="Cambria" w:eastAsia="MS Mincho" w:hAnsi="Cambria" w:cs="Times New Roman"/>
          <w:lang w:val="lv-LV"/>
        </w:rPr>
        <w:t>Secināms</w:t>
      </w:r>
      <w:r w:rsidR="00FB2379">
        <w:rPr>
          <w:rFonts w:ascii="Cambria" w:eastAsia="MS Mincho" w:hAnsi="Cambria" w:cs="Times New Roman"/>
          <w:lang w:val="lv-LV"/>
        </w:rPr>
        <w:t>, ka</w:t>
      </w:r>
      <w:r w:rsidR="00FB2379" w:rsidRPr="001E4135">
        <w:rPr>
          <w:rFonts w:ascii="Cambria" w:eastAsia="MS Mincho" w:hAnsi="Cambria" w:cs="Times New Roman"/>
          <w:lang w:val="lv-LV"/>
        </w:rPr>
        <w:t xml:space="preserve"> NAP202</w:t>
      </w:r>
      <w:r w:rsidR="00FB2379">
        <w:rPr>
          <w:rFonts w:ascii="Cambria" w:eastAsia="MS Mincho" w:hAnsi="Cambria" w:cs="Times New Roman"/>
          <w:lang w:val="lv-LV"/>
        </w:rPr>
        <w:t xml:space="preserve">0 </w:t>
      </w:r>
      <w:r w:rsidR="00FB2379" w:rsidRPr="001E4135">
        <w:rPr>
          <w:rFonts w:ascii="Cambria" w:eastAsia="MS Mincho" w:hAnsi="Cambria" w:cs="Times New Roman"/>
          <w:lang w:val="lv-LV"/>
        </w:rPr>
        <w:t>deputāti</w:t>
      </w:r>
      <w:r w:rsidR="00FB2379">
        <w:rPr>
          <w:rFonts w:ascii="Cambria" w:eastAsia="MS Mincho" w:hAnsi="Cambria" w:cs="Times New Roman"/>
          <w:lang w:val="lv-LV"/>
        </w:rPr>
        <w:t xml:space="preserve"> visbiežāk izmantojuši budžeta veidošanas procesā, kas liecina par nepieciešamību valsts budžeta ieceres un tam pavadošo likumprojektu izstrād</w:t>
      </w:r>
      <w:r>
        <w:rPr>
          <w:rFonts w:ascii="Cambria" w:eastAsia="MS Mincho" w:hAnsi="Cambria" w:cs="Times New Roman"/>
          <w:lang w:val="lv-LV"/>
        </w:rPr>
        <w:t>i</w:t>
      </w:r>
      <w:r w:rsidR="00FB2379" w:rsidRPr="001E4135">
        <w:rPr>
          <w:rFonts w:ascii="Cambria" w:eastAsia="MS Mincho" w:hAnsi="Cambria" w:cs="Times New Roman"/>
          <w:lang w:val="lv-LV"/>
        </w:rPr>
        <w:t xml:space="preserve"> </w:t>
      </w:r>
      <w:r>
        <w:rPr>
          <w:rFonts w:ascii="Cambria" w:eastAsia="MS Mincho" w:hAnsi="Cambria" w:cs="Times New Roman"/>
          <w:lang w:val="lv-LV"/>
        </w:rPr>
        <w:t xml:space="preserve">veikt, </w:t>
      </w:r>
      <w:r w:rsidR="00FB2379">
        <w:rPr>
          <w:rFonts w:ascii="Cambria" w:eastAsia="MS Mincho" w:hAnsi="Cambria" w:cs="Times New Roman"/>
          <w:lang w:val="lv-LV"/>
        </w:rPr>
        <w:t>pamatoties uz valsts attīstības plānu – NAP2020.</w:t>
      </w:r>
    </w:p>
    <w:p w14:paraId="4FD4CD5D" w14:textId="77777777" w:rsidR="00FB2379" w:rsidRPr="00677143" w:rsidRDefault="00FB2379" w:rsidP="0039360B">
      <w:pPr>
        <w:rPr>
          <w:lang w:val="lv-LV"/>
        </w:rPr>
      </w:pPr>
    </w:p>
    <w:p w14:paraId="0DDE1C9F" w14:textId="77777777" w:rsidR="0039360B" w:rsidRPr="002443DF" w:rsidRDefault="0039360B">
      <w:pPr>
        <w:spacing w:before="0" w:after="0"/>
        <w:jc w:val="left"/>
        <w:rPr>
          <w:lang w:val="lv-LV"/>
        </w:rPr>
      </w:pPr>
      <w:r w:rsidRPr="002443DF">
        <w:rPr>
          <w:lang w:val="lv-LV"/>
        </w:rPr>
        <w:br w:type="page"/>
      </w:r>
    </w:p>
    <w:p w14:paraId="197E53B3" w14:textId="3DB41F20" w:rsidR="001D06C8" w:rsidRPr="002443DF" w:rsidRDefault="0039360B" w:rsidP="0039360B">
      <w:pPr>
        <w:pStyle w:val="Heading1"/>
        <w:rPr>
          <w:lang w:val="lv-LV"/>
        </w:rPr>
      </w:pPr>
      <w:bookmarkStart w:id="16" w:name="_Toc498690608"/>
      <w:bookmarkStart w:id="17" w:name="_Toc499025306"/>
      <w:r w:rsidRPr="002443DF">
        <w:rPr>
          <w:lang w:val="lv-LV"/>
        </w:rPr>
        <w:lastRenderedPageBreak/>
        <w:t xml:space="preserve">2. NAP2020 </w:t>
      </w:r>
      <w:r w:rsidR="0093074A">
        <w:rPr>
          <w:lang w:val="lv-LV"/>
        </w:rPr>
        <w:t>ieviešanas gaitu ietekmējošie faktori</w:t>
      </w:r>
      <w:bookmarkEnd w:id="16"/>
      <w:bookmarkEnd w:id="17"/>
    </w:p>
    <w:p w14:paraId="33C40020" w14:textId="0DA8A352" w:rsidR="001D06C8" w:rsidRPr="002443DF" w:rsidRDefault="0039360B" w:rsidP="0039360B">
      <w:pPr>
        <w:pStyle w:val="Heading2"/>
        <w:rPr>
          <w:lang w:val="lv-LV"/>
        </w:rPr>
      </w:pPr>
      <w:bookmarkStart w:id="18" w:name="_Toc498690609"/>
      <w:bookmarkStart w:id="19" w:name="_Toc499025307"/>
      <w:r w:rsidRPr="002443DF">
        <w:rPr>
          <w:lang w:val="lv-LV"/>
        </w:rPr>
        <w:t>2.1.</w:t>
      </w:r>
      <w:r w:rsidR="00677143">
        <w:rPr>
          <w:lang w:val="lv-LV"/>
        </w:rPr>
        <w:t xml:space="preserve"> </w:t>
      </w:r>
      <w:r w:rsidR="001D06C8" w:rsidRPr="002443DF">
        <w:rPr>
          <w:lang w:val="lv-LV"/>
        </w:rPr>
        <w:t>Ārējo apstākļu analīze</w:t>
      </w:r>
      <w:bookmarkEnd w:id="18"/>
      <w:bookmarkEnd w:id="19"/>
    </w:p>
    <w:p w14:paraId="239B3AB7" w14:textId="7777777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NAP2020 izstrādes procesā prioritāra bija valsts ekonomikas izaugsme, kas primāri vērsta uz tautsaimniecības stiprināšanu, reģionālo attīstību, kā arī valsts iedzīvotāju labklājības celšanu. Attiecīgi ārpolitikas videi netika pievērsta tik liela uzmanība, arī starptautiskajā dienas kārtībā nebija vērojami būtiski ārpolitikas notikumi, kas varētu radikāli mainīt Latvijas politiskās prioritātes vai ietekmēt Latvijas kā ES un NATO dalībvalsts mērķus. Tomēr atskatoties uz politiskajām aktualitātēm kopš NAP2020 apstiprināšanas, nākas secināt, ka tieši ārpolitiskie procesi bija tie, kas būtiski ietekmēja Latvijas politiskos mērķus un noteica jomas un pasākumus, kuru īstenošanai tika novirzīti papildus finanšu resursi. Šajā sadaļā sniegts īss ieskats būtiskākajos ārpolitikas notikumos kopš NAP2020 apstiprināšanas, kas nosaka valdības darba kārtības prioritātes un politiskās izvēles.</w:t>
      </w:r>
    </w:p>
    <w:p w14:paraId="15283EEC" w14:textId="7777777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 xml:space="preserve">Starptautiskā vide kļūst arvien dinamiskāka un grūtāk prognozējama. Tas visām pasaules valstīm liek pievērst arvien lielāku uzmanību starptautiskās politikas norisēm un tendencēm. Bieži vien politiski vai ekonomiski notikumi kādā no valstīm var radīt būtisku ietekmi uz citu valstu ekonomisko, politisko un drošības situāciju. Jāņem vērā, ka mūsdienu draudi nav saistīti tikai ar tiešu valstu suverenitātes un teritorijas integritātes apdraudējumu, bet arī neprognozējamajiem teroristu uzbrukumiem, nelegālās migrācijas pieaugumu, valstu informācijas telpas aizsardzību no viltus ziņām, informācijas tehnoloģiju un informācijas sistēmu drošību, energoresursu piegādi utml. Ārējās vides apstākļi un notikumi atstāj būtisku ietekmi uz valstu iekšpolitiku un to pieņemtajiem lēmumiem, kā arī nacionālajām interesēm. </w:t>
      </w:r>
    </w:p>
    <w:p w14:paraId="44029F4D" w14:textId="77777777" w:rsidR="00677143" w:rsidRPr="00677143" w:rsidRDefault="00677143" w:rsidP="00677143">
      <w:pPr>
        <w:rPr>
          <w:rFonts w:ascii="Times New Roman" w:eastAsia="MS Mincho" w:hAnsi="Times New Roman" w:cs="Times New Roman"/>
          <w:sz w:val="24"/>
          <w:vertAlign w:val="superscript"/>
          <w:lang w:val="lv-LV"/>
        </w:rPr>
      </w:pPr>
      <w:r w:rsidRPr="00677143">
        <w:rPr>
          <w:rFonts w:ascii="Cambria" w:eastAsia="MS Mincho" w:hAnsi="Cambria" w:cs="Times New Roman"/>
          <w:lang w:val="lv-LV"/>
        </w:rPr>
        <w:t>Analizējot būtiskākos ārpolitikas notikumus kopš NAP2020 apstiprināšanas, kas radījuši tiešu ietekmi uz Latvijas politiskajiem lēmumiem, jāpiemin Krievijas agresija Ukrainā un Krimas aneksija 2014. gadā. Krievijas īstenotā politika radījusi drošības riskus un izaicinājumus Latvijai, kā arī pārējām ES un NATO dalībvalstīm, kļūstot par centrālo Latvijas ārpolitikas un drošības politikas jautājumu. Laimdotas Straujumas vadītā valdība, ņemot vērā notikumus Ukrainā, noteikusi valsts drošību par valdības prioritāti, paredzot, ka Latvijai ir jāstiprina tās pašaizsardzības spējas, kā arī ciešāk jāsadarbojas ar NATO kolektīvās aizsardzības un sabiedroto solidaritātes pasākumu īstenošanā.</w:t>
      </w:r>
      <w:r w:rsidRPr="00677143">
        <w:rPr>
          <w:rFonts w:ascii="Times New Roman" w:eastAsia="MS Mincho" w:hAnsi="Times New Roman" w:cs="Times New Roman"/>
          <w:sz w:val="24"/>
          <w:vertAlign w:val="superscript"/>
          <w:lang w:val="lv-LV"/>
        </w:rPr>
        <w:footnoteReference w:id="1"/>
      </w:r>
    </w:p>
    <w:p w14:paraId="33A63653" w14:textId="7777777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2014. gadā Latvijas aizsardzības budžets bija zem 1% no IKP, kas būtiski atpalika no NATO dalībvalstīm noteiktajiem mērķiem aizsardzības nozares finansēšanai. Lai nodrošinātu Latvijas kolektīvās aizsardzības saistību izpildi, pieņemts Valsts aizsardzības finansēšanas likums, kas nosaka aizsardzības nozares finansējuma palielinājumu, lai līdz 2020. gadam tas sasniegtu 2% no IKP.</w:t>
      </w:r>
      <w:r w:rsidRPr="00677143">
        <w:rPr>
          <w:rFonts w:ascii="Times New Roman" w:eastAsia="MS Mincho" w:hAnsi="Times New Roman" w:cs="Times New Roman"/>
          <w:sz w:val="24"/>
          <w:vertAlign w:val="superscript"/>
          <w:lang w:val="lv-LV"/>
        </w:rPr>
        <w:footnoteReference w:id="2"/>
      </w:r>
      <w:r w:rsidRPr="00677143">
        <w:rPr>
          <w:rFonts w:ascii="Cambria" w:eastAsia="MS Mincho" w:hAnsi="Cambria" w:cs="Times New Roman"/>
          <w:lang w:val="lv-LV"/>
        </w:rPr>
        <w:t xml:space="preserve"> Tomēr ņemot vērā ārējās vides radītos drošības izaicinājumus, valdība jau 2015. gada sākumā pieņēmusi lēmumu nodrošināt straujāku NBS kaujas gatavības celšanu un pašaizsardzības spēju attīstību, aizsardzības budžetam sasniedzot 2% no IKP jau 2018. gadā.</w:t>
      </w:r>
      <w:r w:rsidRPr="00677143">
        <w:rPr>
          <w:rFonts w:ascii="Times New Roman" w:eastAsia="MS Mincho" w:hAnsi="Times New Roman" w:cs="Times New Roman"/>
          <w:sz w:val="24"/>
          <w:vertAlign w:val="superscript"/>
          <w:lang w:val="lv-LV"/>
        </w:rPr>
        <w:footnoteReference w:id="3"/>
      </w:r>
      <w:r w:rsidRPr="00677143">
        <w:rPr>
          <w:rFonts w:ascii="Cambria" w:eastAsia="MS Mincho" w:hAnsi="Cambria" w:cs="Times New Roman"/>
          <w:lang w:val="lv-LV"/>
        </w:rPr>
        <w:t xml:space="preserve"> </w:t>
      </w:r>
    </w:p>
    <w:p w14:paraId="0A7ED078" w14:textId="77777777" w:rsidR="00677143" w:rsidRPr="00677143" w:rsidRDefault="00677143" w:rsidP="00677143">
      <w:pPr>
        <w:rPr>
          <w:rFonts w:ascii="Cambria" w:eastAsia="Tahoma" w:hAnsi="Cambria" w:cs="Times New Roman"/>
          <w:color w:val="0D0D0D"/>
          <w:lang w:val="lv-LV" w:eastAsia="zh-CN"/>
        </w:rPr>
      </w:pPr>
      <w:r w:rsidRPr="00677143">
        <w:rPr>
          <w:rFonts w:ascii="Cambria" w:eastAsia="MS Mincho" w:hAnsi="Cambria" w:cs="Times New Roman"/>
          <w:lang w:val="lv-LV"/>
        </w:rPr>
        <w:t xml:space="preserve">2015. gadā starptautiskajai sabiedrībai kļuva arvien redzamāka teroristiskā grupējuma </w:t>
      </w:r>
      <w:r w:rsidRPr="00677143">
        <w:rPr>
          <w:rFonts w:ascii="Cambria" w:eastAsia="MS Mincho" w:hAnsi="Cambria" w:cs="Times New Roman"/>
          <w:i/>
          <w:lang w:val="lv-LV"/>
        </w:rPr>
        <w:t>Da`esh</w:t>
      </w:r>
      <w:r w:rsidRPr="00677143">
        <w:rPr>
          <w:rFonts w:ascii="Cambria" w:eastAsia="MS Mincho" w:hAnsi="Cambria" w:cs="Times New Roman"/>
          <w:lang w:val="lv-LV"/>
        </w:rPr>
        <w:t xml:space="preserve"> (ISIL) darbība, jo šis gads sākās ar vairākiem traģiskiem teroristu uzbrukumiem Parīzē un Kopenhāgenā, kas eskalāciju sasniedza 2015. gada 13. novembrī ar pēdējās desmitgades lielāko teroristu uzbrukumu Parīzē. Šie notikumi izraisīja starptautiskās </w:t>
      </w:r>
      <w:r w:rsidRPr="00677143">
        <w:rPr>
          <w:rFonts w:ascii="Cambria" w:eastAsia="MS Mincho" w:hAnsi="Cambria" w:cs="Times New Roman"/>
          <w:lang w:val="lv-LV"/>
        </w:rPr>
        <w:lastRenderedPageBreak/>
        <w:t xml:space="preserve">sabiedrības sašutumu, un apliecināja, ka terorisms ir viens no galvenajiem draudiem Eiropas drošībai, kas </w:t>
      </w:r>
      <w:r w:rsidRPr="00677143">
        <w:rPr>
          <w:rFonts w:ascii="Cambria" w:eastAsia="Tahoma" w:hAnsi="Cambria" w:cs="Times New Roman"/>
          <w:color w:val="0D0D0D"/>
          <w:lang w:val="lv-LV" w:eastAsia="zh-CN"/>
        </w:rPr>
        <w:t>attīstās par komplicētu un neprognozējamu izaicinājumu starptautiskās sabiedrības drošībai</w:t>
      </w:r>
      <w:r w:rsidRPr="00677143">
        <w:rPr>
          <w:rFonts w:ascii="Times New Roman" w:eastAsia="Tahoma" w:hAnsi="Times New Roman" w:cs="Times New Roman"/>
          <w:color w:val="0D0D0D"/>
          <w:sz w:val="24"/>
          <w:vertAlign w:val="superscript"/>
          <w:lang w:val="lv-LV" w:eastAsia="zh-CN"/>
        </w:rPr>
        <w:footnoteReference w:id="4"/>
      </w:r>
      <w:r w:rsidRPr="00677143">
        <w:rPr>
          <w:rFonts w:ascii="Cambria" w:eastAsia="Tahoma" w:hAnsi="Cambria" w:cs="Times New Roman"/>
          <w:color w:val="0D0D0D"/>
          <w:lang w:val="lv-LV" w:eastAsia="zh-CN"/>
        </w:rPr>
        <w:t>, jo teroristu uzbrukumi tiek organizēti tā, lai radītu pēc iespējas lielāku paniku un uztraukumu sabiedrībā, piemēram, tie tiek organizēti lidostās, gājēju ielās, koncertos utt.</w:t>
      </w:r>
      <w:r w:rsidRPr="00677143">
        <w:rPr>
          <w:rFonts w:ascii="Cambria" w:eastAsia="Tahoma" w:hAnsi="Cambria" w:cs="Times New Roman"/>
          <w:b/>
          <w:color w:val="0D0D0D"/>
          <w:lang w:val="lv-LV" w:eastAsia="zh-CN"/>
        </w:rPr>
        <w:t xml:space="preserve"> </w:t>
      </w:r>
      <w:r w:rsidRPr="00677143">
        <w:rPr>
          <w:rFonts w:ascii="Cambria" w:eastAsia="Tahoma" w:hAnsi="Cambria" w:cs="Times New Roman"/>
          <w:color w:val="0D0D0D"/>
          <w:lang w:val="lv-LV" w:eastAsia="zh-CN"/>
        </w:rPr>
        <w:t>Neskatoties uz to, ka terorisma draudu līmenis Latvijā saglabājas zems, tomēr tā radītie draudi ir jāņem vērā arī mūsu drošības iestādēm, līdz ar to arī iekšējās drošības stiprināšana kļuva par nozīmīgu prioritāti gan Laimdotas Straujumas, gan Māra Kučinska vadītajā valdībā</w:t>
      </w:r>
      <w:r w:rsidRPr="00677143">
        <w:rPr>
          <w:rFonts w:ascii="Times New Roman" w:eastAsia="Tahoma" w:hAnsi="Times New Roman" w:cs="Times New Roman"/>
          <w:color w:val="0D0D0D"/>
          <w:sz w:val="24"/>
          <w:vertAlign w:val="superscript"/>
          <w:lang w:val="lv-LV" w:eastAsia="zh-CN"/>
        </w:rPr>
        <w:footnoteReference w:id="5"/>
      </w:r>
      <w:r w:rsidRPr="00677143">
        <w:rPr>
          <w:rFonts w:ascii="Cambria" w:eastAsia="Tahoma" w:hAnsi="Cambria" w:cs="Times New Roman"/>
          <w:color w:val="0D0D0D"/>
          <w:lang w:val="lv-LV" w:eastAsia="zh-CN"/>
        </w:rPr>
        <w:t xml:space="preserve">. Diemžēl teroristu uzbrukumi dažādām ES dalībvalstīm turpinājās arī 2016. un 2017. gadā, parādot, ka neviena valsts nav pasargāta no pēkšņa un neprognozējama teroristu uzbrukuma. </w:t>
      </w:r>
    </w:p>
    <w:p w14:paraId="3E10358E" w14:textId="77777777" w:rsidR="00677143" w:rsidRPr="00677143" w:rsidRDefault="00677143" w:rsidP="00677143">
      <w:pPr>
        <w:rPr>
          <w:rFonts w:ascii="Cambria" w:eastAsia="MS Mincho" w:hAnsi="Cambria" w:cs="Times New Roman"/>
          <w:color w:val="0D0D0D"/>
          <w:lang w:val="lv-LV"/>
        </w:rPr>
      </w:pPr>
      <w:r w:rsidRPr="00677143">
        <w:rPr>
          <w:rFonts w:ascii="Cambria" w:eastAsia="Tahoma" w:hAnsi="Cambria" w:cs="Times New Roman"/>
          <w:color w:val="0D0D0D"/>
          <w:lang w:val="lv-LV" w:eastAsia="zh-CN"/>
        </w:rPr>
        <w:t>Ņemot vērā</w:t>
      </w:r>
      <w:r w:rsidRPr="00677143">
        <w:rPr>
          <w:rFonts w:ascii="Cambria" w:eastAsia="MS Mincho" w:hAnsi="Cambria" w:cs="Times New Roman"/>
          <w:lang w:val="lv-LV"/>
        </w:rPr>
        <w:t xml:space="preserve"> politisko nestabilitāti Tuvajos Austrumos, kā arī pilsoņu karu Sīrijā, 2015. gadā dramatiski pieauga migrantu skaits, kas iebrauc ES caur Vidusjūras austrumu reģionu. Imigrācija kļuva par galveno ES dalībvalstu dienas kārtības jautājumu, kuram tika meklēti risinājumi ES solidaritātes mehānisma ietvaros, lai </w:t>
      </w:r>
      <w:r w:rsidRPr="00677143">
        <w:rPr>
          <w:rFonts w:ascii="Cambria" w:eastAsia="MS Mincho" w:hAnsi="Cambria" w:cs="Times New Roman"/>
          <w:color w:val="0D0D0D"/>
          <w:lang w:val="lv-LV"/>
        </w:rPr>
        <w:t>atslogotu dalībvalstis, kas saskaras ar nesamērīgu migrantu pieplūdumu. Iekšējās solidaritātes mehānisma ietvaros Latvijas valdības apņēmās uzņemt līdz 776 patvēruma meklētājiem.</w:t>
      </w:r>
      <w:r w:rsidRPr="00677143">
        <w:rPr>
          <w:rFonts w:ascii="Times New Roman" w:eastAsia="MS Mincho" w:hAnsi="Times New Roman" w:cs="Times New Roman"/>
          <w:color w:val="0D0D0D"/>
          <w:sz w:val="24"/>
          <w:vertAlign w:val="superscript"/>
          <w:lang w:val="lv-LV"/>
        </w:rPr>
        <w:footnoteReference w:id="6"/>
      </w:r>
      <w:r w:rsidRPr="00677143">
        <w:rPr>
          <w:rFonts w:ascii="Cambria" w:eastAsia="MS Mincho" w:hAnsi="Cambria" w:cs="Times New Roman"/>
          <w:color w:val="0D0D0D"/>
          <w:lang w:val="lv-LV"/>
        </w:rPr>
        <w:t>Prognozējams, ka šis jautājums būs aktuāls Latvijas iekšpolitiskajā darba kārtībā arī turpmāk, jo ir nepieciešami papildus līdzekļi, kā arī daudzveidīgi dažādu institūciju īstenoti pasākumi, lai nodrošinātu šīm personām atbilstošus dzīves un uzturēšanās apstākļus, kā arī palīdzētu tām veiksmīgi iekļauties Latvijas sabiedrībā.</w:t>
      </w:r>
    </w:p>
    <w:p w14:paraId="0EE357A3" w14:textId="51A205ED" w:rsidR="00677143" w:rsidRPr="00677143" w:rsidRDefault="00677143" w:rsidP="00677143">
      <w:pPr>
        <w:rPr>
          <w:rFonts w:ascii="Times New Roman" w:eastAsia="MS Mincho" w:hAnsi="Times New Roman" w:cs="Times New Roman"/>
          <w:color w:val="0D0D0D"/>
          <w:sz w:val="24"/>
          <w:vertAlign w:val="superscript"/>
          <w:lang w:val="lv-LV"/>
        </w:rPr>
      </w:pPr>
      <w:r w:rsidRPr="00677143">
        <w:rPr>
          <w:rFonts w:ascii="Cambria" w:eastAsia="MS Mincho" w:hAnsi="Cambria" w:cs="Times New Roman"/>
          <w:color w:val="0D0D0D"/>
          <w:lang w:val="lv-LV"/>
        </w:rPr>
        <w:t>Latvija kā valsts, kas atrodas uz ES ārējās robežas, saskār</w:t>
      </w:r>
      <w:r w:rsidR="00F745F5">
        <w:rPr>
          <w:rFonts w:ascii="Cambria" w:eastAsia="MS Mincho" w:hAnsi="Cambria" w:cs="Times New Roman"/>
          <w:color w:val="0D0D0D"/>
          <w:lang w:val="lv-LV"/>
        </w:rPr>
        <w:t>a</w:t>
      </w:r>
      <w:r w:rsidRPr="00677143">
        <w:rPr>
          <w:rFonts w:ascii="Cambria" w:eastAsia="MS Mincho" w:hAnsi="Cambria" w:cs="Times New Roman"/>
          <w:color w:val="0D0D0D"/>
          <w:lang w:val="lv-LV"/>
        </w:rPr>
        <w:t>s arī ar pastiprinātu nelegālo migrāciju, līdz ar to 2015. gadā aktuāls kļuva arī robežu stiprināšanas jautājums, prasot Valsts robežsardzei arvien vairāk resursu un uzmanības veltīt valsts ārējās robežas aizsardzībai un ieceļojošo personu robežkontrolei. Atbilstoši valdības lēmumiem, stiprinot Latvijas austrumu robežu, tika piešķirts finansējums Valsts robežsardzes cilvēkresursu kapacitātes stiprināšanai un materiāltehniskajam nodrošinājumam, īpašu uzmanību pievēršot personāla apmācībai, kā arī "zaļās" robežas iekārtošanai un aprīkošanai ar nepieciešamajām robežuzraudzības tehniskajām ierīcēm.</w:t>
      </w:r>
      <w:r w:rsidRPr="00677143">
        <w:rPr>
          <w:rFonts w:ascii="Times New Roman" w:eastAsia="MS Mincho" w:hAnsi="Times New Roman" w:cs="Times New Roman"/>
          <w:color w:val="0D0D0D"/>
          <w:sz w:val="24"/>
          <w:vertAlign w:val="superscript"/>
          <w:lang w:val="lv-LV"/>
        </w:rPr>
        <w:footnoteReference w:id="7"/>
      </w:r>
    </w:p>
    <w:p w14:paraId="42A5D3E5" w14:textId="7777777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Savukārt 2016. gadā kā būtiskākie starptautiskie notikumi, kas ietekmē arī Latvijas iekšpolitisko situāciju ir minami divi – Lielbritānijas referendums par izstāšanos no ES (</w:t>
      </w:r>
      <w:r w:rsidRPr="00677143">
        <w:rPr>
          <w:rFonts w:ascii="Cambria" w:eastAsia="MS Mincho" w:hAnsi="Cambria" w:cs="Times New Roman"/>
          <w:i/>
          <w:lang w:val="lv-LV"/>
        </w:rPr>
        <w:t>Brexit</w:t>
      </w:r>
      <w:r w:rsidRPr="00677143">
        <w:rPr>
          <w:rFonts w:ascii="Cambria" w:eastAsia="MS Mincho" w:hAnsi="Cambria" w:cs="Times New Roman"/>
          <w:lang w:val="lv-LV"/>
        </w:rPr>
        <w:t xml:space="preserve">), iezīmējot jaunu pavērsienu ES turpmākajā attīstībā un politiskajā dienas kārtībā, kā arī ASV prezidenta vēlēšanas, kurās uzvarējušais ASV prezidents Donalds Tramps piedāvā atšķirīgu skatījumu uz ASV lomu un vietu starptautiskajā politikā, pretstatā iepriekšējā prezidenta Baraka Obamas realizētajai politikai. Attiecīgi abi šie procesi var atstāt ietekmi uz divu Latvijas ārpolitikai un ekonomikai nozīmīgu starptautisko organizāciju – ES un NATO darbību, to īstenoto politiku un turpmākās attīstības prioritātēm. </w:t>
      </w:r>
    </w:p>
    <w:p w14:paraId="6EBEBD33" w14:textId="30A3784A"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 xml:space="preserve">Arī 2017. gads ir bagāts ar dinamiskiem starptautiskiem notikumiem, kas potenciāli var atstāt ietekmi uz Eiropas un visas pasaules turpmāk īstenoto politiku. Īpaši jāatzīmē prezidenta </w:t>
      </w:r>
      <w:r w:rsidR="00D81527" w:rsidRPr="00677143">
        <w:rPr>
          <w:rFonts w:ascii="Cambria" w:eastAsia="MS Mincho" w:hAnsi="Cambria" w:cs="Times New Roman"/>
          <w:lang w:val="lv-LV"/>
        </w:rPr>
        <w:t>vēlēšan</w:t>
      </w:r>
      <w:r w:rsidR="00D81527">
        <w:rPr>
          <w:rFonts w:ascii="Cambria" w:eastAsia="MS Mincho" w:hAnsi="Cambria" w:cs="Times New Roman"/>
          <w:lang w:val="lv-LV"/>
        </w:rPr>
        <w:t>u gaisotne</w:t>
      </w:r>
      <w:r w:rsidR="00D81527" w:rsidRPr="00677143">
        <w:rPr>
          <w:rFonts w:ascii="Cambria" w:eastAsia="MS Mincho" w:hAnsi="Cambria" w:cs="Times New Roman"/>
          <w:lang w:val="lv-LV"/>
        </w:rPr>
        <w:t xml:space="preserve"> </w:t>
      </w:r>
      <w:r w:rsidRPr="00677143">
        <w:rPr>
          <w:rFonts w:ascii="Cambria" w:eastAsia="MS Mincho" w:hAnsi="Cambria" w:cs="Times New Roman"/>
          <w:lang w:val="lv-LV"/>
        </w:rPr>
        <w:t>Francijā</w:t>
      </w:r>
      <w:r w:rsidR="00D81527">
        <w:rPr>
          <w:rFonts w:ascii="Cambria" w:eastAsia="MS Mincho" w:hAnsi="Cambria" w:cs="Times New Roman"/>
          <w:lang w:val="lv-LV"/>
        </w:rPr>
        <w:t xml:space="preserve"> un parlamenta vēlēšanu rezultāti Vācijā</w:t>
      </w:r>
      <w:r w:rsidRPr="00677143">
        <w:rPr>
          <w:rFonts w:ascii="Cambria" w:eastAsia="MS Mincho" w:hAnsi="Cambria" w:cs="Times New Roman"/>
          <w:lang w:val="lv-LV"/>
        </w:rPr>
        <w:t xml:space="preserve">, norādot uz pieaugošu labējo ideju un populisma ietekmi ES Rietumvalstu politikā, kas saistīta gan ar imigrantu skaita pieaugumu ES dalībvalstīs un sabiedrības vēlmi to ierobežot, gan pieaugošo teroraktu skaitu, kas ES iedzīvotājos rada bažas par </w:t>
      </w:r>
      <w:r w:rsidR="00F745F5">
        <w:rPr>
          <w:rFonts w:ascii="Cambria" w:eastAsia="MS Mincho" w:hAnsi="Cambria" w:cs="Times New Roman"/>
          <w:lang w:val="lv-LV"/>
        </w:rPr>
        <w:t>savu</w:t>
      </w:r>
      <w:r w:rsidRPr="00677143">
        <w:rPr>
          <w:rFonts w:ascii="Cambria" w:eastAsia="MS Mincho" w:hAnsi="Cambria" w:cs="Times New Roman"/>
          <w:lang w:val="lv-LV"/>
        </w:rPr>
        <w:t xml:space="preserve"> drošību. </w:t>
      </w:r>
    </w:p>
    <w:p w14:paraId="43B014B8" w14:textId="78486DC9" w:rsidR="001D06C8" w:rsidRPr="00677143" w:rsidRDefault="00677143" w:rsidP="0039360B">
      <w:pPr>
        <w:rPr>
          <w:rFonts w:ascii="Cambria" w:eastAsia="MS Mincho" w:hAnsi="Cambria" w:cs="Times New Roman"/>
          <w:lang w:val="lv-LV"/>
        </w:rPr>
      </w:pPr>
      <w:r w:rsidRPr="00677143">
        <w:rPr>
          <w:rFonts w:ascii="Cambria" w:eastAsia="MS Mincho" w:hAnsi="Cambria" w:cs="Times New Roman"/>
          <w:lang w:val="lv-LV"/>
        </w:rPr>
        <w:lastRenderedPageBreak/>
        <w:t xml:space="preserve">Arī turpmāk starptautiskā vide būs mainīga un grūti prognozējama, kā arī valstu savstarpējās līdzatkarības ietekmē starptautiskās politikas notikumi. To radītās sekas var ietekmēt Latvijas iekšpolitiskās prioritātes, politiskās izvēles un ekonomisko izaugsmi. Nenoliedzami, ka savu aktualitāti Latvijas nacionālo interešu un drošības politikas dienas kārtībā nezaudēs valsts pašaizsardzības, terorisma draudu mazināšanas, informāciju tehnoloģiju drošības un nelegālās migrācijas ierobežošanas jautājumi. Līdz ar to Latvijai ir jāspēj prognozēt iespējamās starptautiskās vides izmaiņas, tām elastīgi pielāgojoties un vienlaikus saglabājot virzību uz stratēģiskajiem, iepriekš nospraustajiem attīstības mērķiem, kas ir noteikti nacionālajos attīstības plānošanas dokumentos. </w:t>
      </w:r>
      <w:r w:rsidR="001D06C8" w:rsidRPr="00677143">
        <w:rPr>
          <w:lang w:val="lv-LV"/>
        </w:rPr>
        <w:t xml:space="preserve"> </w:t>
      </w:r>
    </w:p>
    <w:p w14:paraId="421AF0C8" w14:textId="77777777" w:rsidR="0093074A" w:rsidRPr="0039360B" w:rsidRDefault="0093074A" w:rsidP="0039360B">
      <w:pPr>
        <w:rPr>
          <w:lang w:val="lv-LV"/>
        </w:rPr>
      </w:pPr>
    </w:p>
    <w:p w14:paraId="4F85F9B8" w14:textId="6AE20404" w:rsidR="001D06C8" w:rsidRPr="00B82F1D" w:rsidRDefault="009D636A" w:rsidP="009D636A">
      <w:pPr>
        <w:pStyle w:val="Heading2"/>
        <w:rPr>
          <w:lang w:val="lv-LV"/>
        </w:rPr>
      </w:pPr>
      <w:bookmarkStart w:id="20" w:name="_Toc498690610"/>
      <w:bookmarkStart w:id="21" w:name="_Toc499025308"/>
      <w:r w:rsidRPr="00B82F1D">
        <w:rPr>
          <w:lang w:val="lv-LV"/>
        </w:rPr>
        <w:t>2.2. Ikgadējais valsts budžeta veidošanas process</w:t>
      </w:r>
      <w:bookmarkEnd w:id="20"/>
      <w:bookmarkEnd w:id="21"/>
    </w:p>
    <w:p w14:paraId="06BB5101" w14:textId="7777777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NAP2020 ir rīks politikas un budžeta sasaistīšanai noteiktu politikas rezultātu un to rādītāju sasniegšanai. Tā dizains ir mūsdienīgs un iteratīvs, pieļaujot novirzes darbībās un finansējumā, lai septiņu gadu periodā visefektīvāk sasniegtu kvantificētos rezultatīvos rādītājus, kā arī radot iespēju risināt horizontālus starpnozaru jautājumus, tādējādi nodrošinot nepieciešamo sinerģiju saskaņotai ilgtermiņa politikai.</w:t>
      </w:r>
    </w:p>
    <w:p w14:paraId="5B1F35C1" w14:textId="7777777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 xml:space="preserve">Ar NAP2020 pieņemšanu ir ieviesti jauni attīstības budžeta veidošanas </w:t>
      </w:r>
      <w:r w:rsidRPr="00677143">
        <w:rPr>
          <w:rFonts w:ascii="Cambria" w:eastAsia="MS Mincho" w:hAnsi="Cambria" w:cs="Times New Roman"/>
          <w:b/>
          <w:lang w:val="lv-LV"/>
        </w:rPr>
        <w:t>principi</w:t>
      </w:r>
      <w:r w:rsidRPr="00677143">
        <w:rPr>
          <w:rFonts w:ascii="Cambria" w:eastAsia="MS Mincho" w:hAnsi="Cambria" w:cs="Times New Roman"/>
          <w:lang w:val="lv-LV"/>
        </w:rPr>
        <w:t>:</w:t>
      </w:r>
    </w:p>
    <w:p w14:paraId="575E1543" w14:textId="77777777" w:rsidR="00677143" w:rsidRPr="00677143" w:rsidRDefault="00677143" w:rsidP="00677143">
      <w:pPr>
        <w:numPr>
          <w:ilvl w:val="0"/>
          <w:numId w:val="17"/>
        </w:numPr>
        <w:contextualSpacing/>
        <w:rPr>
          <w:rFonts w:ascii="Cambria" w:eastAsia="MS Mincho" w:hAnsi="Cambria" w:cs="Times New Roman"/>
          <w:lang w:val="lv-LV"/>
        </w:rPr>
      </w:pPr>
      <w:r w:rsidRPr="00677143">
        <w:rPr>
          <w:rFonts w:ascii="Cambria" w:eastAsia="MS Mincho" w:hAnsi="Cambria" w:cs="Times New Roman"/>
          <w:lang w:val="lv-LV"/>
        </w:rPr>
        <w:t xml:space="preserve">attīstības budžets ir </w:t>
      </w:r>
      <w:r w:rsidRPr="00677143">
        <w:rPr>
          <w:rFonts w:ascii="Cambria" w:eastAsia="MS Mincho" w:hAnsi="Cambria" w:cs="Times New Roman"/>
          <w:b/>
          <w:lang w:val="lv-LV"/>
        </w:rPr>
        <w:t xml:space="preserve">ierobežots </w:t>
      </w:r>
      <w:r w:rsidRPr="00677143">
        <w:rPr>
          <w:rFonts w:ascii="Cambria" w:eastAsia="MS Mincho" w:hAnsi="Cambria" w:cs="Times New Roman"/>
          <w:lang w:val="lv-LV"/>
        </w:rPr>
        <w:t xml:space="preserve">fiskālajā telpā septiņu gadu periodam, tas ļauj </w:t>
      </w:r>
      <w:r w:rsidRPr="00677143">
        <w:rPr>
          <w:rFonts w:ascii="Cambria" w:eastAsia="MS Mincho" w:hAnsi="Cambria" w:cs="Times New Roman"/>
          <w:u w:val="single"/>
          <w:lang w:val="lv-LV"/>
        </w:rPr>
        <w:t>izšķirties</w:t>
      </w:r>
      <w:r w:rsidRPr="00677143">
        <w:rPr>
          <w:rFonts w:ascii="Cambria" w:eastAsia="MS Mincho" w:hAnsi="Cambria" w:cs="Times New Roman"/>
          <w:lang w:val="lv-LV"/>
        </w:rPr>
        <w:t xml:space="preserve"> par efektīvākiem risinājumiem politikas rezultātu sasniegšanai;</w:t>
      </w:r>
    </w:p>
    <w:p w14:paraId="4F62979C" w14:textId="77777777" w:rsidR="00677143" w:rsidRDefault="00677143" w:rsidP="00677143">
      <w:pPr>
        <w:numPr>
          <w:ilvl w:val="0"/>
          <w:numId w:val="17"/>
        </w:numPr>
        <w:contextualSpacing/>
        <w:rPr>
          <w:rFonts w:ascii="Cambria" w:eastAsia="MS Mincho" w:hAnsi="Cambria" w:cs="Times New Roman"/>
          <w:lang w:val="lv-LV"/>
        </w:rPr>
      </w:pPr>
      <w:r w:rsidRPr="00677143">
        <w:rPr>
          <w:rFonts w:ascii="Cambria" w:eastAsia="MS Mincho" w:hAnsi="Cambria" w:cs="Times New Roman"/>
          <w:lang w:val="lv-LV"/>
        </w:rPr>
        <w:t xml:space="preserve">lēmumos par izmaiņām paredzētajā attīstības budžetā ievēro </w:t>
      </w:r>
      <w:r w:rsidRPr="00677143">
        <w:rPr>
          <w:rFonts w:ascii="Cambria" w:eastAsia="MS Mincho" w:hAnsi="Cambria" w:cs="Times New Roman"/>
          <w:b/>
          <w:lang w:val="lv-LV"/>
        </w:rPr>
        <w:t>pakāpenības</w:t>
      </w:r>
      <w:r w:rsidRPr="00677143">
        <w:rPr>
          <w:rFonts w:ascii="Cambria" w:eastAsia="MS Mincho" w:hAnsi="Cambria" w:cs="Times New Roman"/>
          <w:lang w:val="lv-LV"/>
        </w:rPr>
        <w:t xml:space="preserve"> principu. Īstenojamas darbības, kas visoptimālāk nodrošina uzdevumu izpildi, uzdevumi ir maināmi, ja tie labāk sasniedz rīcības virzienu mērķus, savukārt ikkatrs finansējuma pieteikums ir vērtējams arī pēc tā ietekmes uz trim NAP2020 izvirzītiem stratēģiskiem mērķiem.  </w:t>
      </w:r>
    </w:p>
    <w:p w14:paraId="68F17605" w14:textId="77777777" w:rsidR="00EB0BD3" w:rsidRPr="00677143" w:rsidRDefault="00EB0BD3" w:rsidP="00EB0BD3">
      <w:pPr>
        <w:ind w:left="720"/>
        <w:contextualSpacing/>
        <w:rPr>
          <w:rFonts w:ascii="Cambria" w:eastAsia="MS Mincho" w:hAnsi="Cambria" w:cs="Times New Roman"/>
          <w:lang w:val="lv-LV"/>
        </w:rPr>
      </w:pPr>
    </w:p>
    <w:p w14:paraId="145F2792" w14:textId="0A4A7AA4"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 xml:space="preserve">NAP2020 ir izveidots, lai plānotu </w:t>
      </w:r>
      <w:r w:rsidRPr="00677143">
        <w:rPr>
          <w:rFonts w:ascii="Cambria" w:eastAsia="MS Mincho" w:hAnsi="Cambria" w:cs="Times New Roman"/>
          <w:b/>
          <w:lang w:val="lv-LV"/>
        </w:rPr>
        <w:t>attīstības budžetu</w:t>
      </w:r>
      <w:r w:rsidRPr="00677143">
        <w:rPr>
          <w:rFonts w:ascii="Cambria" w:eastAsia="MS Mincho" w:hAnsi="Cambria" w:cs="Times New Roman"/>
          <w:lang w:val="lv-LV"/>
        </w:rPr>
        <w:t>. Attīstības budžets ir papildus finansējums (jeb papildus fiskālā telpa), kas ir pieejams 2014.–2020. gada periodam, un 2012. gadā Finanš</w:t>
      </w:r>
      <w:r w:rsidR="003B541F">
        <w:rPr>
          <w:rFonts w:ascii="Cambria" w:eastAsia="MS Mincho" w:hAnsi="Cambria" w:cs="Times New Roman"/>
          <w:lang w:val="lv-LV"/>
        </w:rPr>
        <w:t>u ministrija to prognozējusi 1mljr</w:t>
      </w:r>
      <w:r w:rsidR="005E2985">
        <w:rPr>
          <w:rFonts w:ascii="Cambria" w:eastAsia="MS Mincho" w:hAnsi="Cambria" w:cs="Times New Roman"/>
          <w:lang w:val="lv-LV"/>
        </w:rPr>
        <w:t>d</w:t>
      </w:r>
      <w:r w:rsidRPr="00677143">
        <w:rPr>
          <w:rFonts w:ascii="Cambria" w:eastAsia="MS Mincho" w:hAnsi="Cambria" w:cs="Times New Roman"/>
          <w:lang w:val="lv-LV"/>
        </w:rPr>
        <w:t xml:space="preserve"> </w:t>
      </w:r>
      <w:r w:rsidRPr="00677143">
        <w:rPr>
          <w:rFonts w:ascii="Cambria" w:eastAsia="MS Mincho" w:hAnsi="Cambria" w:cs="Times New Roman"/>
          <w:i/>
          <w:lang w:val="lv-LV"/>
        </w:rPr>
        <w:t>euro</w:t>
      </w:r>
      <w:r w:rsidRPr="00677143">
        <w:rPr>
          <w:rFonts w:ascii="Cambria" w:eastAsia="MS Mincho" w:hAnsi="Cambria" w:cs="Times New Roman"/>
          <w:lang w:val="lv-LV"/>
        </w:rPr>
        <w:t xml:space="preserve"> apmērā no Valsts budžeta. Valsts budžeta ieguldījumi attīstībā nav tikai budžeta izdevumi, bet arī ierobežojumi budžeta ieņēmumos, ko rada, piemēram, nodokļu atvieglojumi. </w:t>
      </w:r>
      <w:r w:rsidR="00176CA4">
        <w:rPr>
          <w:rFonts w:ascii="Cambria" w:eastAsia="MS Mincho" w:hAnsi="Cambria" w:cs="Times New Roman"/>
          <w:lang w:val="lv-LV"/>
        </w:rPr>
        <w:t>A</w:t>
      </w:r>
      <w:r w:rsidRPr="00677143">
        <w:rPr>
          <w:rFonts w:ascii="Cambria" w:eastAsia="MS Mincho" w:hAnsi="Cambria" w:cs="Times New Roman"/>
          <w:lang w:val="lv-LV"/>
        </w:rPr>
        <w:t>rī daļa līdzekļu neparedzētajiem gadījumiem un Saeimas budžeta lēmumi ir attiecināti uz ieguldījumiem NAP2020 mērķu sasniegšanai.</w:t>
      </w:r>
    </w:p>
    <w:p w14:paraId="217DD519" w14:textId="5AAD17E6"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Citi finanšu avoti, kurus iegulda, bet kuri nav iekļauti ierobežotajā fiskālajā telpā, ir pašvaldību līdzekļi, citi ārvalstu finanšu un privātā sektora avoti</w:t>
      </w:r>
      <w:r w:rsidR="005E2985">
        <w:rPr>
          <w:rFonts w:ascii="Cambria" w:eastAsia="MS Mincho" w:hAnsi="Cambria" w:cs="Times New Roman"/>
          <w:lang w:val="lv-LV"/>
        </w:rPr>
        <w:t xml:space="preserve"> kā līdzfinansējums publiskajiem resursiem NAP2020 mērķu sasniegšanā</w:t>
      </w:r>
      <w:r w:rsidRPr="00677143">
        <w:rPr>
          <w:rFonts w:ascii="Cambria" w:eastAsia="MS Mincho" w:hAnsi="Cambria" w:cs="Times New Roman"/>
          <w:lang w:val="lv-LV"/>
        </w:rPr>
        <w:t xml:space="preserve">. </w:t>
      </w:r>
    </w:p>
    <w:p w14:paraId="7364D760" w14:textId="664F8B31"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Saeim</w:t>
      </w:r>
      <w:r w:rsidR="00F745F5">
        <w:rPr>
          <w:rFonts w:ascii="Cambria" w:eastAsia="MS Mincho" w:hAnsi="Cambria" w:cs="Times New Roman"/>
          <w:lang w:val="lv-LV"/>
        </w:rPr>
        <w:t>ā</w:t>
      </w:r>
      <w:r w:rsidRPr="00677143">
        <w:rPr>
          <w:rFonts w:ascii="Cambria" w:eastAsia="MS Mincho" w:hAnsi="Cambria" w:cs="Times New Roman"/>
          <w:lang w:val="lv-LV"/>
        </w:rPr>
        <w:t xml:space="preserve"> </w:t>
      </w:r>
      <w:r w:rsidR="00F745F5" w:rsidRPr="00677143">
        <w:rPr>
          <w:rFonts w:ascii="Cambria" w:eastAsia="MS Mincho" w:hAnsi="Cambria" w:cs="Times New Roman"/>
          <w:lang w:val="lv-LV"/>
        </w:rPr>
        <w:t xml:space="preserve">2012. gada decembrī </w:t>
      </w:r>
      <w:r w:rsidRPr="00677143">
        <w:rPr>
          <w:rFonts w:ascii="Cambria" w:eastAsia="MS Mincho" w:hAnsi="Cambria" w:cs="Times New Roman"/>
          <w:lang w:val="lv-LV"/>
        </w:rPr>
        <w:t xml:space="preserve">apstiprinātajā NAP2020 </w:t>
      </w:r>
      <w:r w:rsidR="00F745F5">
        <w:rPr>
          <w:rFonts w:ascii="Cambria" w:eastAsia="MS Mincho" w:hAnsi="Cambria" w:cs="Times New Roman"/>
          <w:lang w:val="lv-LV"/>
        </w:rPr>
        <w:t>iekļauti</w:t>
      </w:r>
      <w:r w:rsidRPr="00677143">
        <w:rPr>
          <w:rFonts w:ascii="Cambria" w:eastAsia="MS Mincho" w:hAnsi="Cambria" w:cs="Times New Roman"/>
          <w:lang w:val="lv-LV"/>
        </w:rPr>
        <w:t xml:space="preserve"> divpadsmit </w:t>
      </w:r>
      <w:r w:rsidR="00176CA4">
        <w:rPr>
          <w:rFonts w:ascii="Cambria" w:eastAsia="MS Mincho" w:hAnsi="Cambria" w:cs="Times New Roman"/>
          <w:lang w:val="lv-LV"/>
        </w:rPr>
        <w:t>skaitļi</w:t>
      </w:r>
      <w:r w:rsidR="00176CA4" w:rsidRPr="00677143">
        <w:rPr>
          <w:rFonts w:ascii="Cambria" w:eastAsia="MS Mincho" w:hAnsi="Cambria" w:cs="Times New Roman"/>
          <w:lang w:val="lv-LV"/>
        </w:rPr>
        <w:t xml:space="preserve"> </w:t>
      </w:r>
      <w:r w:rsidRPr="00677143">
        <w:rPr>
          <w:rFonts w:ascii="Cambria" w:eastAsia="MS Mincho" w:hAnsi="Cambria" w:cs="Times New Roman"/>
          <w:lang w:val="lv-LV"/>
        </w:rPr>
        <w:t xml:space="preserve">– kopējais finansējums katram no divpadsmit NAP2020 rīcības virzieniem. </w:t>
      </w:r>
      <w:r w:rsidRPr="00677143">
        <w:rPr>
          <w:rFonts w:ascii="Cambria" w:eastAsia="MS Mincho" w:hAnsi="Cambria" w:cs="Times New Roman"/>
          <w:color w:val="000000"/>
          <w:lang w:val="lv-LV"/>
        </w:rPr>
        <w:t>Kad trīs NAP2020 prioritāšu plānošanas darba grupas 2012. gadā vienoj</w:t>
      </w:r>
      <w:r w:rsidR="00F745F5">
        <w:rPr>
          <w:rFonts w:ascii="Cambria" w:eastAsia="MS Mincho" w:hAnsi="Cambria" w:cs="Times New Roman"/>
          <w:color w:val="000000"/>
          <w:lang w:val="lv-LV"/>
        </w:rPr>
        <w:t>ušā</w:t>
      </w:r>
      <w:r w:rsidRPr="00677143">
        <w:rPr>
          <w:rFonts w:ascii="Cambria" w:eastAsia="MS Mincho" w:hAnsi="Cambria" w:cs="Times New Roman"/>
          <w:color w:val="000000"/>
          <w:lang w:val="lv-LV"/>
        </w:rPr>
        <w:t xml:space="preserve">s par attīstības plāna rīcības virzieniem, to sasniedzamajiem rezultātiem un uzdevumiem, ministrijas un citas valsts institūcijas </w:t>
      </w:r>
      <w:r w:rsidRPr="00677143">
        <w:rPr>
          <w:rFonts w:ascii="Cambria" w:eastAsia="MS Mincho" w:hAnsi="Cambria" w:cs="Times New Roman"/>
          <w:lang w:val="lv-LV"/>
        </w:rPr>
        <w:t>sniedza priekšlikumus darbībām uzdevumu izpildei un rezultātu sasniegšanai. Darbības fiksētas kā indikatīvas, jo plānošanas dokumenti, kas pierādītu darbību lietderību nebija vēl izstrādāti. Institūciju priekšlikumi, kas tika apkopoti tā sauktajā ”indikatīvajā darbību tabulā</w:t>
      </w:r>
      <w:r w:rsidRPr="00677143">
        <w:rPr>
          <w:rFonts w:ascii="Cambria" w:eastAsia="MS Mincho" w:hAnsi="Cambria" w:cs="Times New Roman"/>
          <w:vertAlign w:val="superscript"/>
          <w:lang w:val="lv-LV"/>
        </w:rPr>
        <w:footnoteReference w:id="8"/>
      </w:r>
      <w:r w:rsidRPr="00677143">
        <w:rPr>
          <w:rFonts w:ascii="Cambria" w:eastAsia="MS Mincho" w:hAnsi="Cambria" w:cs="Times New Roman"/>
          <w:lang w:val="lv-LV"/>
        </w:rPr>
        <w:t xml:space="preserve">”, četras reizes pārsniedza pieejamo fiskālo telpu, tāpēc NAP2020 veidotāji izšķīrās par efektīvākajām darbībām, kā arī samazināja pieteiktās finansējuma summas. 2013. gada janvārī </w:t>
      </w:r>
      <w:r w:rsidR="005B7043">
        <w:rPr>
          <w:rFonts w:ascii="Cambria" w:eastAsia="MS Mincho" w:hAnsi="Cambria" w:cs="Times New Roman"/>
          <w:lang w:val="lv-LV"/>
        </w:rPr>
        <w:t>M</w:t>
      </w:r>
      <w:r w:rsidRPr="00677143">
        <w:rPr>
          <w:rFonts w:ascii="Cambria" w:eastAsia="MS Mincho" w:hAnsi="Cambria" w:cs="Times New Roman"/>
          <w:lang w:val="lv-LV"/>
        </w:rPr>
        <w:t xml:space="preserve">inistru prezidents Valdis Dombrovskis uzdeva ministrijām plānot jaunās politikas iniciatīvas un programmēt ES </w:t>
      </w:r>
      <w:r w:rsidRPr="00677143">
        <w:rPr>
          <w:rFonts w:ascii="Cambria" w:eastAsia="MS Mincho" w:hAnsi="Cambria" w:cs="Times New Roman"/>
          <w:lang w:val="lv-LV"/>
        </w:rPr>
        <w:lastRenderedPageBreak/>
        <w:t>fondus, atbilstoši “indikatīvajai finansējuma tabulai”, ar to saprotot, ka gadījumā, ja politikas veidošanas gaitā atklājas darbības, kuras labāk sasniedz paredzētos rezultātus, valdība fiskālās telpas ietvaros izšķiras par efektīvākajām aktivitātēm, kas īstenojamas līdz 2020. gadam vai kamēr mērķi netiek sasniegti.</w:t>
      </w:r>
    </w:p>
    <w:p w14:paraId="7EA78006" w14:textId="7777777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 xml:space="preserve">Slēgtās fiskālās telpas apstākļos nepārtraukti jāveic izšķiršanās starp dažādām darbībām, lai sasniegtu nacionālos attīstības mērķus. Skats uz mērķi dod lēmumu pieņēmējiem iespējas izsvērt dažādas rīcības, priekšroku dodot labākajam risinājumam.  Protams, stratēģiski plānojot resursus mērķu sasniegšanai, ministriju vadītāji arī pārvirza budžeta bāzes izdevumus attīstības mērķu sasniegšanai. Tās uzskatāmas par strukturālām reformām, kuras NAP2020 ieguldījumu analīzē netiek iekļautas. </w:t>
      </w:r>
    </w:p>
    <w:p w14:paraId="7AE753A6" w14:textId="779F1FB0"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 xml:space="preserve">Rīcībpolitikas un budžeta sasaiste caur NAP2020 sniedz iespēju vienoties par horizontālajām politikām, kuru mērķu sasniegšanu nevar nodrošināt tikai viena ministrija vien. Piemēram, remigrācijas politikas īstenošanai 2013. gada valsts budžeta veidošanas procesā vairākas ministrijas pieprasīja un saņēma finansējumu Ekonomikas ministrijas izstrādātā </w:t>
      </w:r>
      <w:r w:rsidR="005B7043">
        <w:rPr>
          <w:rFonts w:ascii="Cambria" w:eastAsia="MS Mincho" w:hAnsi="Cambria" w:cs="Times New Roman"/>
          <w:lang w:val="lv-LV"/>
        </w:rPr>
        <w:t>R</w:t>
      </w:r>
      <w:r w:rsidRPr="00677143">
        <w:rPr>
          <w:rFonts w:ascii="Cambria" w:eastAsia="MS Mincho" w:hAnsi="Cambria" w:cs="Times New Roman"/>
          <w:lang w:val="lv-LV"/>
        </w:rPr>
        <w:t xml:space="preserve">emigrācijas politikas plāna īstenošanai. Jau 2014. gadā tika pilnveidota kārtība, lai politiku koordinējošā ministrija varētu iesniegt horizontālus budžeta pieprasījumus vairāku ministriju darbību īstenošanai.  Šādi valsts procesi veicina sinerģiju un politikas saskaņotību, kuru būtisko nozīmi uzsver </w:t>
      </w:r>
      <w:r w:rsidR="005B7043">
        <w:rPr>
          <w:rFonts w:ascii="Cambria" w:eastAsia="MS Mincho" w:hAnsi="Cambria" w:cs="Times New Roman"/>
          <w:lang w:val="lv-LV"/>
        </w:rPr>
        <w:t xml:space="preserve">arī </w:t>
      </w:r>
      <w:r w:rsidRPr="00677143">
        <w:rPr>
          <w:rFonts w:ascii="Cambria" w:eastAsia="MS Mincho" w:hAnsi="Cambria" w:cs="Times New Roman"/>
          <w:lang w:val="lv-LV"/>
        </w:rPr>
        <w:t>OECD.</w:t>
      </w:r>
    </w:p>
    <w:p w14:paraId="1780EFAF" w14:textId="676BD047" w:rsidR="00677143" w:rsidRPr="00677143" w:rsidRDefault="00677143" w:rsidP="00677143">
      <w:pPr>
        <w:rPr>
          <w:rFonts w:ascii="Cambria" w:eastAsia="MS Mincho" w:hAnsi="Cambria" w:cs="Times New Roman"/>
          <w:lang w:val="lv-LV"/>
        </w:rPr>
      </w:pPr>
      <w:r w:rsidRPr="00677143">
        <w:rPr>
          <w:rFonts w:ascii="Cambria" w:eastAsia="MS Mincho" w:hAnsi="Cambria" w:cs="Times New Roman"/>
          <w:lang w:val="lv-LV"/>
        </w:rPr>
        <w:t xml:space="preserve">Budžeta veidošanas procesam </w:t>
      </w:r>
      <w:r w:rsidR="005B7043">
        <w:rPr>
          <w:rFonts w:ascii="Cambria" w:eastAsia="MS Mincho" w:hAnsi="Cambria" w:cs="Times New Roman"/>
          <w:lang w:val="lv-LV"/>
        </w:rPr>
        <w:t>FM</w:t>
      </w:r>
      <w:r w:rsidRPr="00677143">
        <w:rPr>
          <w:rFonts w:ascii="Cambria" w:eastAsia="MS Mincho" w:hAnsi="Cambria" w:cs="Times New Roman"/>
          <w:lang w:val="lv-LV"/>
        </w:rPr>
        <w:t xml:space="preserve"> ik gadu izstrādā noteikumus un nosaka budžeta pieņemšanas grafiku. Ministrijas zināmā datumā iesniedz savus budžeta pieteikumus, </w:t>
      </w:r>
      <w:r w:rsidR="00ED2CFC">
        <w:rPr>
          <w:rFonts w:ascii="Cambria" w:eastAsia="MS Mincho" w:hAnsi="Cambria" w:cs="Times New Roman"/>
          <w:lang w:val="lv-LV"/>
        </w:rPr>
        <w:t>FM</w:t>
      </w:r>
      <w:r w:rsidRPr="00677143">
        <w:rPr>
          <w:rFonts w:ascii="Cambria" w:eastAsia="MS Mincho" w:hAnsi="Cambria" w:cs="Times New Roman"/>
          <w:lang w:val="lv-LV"/>
        </w:rPr>
        <w:t xml:space="preserve"> tos vērtē visā pilnībā, savukārt </w:t>
      </w:r>
      <w:r w:rsidR="00ED2CFC">
        <w:rPr>
          <w:rFonts w:ascii="Cambria" w:eastAsia="MS Mincho" w:hAnsi="Cambria" w:cs="Times New Roman"/>
          <w:lang w:val="lv-LV"/>
        </w:rPr>
        <w:t>PKC</w:t>
      </w:r>
      <w:r w:rsidRPr="00677143">
        <w:rPr>
          <w:rFonts w:ascii="Cambria" w:eastAsia="MS Mincho" w:hAnsi="Cambria" w:cs="Times New Roman"/>
          <w:lang w:val="lv-LV"/>
        </w:rPr>
        <w:t xml:space="preserve"> izvērtē atsevišķu pieteikumu atbilstību NAP2020, Valsts aizsardzības koncepcijai, valdības rīcības plānam, valdības deklarācijai un citiem plānošanas dokumentiem. Pēc jauno politikas iniciatīvu izvērtēšanas </w:t>
      </w:r>
      <w:r w:rsidR="00ED2CFC">
        <w:rPr>
          <w:rFonts w:ascii="Cambria" w:eastAsia="MS Mincho" w:hAnsi="Cambria" w:cs="Times New Roman"/>
          <w:lang w:val="lv-LV"/>
        </w:rPr>
        <w:t>FM</w:t>
      </w:r>
      <w:r w:rsidRPr="00677143">
        <w:rPr>
          <w:rFonts w:ascii="Cambria" w:eastAsia="MS Mincho" w:hAnsi="Cambria" w:cs="Times New Roman"/>
          <w:lang w:val="lv-LV"/>
        </w:rPr>
        <w:t xml:space="preserve"> apkopo rezultātus un iesniedz </w:t>
      </w:r>
      <w:r w:rsidR="00ED2CFC">
        <w:rPr>
          <w:rFonts w:ascii="Cambria" w:eastAsia="MS Mincho" w:hAnsi="Cambria" w:cs="Times New Roman"/>
          <w:lang w:val="lv-LV"/>
        </w:rPr>
        <w:t>MK</w:t>
      </w:r>
      <w:r w:rsidRPr="00677143">
        <w:rPr>
          <w:rFonts w:ascii="Cambria" w:eastAsia="MS Mincho" w:hAnsi="Cambria" w:cs="Times New Roman"/>
          <w:lang w:val="lv-LV"/>
        </w:rPr>
        <w:t xml:space="preserve"> informatīvo ziņojumu, kurā norāda visas iesniegtās jaunās politikas iniciatīvas prioritārā secībā atbilstoši vērtēšanas kritērijiem. Pamatojoties uz informatīvajā ziņojumā sniegto informāciju, </w:t>
      </w:r>
      <w:r w:rsidR="00ED2CFC">
        <w:rPr>
          <w:rFonts w:ascii="Cambria" w:eastAsia="MS Mincho" w:hAnsi="Cambria" w:cs="Times New Roman"/>
          <w:lang w:val="lv-LV"/>
        </w:rPr>
        <w:t>MK</w:t>
      </w:r>
      <w:r w:rsidRPr="00677143">
        <w:rPr>
          <w:rFonts w:ascii="Cambria" w:eastAsia="MS Mincho" w:hAnsi="Cambria" w:cs="Times New Roman"/>
          <w:lang w:val="lv-LV"/>
        </w:rPr>
        <w:t xml:space="preserve"> uzsāk politiskās diskusijas par atbalstāmām jaunām politikas iniciatīvām atbilstoši valsts budžeta iespējām. Ja </w:t>
      </w:r>
      <w:r w:rsidR="00ED2CFC">
        <w:rPr>
          <w:rFonts w:ascii="Cambria" w:eastAsia="MS Mincho" w:hAnsi="Cambria" w:cs="Times New Roman"/>
          <w:lang w:val="lv-LV"/>
        </w:rPr>
        <w:t>MK</w:t>
      </w:r>
      <w:r w:rsidRPr="00677143">
        <w:rPr>
          <w:rFonts w:ascii="Cambria" w:eastAsia="MS Mincho" w:hAnsi="Cambria" w:cs="Times New Roman"/>
          <w:lang w:val="lv-LV"/>
        </w:rPr>
        <w:t xml:space="preserve"> ir pieņemts lēmums par jaunu politikas iniciatīvu atbalstīšanu, tad papildus valsts budžeta bāzes izdevumiem ieplāno finanšu līdzekļus valsts attīstības izdevumiem. </w:t>
      </w:r>
      <w:r w:rsidR="00ED2CFC">
        <w:rPr>
          <w:rFonts w:ascii="Cambria" w:eastAsia="MS Mincho" w:hAnsi="Cambria" w:cs="Times New Roman"/>
          <w:lang w:val="lv-LV"/>
        </w:rPr>
        <w:t>MK</w:t>
      </w:r>
      <w:r w:rsidRPr="00677143">
        <w:rPr>
          <w:rFonts w:ascii="Cambria" w:eastAsia="MS Mincho" w:hAnsi="Cambria" w:cs="Times New Roman"/>
          <w:lang w:val="lv-LV"/>
        </w:rPr>
        <w:t xml:space="preserve"> ir pienākums koleģiāli pieņemt lēmumus, ņemot vērā arī citus faktorus.  </w:t>
      </w:r>
      <w:r w:rsidR="00ED2CFC">
        <w:rPr>
          <w:rFonts w:ascii="Cambria" w:eastAsia="MS Mincho" w:hAnsi="Cambria" w:cs="Times New Roman"/>
          <w:lang w:val="lv-LV"/>
        </w:rPr>
        <w:t>MK</w:t>
      </w:r>
      <w:r w:rsidRPr="00677143">
        <w:rPr>
          <w:rFonts w:ascii="Cambria" w:eastAsia="MS Mincho" w:hAnsi="Cambria" w:cs="Times New Roman"/>
          <w:lang w:val="lv-LV"/>
        </w:rPr>
        <w:t xml:space="preserve"> apstiprina vispārējo valdības budžeta plānu un iesniedz Saeimā budžeta likumprojektu paketi, ietverot tajā jaunās politikas iniciatīvas. Saeima pieņem vidēja termiņa budžeta ietvara likumu (to apstiprina katru gadu nākamo triju gadu periodam), kurā iekļauti arī līdzekļi valsts attīstības izdevumiem.</w:t>
      </w:r>
    </w:p>
    <w:p w14:paraId="703D3A4C" w14:textId="77777777" w:rsidR="00ED2CFC" w:rsidRPr="00677143" w:rsidRDefault="00677143" w:rsidP="00ED2CFC">
      <w:pPr>
        <w:rPr>
          <w:rFonts w:ascii="Cambria" w:eastAsia="MS Mincho" w:hAnsi="Cambria" w:cs="Times New Roman"/>
          <w:lang w:val="lv-LV"/>
        </w:rPr>
      </w:pPr>
      <w:r w:rsidRPr="00677143">
        <w:rPr>
          <w:rFonts w:ascii="Cambria" w:eastAsia="MS Mincho" w:hAnsi="Cambria" w:cs="Times New Roman"/>
          <w:lang w:val="lv-LV"/>
        </w:rPr>
        <w:t>Pieredze ar budžeta veidošanas procesu četru gadu garumā rāda, ka uzmanība ieguldījumiem NAP2020 mērķu sasniegšanā no gada uz gadu vairāku iemeslu dēļ mainījusies. Tāpat jāatzīmē, ka NAP2020 izstrādes un darbības laikā ir notikuši vairāki būtiski grozījumi normatīvajos aktos attiecībā uz budžeta pieteikumu (jauno politikas iniciatīvu (JPI) jeb prioritāro pasākumu) izskatīšanas procesu</w:t>
      </w:r>
      <w:r w:rsidR="00ED2CFC">
        <w:rPr>
          <w:rFonts w:ascii="Cambria" w:eastAsia="MS Mincho" w:hAnsi="Cambria" w:cs="Times New Roman"/>
          <w:lang w:val="lv-LV"/>
        </w:rPr>
        <w:t>, kā rezultātā, budžeta veidošanas process kļuvis vairāk politisks – iepriekš sagatavotajiem valsts attīstības budžeta pieprasījumiem vairs nav izšķirošā nozīmē lēmumu pieņemšanas procesā</w:t>
      </w:r>
      <w:r w:rsidR="00ED2CFC" w:rsidRPr="00677143">
        <w:rPr>
          <w:rFonts w:ascii="Cambria" w:eastAsia="MS Mincho" w:hAnsi="Cambria" w:cs="Times New Roman"/>
          <w:lang w:val="lv-LV"/>
        </w:rPr>
        <w:t>.</w:t>
      </w:r>
    </w:p>
    <w:p w14:paraId="5154590F" w14:textId="77F27A61" w:rsidR="00EF3D80" w:rsidRDefault="00EF3D80">
      <w:pPr>
        <w:spacing w:before="0" w:after="0"/>
        <w:jc w:val="left"/>
        <w:rPr>
          <w:rFonts w:ascii="Cambria" w:eastAsia="MS Mincho" w:hAnsi="Cambria" w:cs="Times New Roman"/>
          <w:b/>
          <w:color w:val="253356"/>
          <w:lang w:val="lv-LV"/>
        </w:rPr>
      </w:pPr>
    </w:p>
    <w:p w14:paraId="3537C296" w14:textId="5349CD43" w:rsidR="00677143" w:rsidRPr="00677143" w:rsidRDefault="00677143" w:rsidP="00677143">
      <w:pPr>
        <w:spacing w:before="240"/>
        <w:rPr>
          <w:rFonts w:ascii="Cambria" w:eastAsia="MS Mincho" w:hAnsi="Cambria" w:cs="Times New Roman"/>
          <w:b/>
          <w:color w:val="253356"/>
          <w:lang w:val="lv-LV"/>
        </w:rPr>
      </w:pPr>
      <w:r w:rsidRPr="00677143">
        <w:rPr>
          <w:rFonts w:ascii="Cambria" w:eastAsia="MS Mincho" w:hAnsi="Cambria" w:cs="Times New Roman"/>
          <w:b/>
          <w:color w:val="253356"/>
          <w:lang w:val="lv-LV"/>
        </w:rPr>
        <w:t>1. tabula. Valsts budžeta veidošanas procesa sasaiste ar NAP2020 2013.–2017. gadā.</w:t>
      </w:r>
    </w:p>
    <w:tbl>
      <w:tblPr>
        <w:tblStyle w:val="GridTable1Light-Accent11"/>
        <w:tblW w:w="0" w:type="auto"/>
        <w:tblLayout w:type="fixed"/>
        <w:tblLook w:val="0480" w:firstRow="0" w:lastRow="0" w:firstColumn="1" w:lastColumn="0" w:noHBand="0" w:noVBand="1"/>
      </w:tblPr>
      <w:tblGrid>
        <w:gridCol w:w="1384"/>
        <w:gridCol w:w="7138"/>
      </w:tblGrid>
      <w:tr w:rsidR="00677143" w:rsidRPr="00A05830" w14:paraId="19781891" w14:textId="77777777" w:rsidTr="007E6882">
        <w:tc>
          <w:tcPr>
            <w:cnfStyle w:val="001000000000" w:firstRow="0" w:lastRow="0" w:firstColumn="1" w:lastColumn="0" w:oddVBand="0" w:evenVBand="0" w:oddHBand="0" w:evenHBand="0" w:firstRowFirstColumn="0" w:firstRowLastColumn="0" w:lastRowFirstColumn="0" w:lastRowLastColumn="0"/>
            <w:tcW w:w="1384" w:type="dxa"/>
          </w:tcPr>
          <w:p w14:paraId="3730BA8D" w14:textId="77777777" w:rsidR="00677143" w:rsidRPr="00677143" w:rsidRDefault="00677143" w:rsidP="00EB0BD3">
            <w:pPr>
              <w:spacing w:before="60"/>
              <w:jc w:val="left"/>
              <w:rPr>
                <w:rFonts w:ascii="Cambria" w:hAnsi="Cambria" w:cs="Times New Roman"/>
                <w:sz w:val="16"/>
                <w:lang w:val="lv-LV"/>
              </w:rPr>
            </w:pPr>
            <w:r w:rsidRPr="00677143">
              <w:rPr>
                <w:rFonts w:ascii="Cambria" w:hAnsi="Cambria" w:cs="Times New Roman"/>
                <w:sz w:val="16"/>
                <w:lang w:val="lv-LV"/>
              </w:rPr>
              <w:t xml:space="preserve">2013.gads </w:t>
            </w:r>
          </w:p>
          <w:p w14:paraId="637186B1" w14:textId="77777777" w:rsidR="00677143" w:rsidRPr="00677143" w:rsidRDefault="00677143" w:rsidP="00EB0BD3">
            <w:pPr>
              <w:spacing w:before="60"/>
              <w:jc w:val="left"/>
              <w:rPr>
                <w:rFonts w:ascii="Cambria" w:hAnsi="Cambria" w:cs="Times New Roman"/>
                <w:sz w:val="16"/>
                <w:lang w:val="lv-LV"/>
              </w:rPr>
            </w:pPr>
            <w:r w:rsidRPr="00677143">
              <w:rPr>
                <w:rFonts w:ascii="Cambria" w:hAnsi="Cambria" w:cs="Times New Roman"/>
                <w:sz w:val="16"/>
                <w:lang w:val="lv-LV"/>
              </w:rPr>
              <w:t>JPI 2014.-2016. gadam</w:t>
            </w:r>
          </w:p>
        </w:tc>
        <w:tc>
          <w:tcPr>
            <w:tcW w:w="7138" w:type="dxa"/>
          </w:tcPr>
          <w:p w14:paraId="15491B7B"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b/>
                <w:sz w:val="16"/>
                <w:lang w:val="lv-LV"/>
              </w:rPr>
            </w:pPr>
            <w:r w:rsidRPr="00677143">
              <w:rPr>
                <w:rFonts w:ascii="Cambria" w:hAnsi="Cambria" w:cs="Times New Roman"/>
                <w:sz w:val="16"/>
                <w:lang w:val="lv-LV"/>
              </w:rPr>
              <w:t xml:space="preserve">Ministrijas plāno noteiktu īpatsvaru no pieprasījumiem atbilstoši attīstības plānošanas vajadzībām. Lielākā daļa no MK apstiprinātajiem pieprasījumiem vērsti precīzi uz NAP2020 ”indikatīvajā darbību tabulā” iekļautajām darbībām, kuras pamatotas ar nozaru attīstības plānošanas dokumentiem.  </w:t>
            </w:r>
          </w:p>
          <w:p w14:paraId="30AFF5BB"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b/>
                <w:sz w:val="16"/>
                <w:lang w:val="lv-LV"/>
              </w:rPr>
            </w:pPr>
            <w:r w:rsidRPr="00677143">
              <w:rPr>
                <w:rFonts w:ascii="Cambria" w:hAnsi="Cambria" w:cs="Times New Roman"/>
                <w:sz w:val="16"/>
                <w:lang w:val="lv-LV"/>
              </w:rPr>
              <w:t xml:space="preserve">Ministru kabinets arī apstiprina atsevišķas </w:t>
            </w:r>
            <w:r w:rsidRPr="00677143">
              <w:rPr>
                <w:rFonts w:ascii="Cambria" w:hAnsi="Cambria" w:cs="Times New Roman"/>
                <w:sz w:val="16"/>
                <w:u w:val="single"/>
                <w:lang w:val="lv-LV"/>
              </w:rPr>
              <w:t>jaunas darbības</w:t>
            </w:r>
            <w:r w:rsidRPr="00677143">
              <w:rPr>
                <w:rFonts w:ascii="Cambria" w:hAnsi="Cambria" w:cs="Times New Roman"/>
                <w:sz w:val="16"/>
                <w:lang w:val="lv-LV"/>
              </w:rPr>
              <w:t xml:space="preserve">, kuras labāk nekā indikatīvajā tabulā paredzētās, ir vērstas uz rezultātu sasniegšanu, piemēram: </w:t>
            </w:r>
          </w:p>
          <w:p w14:paraId="6972DBAD"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b/>
                <w:sz w:val="16"/>
                <w:lang w:val="lv-LV"/>
              </w:rPr>
            </w:pPr>
            <w:r w:rsidRPr="00677143">
              <w:rPr>
                <w:rFonts w:ascii="Cambria" w:hAnsi="Cambria" w:cs="Times New Roman"/>
                <w:sz w:val="16"/>
                <w:lang w:val="lv-LV"/>
              </w:rPr>
              <w:t xml:space="preserve">1) izveidots Elektroenerģijas ražošanas atbalsta fonds (EAF) konkurētspējīgas elektroenerģijas </w:t>
            </w:r>
            <w:r w:rsidRPr="00677143">
              <w:rPr>
                <w:rFonts w:ascii="Cambria" w:hAnsi="Cambria" w:cs="Times New Roman"/>
                <w:sz w:val="16"/>
                <w:lang w:val="lv-LV"/>
              </w:rPr>
              <w:lastRenderedPageBreak/>
              <w:t xml:space="preserve">kopējās cenas nodrošināšanai (rīcības virziens “Energoefektivitāte un enerģijas ražošana”), </w:t>
            </w:r>
          </w:p>
          <w:p w14:paraId="76626665"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b/>
                <w:sz w:val="16"/>
                <w:lang w:val="lv-LV"/>
              </w:rPr>
            </w:pPr>
            <w:r w:rsidRPr="00677143">
              <w:rPr>
                <w:rFonts w:ascii="Cambria" w:hAnsi="Cambria" w:cs="Times New Roman"/>
                <w:sz w:val="16"/>
                <w:lang w:val="lv-LV"/>
              </w:rPr>
              <w:t xml:space="preserve">2) lai mazinātu nabadzības risku strādājošiem, paaugstina minimālās mēneša darba algas (rīcības virziens “Cienīgs darbs”), </w:t>
            </w:r>
          </w:p>
          <w:p w14:paraId="37FF15C5"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b/>
                <w:sz w:val="16"/>
                <w:lang w:val="lv-LV"/>
              </w:rPr>
            </w:pPr>
            <w:r w:rsidRPr="00677143">
              <w:rPr>
                <w:rFonts w:ascii="Cambria" w:hAnsi="Cambria" w:cs="Times New Roman"/>
                <w:sz w:val="16"/>
                <w:lang w:val="lv-LV"/>
              </w:rPr>
              <w:t xml:space="preserve">3) nodarbinātības veicināšanai nodrošina asistenta pakalpojumus personām ar invaliditāti pašvaldībās. </w:t>
            </w:r>
          </w:p>
          <w:p w14:paraId="4FF301C1"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b/>
                <w:sz w:val="16"/>
                <w:lang w:val="lv-LV"/>
              </w:rPr>
            </w:pPr>
            <w:r w:rsidRPr="00677143">
              <w:rPr>
                <w:rFonts w:ascii="Cambria" w:hAnsi="Cambria" w:cs="Times New Roman"/>
                <w:sz w:val="16"/>
                <w:lang w:val="lv-LV"/>
              </w:rPr>
              <w:t xml:space="preserve">Papildus neparedzētas investīcijas NAP2020 īstenošanā rodas nodokļu sistēmā, piemēram, atvieglojumi uzņēmējdarbībai (23,6 mlj </w:t>
            </w:r>
            <w:r w:rsidRPr="00677143">
              <w:rPr>
                <w:rFonts w:ascii="Cambria" w:hAnsi="Cambria" w:cs="Times New Roman"/>
                <w:i/>
                <w:sz w:val="16"/>
                <w:lang w:val="lv-LV"/>
              </w:rPr>
              <w:t>euro</w:t>
            </w:r>
            <w:r w:rsidRPr="00677143">
              <w:rPr>
                <w:rFonts w:ascii="Cambria" w:hAnsi="Cambria" w:cs="Times New Roman"/>
                <w:sz w:val="16"/>
                <w:lang w:val="lv-LV"/>
              </w:rPr>
              <w:t xml:space="preserve"> trīs gadu periodam), negūtie ieņēmumi no iedzīvotāju ienākuma nodokļa likmes samazināšanas (102 mlj </w:t>
            </w:r>
            <w:r w:rsidRPr="00677143">
              <w:rPr>
                <w:rFonts w:ascii="Cambria" w:hAnsi="Cambria" w:cs="Times New Roman"/>
                <w:i/>
                <w:sz w:val="16"/>
                <w:lang w:val="lv-LV"/>
              </w:rPr>
              <w:t>euro</w:t>
            </w:r>
            <w:r w:rsidRPr="00677143">
              <w:rPr>
                <w:rFonts w:ascii="Cambria" w:hAnsi="Cambria" w:cs="Times New Roman"/>
                <w:sz w:val="16"/>
                <w:lang w:val="lv-LV"/>
              </w:rPr>
              <w:t xml:space="preserve">), neapliekamā minimuma palielināšanas (55 mlj </w:t>
            </w:r>
            <w:r w:rsidRPr="00677143">
              <w:rPr>
                <w:rFonts w:ascii="Cambria" w:hAnsi="Cambria" w:cs="Times New Roman"/>
                <w:i/>
                <w:sz w:val="16"/>
                <w:lang w:val="lv-LV"/>
              </w:rPr>
              <w:t>euro</w:t>
            </w:r>
            <w:r w:rsidRPr="00677143">
              <w:rPr>
                <w:rFonts w:ascii="Cambria" w:hAnsi="Cambria" w:cs="Times New Roman"/>
                <w:sz w:val="16"/>
                <w:lang w:val="lv-LV"/>
              </w:rPr>
              <w:t xml:space="preserve">) un atvieglojumiem par apgādībā esošām personām (104 mlj </w:t>
            </w:r>
            <w:r w:rsidRPr="00677143">
              <w:rPr>
                <w:rFonts w:ascii="Cambria" w:hAnsi="Cambria" w:cs="Times New Roman"/>
                <w:i/>
                <w:sz w:val="16"/>
                <w:lang w:val="lv-LV"/>
              </w:rPr>
              <w:t>euro</w:t>
            </w:r>
            <w:r w:rsidRPr="00677143">
              <w:rPr>
                <w:rFonts w:ascii="Cambria" w:hAnsi="Cambria" w:cs="Times New Roman"/>
                <w:sz w:val="16"/>
                <w:lang w:val="lv-LV"/>
              </w:rPr>
              <w:t>).</w:t>
            </w:r>
          </w:p>
          <w:p w14:paraId="38972520"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 xml:space="preserve">NAP2020 mērķiem izmantoti 40,2% no paredzētās fiskālās telpas septiņu gadu periodam. Netiek noturēts ierobežojums fiskālajai telpai, to sāk papildināt ar dažādiem ieņēmumiem. </w:t>
            </w:r>
          </w:p>
        </w:tc>
      </w:tr>
      <w:tr w:rsidR="00677143" w:rsidRPr="00A05830" w14:paraId="0919768E" w14:textId="77777777" w:rsidTr="007E6882">
        <w:tc>
          <w:tcPr>
            <w:cnfStyle w:val="001000000000" w:firstRow="0" w:lastRow="0" w:firstColumn="1" w:lastColumn="0" w:oddVBand="0" w:evenVBand="0" w:oddHBand="0" w:evenHBand="0" w:firstRowFirstColumn="0" w:firstRowLastColumn="0" w:lastRowFirstColumn="0" w:lastRowLastColumn="0"/>
            <w:tcW w:w="1384" w:type="dxa"/>
          </w:tcPr>
          <w:p w14:paraId="2F532148" w14:textId="77777777" w:rsidR="00677143" w:rsidRPr="00677143" w:rsidRDefault="00677143" w:rsidP="00EB0BD3">
            <w:pPr>
              <w:spacing w:before="60"/>
              <w:jc w:val="left"/>
              <w:rPr>
                <w:rFonts w:ascii="Cambria" w:hAnsi="Cambria" w:cs="Times New Roman"/>
                <w:sz w:val="16"/>
                <w:lang w:val="lv-LV"/>
              </w:rPr>
            </w:pPr>
            <w:r w:rsidRPr="00677143">
              <w:rPr>
                <w:rFonts w:ascii="Cambria" w:hAnsi="Cambria" w:cs="Times New Roman"/>
                <w:sz w:val="16"/>
                <w:lang w:val="lv-LV"/>
              </w:rPr>
              <w:lastRenderedPageBreak/>
              <w:t xml:space="preserve">2014.gads </w:t>
            </w:r>
          </w:p>
          <w:p w14:paraId="2330A040" w14:textId="77777777" w:rsidR="00677143" w:rsidRPr="00677143" w:rsidRDefault="00677143" w:rsidP="00EB0BD3">
            <w:pPr>
              <w:spacing w:before="60"/>
              <w:jc w:val="left"/>
              <w:rPr>
                <w:rFonts w:ascii="Cambria" w:hAnsi="Cambria" w:cs="Times New Roman"/>
                <w:sz w:val="16"/>
                <w:lang w:val="lv-LV"/>
              </w:rPr>
            </w:pPr>
            <w:r w:rsidRPr="00677143">
              <w:rPr>
                <w:rFonts w:ascii="Cambria" w:hAnsi="Cambria" w:cs="Times New Roman"/>
                <w:sz w:val="16"/>
                <w:lang w:val="lv-LV"/>
              </w:rPr>
              <w:t>JPI 2015.-2017. gadam</w:t>
            </w:r>
          </w:p>
        </w:tc>
        <w:tc>
          <w:tcPr>
            <w:tcW w:w="7138" w:type="dxa"/>
          </w:tcPr>
          <w:p w14:paraId="1B80699B"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Valdība, redzot, ka NAP2020 mērķiem darbības jau saplānotas pirmajā gadā, sāk vairāk finansēt administratīvos izdevumus. Ministrijas pievērš uzmanību un gatavo JPI arī darbībām, kas ir paredzētas NAP2020, bet kuras ir pārresoriskas, jo no 2014. gada var iesniegt t.sk. horizontālās JPI vai inovatīvas, vai kuru politiku izstrādāšana kavējās, piemēram, sociālās rehabilitācijas nodrošināšana no vardarbības cietušām pilngadīgām personām un vardarbību veikušām personām.</w:t>
            </w:r>
          </w:p>
          <w:p w14:paraId="2860152F"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 xml:space="preserve">Stājas spēkā 2013. gada 31. janvārī pieņemtais Fiskālās disciplīnas likums. </w:t>
            </w:r>
          </w:p>
        </w:tc>
      </w:tr>
      <w:tr w:rsidR="00677143" w:rsidRPr="00A05830" w14:paraId="267F522B" w14:textId="77777777" w:rsidTr="007E6882">
        <w:tc>
          <w:tcPr>
            <w:cnfStyle w:val="001000000000" w:firstRow="0" w:lastRow="0" w:firstColumn="1" w:lastColumn="0" w:oddVBand="0" w:evenVBand="0" w:oddHBand="0" w:evenHBand="0" w:firstRowFirstColumn="0" w:firstRowLastColumn="0" w:lastRowFirstColumn="0" w:lastRowLastColumn="0"/>
            <w:tcW w:w="1384" w:type="dxa"/>
          </w:tcPr>
          <w:p w14:paraId="30E5EE31" w14:textId="77777777" w:rsidR="00677143" w:rsidRPr="00677143" w:rsidRDefault="00677143" w:rsidP="00EB0BD3">
            <w:pPr>
              <w:spacing w:before="60"/>
              <w:jc w:val="left"/>
              <w:rPr>
                <w:rFonts w:ascii="Cambria" w:hAnsi="Cambria" w:cs="Times New Roman"/>
                <w:sz w:val="16"/>
                <w:lang w:val="lv-LV"/>
              </w:rPr>
            </w:pPr>
            <w:r w:rsidRPr="00677143">
              <w:rPr>
                <w:rFonts w:ascii="Cambria" w:hAnsi="Cambria" w:cs="Times New Roman"/>
                <w:sz w:val="16"/>
                <w:lang w:val="lv-LV"/>
              </w:rPr>
              <w:t>2015. gads Neatliekamie pasākumi 2016.-2018. gadam</w:t>
            </w:r>
          </w:p>
        </w:tc>
        <w:tc>
          <w:tcPr>
            <w:tcW w:w="7138" w:type="dxa"/>
          </w:tcPr>
          <w:p w14:paraId="7FEFA803"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Ņemot vērā makroekonomiskās attīstības prognozes un ievērojot sarežģīto ģeopolitisko situāciju, ko radījis Krievijas un Ukrainas konflikts, Ministru kabinets nolemj, ka ministrijas un citas centrālās valsts iestādes negatavo un neiesniedz priekšlikumus jaunajām politikas iniciatīvām, izņemot veselības un izglītības jomu saistībā ar strukturālām reformām, kā arī iekšējās un ārējās drošības politikas jomas.  Ar nelieliem izņēmumiem, pa 3% tiek samazināti bāzes izdevumi pamatfunkciju veikšanai.</w:t>
            </w:r>
          </w:p>
          <w:p w14:paraId="280D6F9B"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 xml:space="preserve">Lielākie izdevumi trīs gadu periodam ir saistīti ar ienākumu nevienlīdzības un nabadzības riska mazināšanu publiskā sektora darbiniekiem un to mājsaimniecībām – atlīdzība iekšlietu sistēmas (78,5 mlj </w:t>
            </w:r>
            <w:r w:rsidRPr="00677143">
              <w:rPr>
                <w:rFonts w:ascii="Cambria" w:hAnsi="Cambria" w:cs="Times New Roman"/>
                <w:i/>
                <w:sz w:val="16"/>
                <w:lang w:val="lv-LV"/>
              </w:rPr>
              <w:t>euro</w:t>
            </w:r>
            <w:r w:rsidRPr="00677143">
              <w:rPr>
                <w:rFonts w:ascii="Cambria" w:hAnsi="Cambria" w:cs="Times New Roman"/>
                <w:sz w:val="16"/>
                <w:lang w:val="lv-LV"/>
              </w:rPr>
              <w:t xml:space="preserve">), veselības aprūpes sistēmas (30 mlj </w:t>
            </w:r>
            <w:r w:rsidRPr="00677143">
              <w:rPr>
                <w:rFonts w:ascii="Cambria" w:hAnsi="Cambria" w:cs="Times New Roman"/>
                <w:i/>
                <w:sz w:val="16"/>
                <w:lang w:val="lv-LV"/>
              </w:rPr>
              <w:t>euro</w:t>
            </w:r>
            <w:r w:rsidRPr="00677143">
              <w:rPr>
                <w:rFonts w:ascii="Cambria" w:hAnsi="Cambria" w:cs="Times New Roman"/>
                <w:sz w:val="16"/>
                <w:lang w:val="lv-LV"/>
              </w:rPr>
              <w:t xml:space="preserve">), Ieslodzījumu vietu pārvaldes (12,2 mlj </w:t>
            </w:r>
            <w:r w:rsidRPr="00677143">
              <w:rPr>
                <w:rFonts w:ascii="Cambria" w:hAnsi="Cambria" w:cs="Times New Roman"/>
                <w:i/>
                <w:sz w:val="16"/>
                <w:lang w:val="lv-LV"/>
              </w:rPr>
              <w:t>euro</w:t>
            </w:r>
            <w:r w:rsidRPr="00677143">
              <w:rPr>
                <w:rFonts w:ascii="Cambria" w:hAnsi="Cambria" w:cs="Times New Roman"/>
                <w:sz w:val="16"/>
                <w:lang w:val="lv-LV"/>
              </w:rPr>
              <w:t xml:space="preserve">) nodarbinātajiem, kā arī minimālās mēneša darba algas paaugstināšanai (9 mlj </w:t>
            </w:r>
            <w:r w:rsidRPr="00677143">
              <w:rPr>
                <w:rFonts w:ascii="Cambria" w:hAnsi="Cambria" w:cs="Times New Roman"/>
                <w:i/>
                <w:sz w:val="16"/>
                <w:lang w:val="lv-LV"/>
              </w:rPr>
              <w:t>euro</w:t>
            </w:r>
            <w:r w:rsidRPr="00677143">
              <w:rPr>
                <w:rFonts w:ascii="Cambria" w:hAnsi="Cambria" w:cs="Times New Roman"/>
                <w:sz w:val="16"/>
                <w:lang w:val="lv-LV"/>
              </w:rPr>
              <w:t xml:space="preserve">) un pedagogu darba samaksas reformai (9 mlj </w:t>
            </w:r>
            <w:r w:rsidRPr="00677143">
              <w:rPr>
                <w:rFonts w:ascii="Cambria" w:hAnsi="Cambria" w:cs="Times New Roman"/>
                <w:i/>
                <w:sz w:val="16"/>
                <w:lang w:val="lv-LV"/>
              </w:rPr>
              <w:t>euro</w:t>
            </w:r>
            <w:r w:rsidRPr="00677143">
              <w:rPr>
                <w:rFonts w:ascii="Cambria" w:hAnsi="Cambria" w:cs="Times New Roman"/>
                <w:sz w:val="16"/>
                <w:lang w:val="lv-LV"/>
              </w:rPr>
              <w:t>).</w:t>
            </w:r>
          </w:p>
        </w:tc>
      </w:tr>
      <w:tr w:rsidR="00677143" w:rsidRPr="00A05830" w14:paraId="18AF1F47" w14:textId="77777777" w:rsidTr="007E6882">
        <w:tc>
          <w:tcPr>
            <w:cnfStyle w:val="001000000000" w:firstRow="0" w:lastRow="0" w:firstColumn="1" w:lastColumn="0" w:oddVBand="0" w:evenVBand="0" w:oddHBand="0" w:evenHBand="0" w:firstRowFirstColumn="0" w:firstRowLastColumn="0" w:lastRowFirstColumn="0" w:lastRowLastColumn="0"/>
            <w:tcW w:w="1384" w:type="dxa"/>
          </w:tcPr>
          <w:p w14:paraId="7D8012AF" w14:textId="77777777" w:rsidR="00677143" w:rsidRPr="00677143" w:rsidRDefault="00677143" w:rsidP="00EB0BD3">
            <w:pPr>
              <w:spacing w:before="60"/>
              <w:jc w:val="left"/>
              <w:rPr>
                <w:rFonts w:ascii="Cambria" w:hAnsi="Cambria" w:cs="Times New Roman"/>
                <w:sz w:val="16"/>
                <w:lang w:val="lv-LV"/>
              </w:rPr>
            </w:pPr>
            <w:r w:rsidRPr="00677143">
              <w:rPr>
                <w:rFonts w:ascii="Cambria" w:hAnsi="Cambria" w:cs="Times New Roman"/>
                <w:sz w:val="16"/>
                <w:lang w:val="lv-LV"/>
              </w:rPr>
              <w:t>2016. gads Netika vērtēti pasākumi 2017.-2019.gadam</w:t>
            </w:r>
          </w:p>
        </w:tc>
        <w:tc>
          <w:tcPr>
            <w:tcW w:w="7138" w:type="dxa"/>
          </w:tcPr>
          <w:p w14:paraId="3559C653"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Ar 2016. gadu Ministru kabinets nodrošina pastāvīgu un sistemātisku valsts budžeta izdevumu pārskatīšanu, lai efektīvāk un ekonomiskāk īstenotu valsts politiku, kā arī regulāri optimizētu budžeta izdevumus un izvērtētu to atbilstību attīstības plānošanas dokumentos noteiktajām prioritātēm un mērķiem.</w:t>
            </w:r>
          </w:p>
          <w:p w14:paraId="501A36A4" w14:textId="77777777" w:rsidR="00677143" w:rsidRPr="00677143" w:rsidRDefault="00677143" w:rsidP="00F13025">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Lai gan pirms MK lēmuma netiek vērtēta pasākumu atbilstība NAP2020, jaunās politikas iniciatīvas tiek attiecinātas, līdz ar to NAP2020 ieguldījumu uzraudzība turpinās.</w:t>
            </w:r>
          </w:p>
        </w:tc>
      </w:tr>
      <w:tr w:rsidR="00677143" w:rsidRPr="00A05830" w14:paraId="69B4126C" w14:textId="77777777" w:rsidTr="007E6882">
        <w:tc>
          <w:tcPr>
            <w:cnfStyle w:val="001000000000" w:firstRow="0" w:lastRow="0" w:firstColumn="1" w:lastColumn="0" w:oddVBand="0" w:evenVBand="0" w:oddHBand="0" w:evenHBand="0" w:firstRowFirstColumn="0" w:firstRowLastColumn="0" w:lastRowFirstColumn="0" w:lastRowLastColumn="0"/>
            <w:tcW w:w="1384" w:type="dxa"/>
          </w:tcPr>
          <w:p w14:paraId="114F9746" w14:textId="77777777" w:rsidR="00677143" w:rsidRPr="00677143" w:rsidRDefault="00677143" w:rsidP="00EB0BD3">
            <w:pPr>
              <w:spacing w:before="60"/>
              <w:jc w:val="left"/>
              <w:rPr>
                <w:rFonts w:ascii="Cambria" w:hAnsi="Cambria" w:cs="Times New Roman"/>
                <w:sz w:val="16"/>
                <w:lang w:val="lv-LV"/>
              </w:rPr>
            </w:pPr>
            <w:r w:rsidRPr="00677143">
              <w:rPr>
                <w:rFonts w:ascii="Cambria" w:hAnsi="Cambria" w:cs="Times New Roman"/>
                <w:sz w:val="16"/>
                <w:lang w:val="lv-LV"/>
              </w:rPr>
              <w:t>2017.gads Prioritārie pasākumi</w:t>
            </w:r>
          </w:p>
        </w:tc>
        <w:tc>
          <w:tcPr>
            <w:tcW w:w="7138" w:type="dxa"/>
          </w:tcPr>
          <w:p w14:paraId="356B1FEA" w14:textId="03A48D78" w:rsidR="00677143" w:rsidRPr="00677143" w:rsidRDefault="00677143" w:rsidP="00780CE3">
            <w:pPr>
              <w:spacing w:before="60"/>
              <w:cnfStyle w:val="000000000000" w:firstRow="0" w:lastRow="0" w:firstColumn="0" w:lastColumn="0" w:oddVBand="0" w:evenVBand="0" w:oddHBand="0" w:evenHBand="0" w:firstRowFirstColumn="0" w:firstRowLastColumn="0" w:lastRowFirstColumn="0" w:lastRowLastColumn="0"/>
              <w:rPr>
                <w:rFonts w:ascii="Cambria" w:hAnsi="Cambria" w:cs="Times New Roman"/>
                <w:sz w:val="16"/>
                <w:lang w:val="lv-LV"/>
              </w:rPr>
            </w:pPr>
            <w:r w:rsidRPr="00677143">
              <w:rPr>
                <w:rFonts w:ascii="Cambria" w:hAnsi="Cambria" w:cs="Times New Roman"/>
                <w:sz w:val="16"/>
                <w:lang w:val="lv-LV"/>
              </w:rPr>
              <w:t xml:space="preserve">Visaptveroša jauno politikas iniciatīvu (prioritāro pasākumu) reforma, paredzot turpmāk MK, izskatot Latvijas Stabilitātes programmas projektu, definē prioritāro pasākumu iesniegšanas nosacījumus.  </w:t>
            </w:r>
          </w:p>
        </w:tc>
      </w:tr>
    </w:tbl>
    <w:p w14:paraId="3C339ED6" w14:textId="77777777" w:rsidR="00677143" w:rsidRPr="00677143" w:rsidRDefault="00677143" w:rsidP="00677143">
      <w:pPr>
        <w:spacing w:before="60"/>
        <w:rPr>
          <w:rFonts w:ascii="Cambria" w:eastAsia="MS Mincho" w:hAnsi="Cambria" w:cs="Times New Roman"/>
          <w:sz w:val="16"/>
          <w:lang w:val="lv-LV"/>
        </w:rPr>
      </w:pPr>
    </w:p>
    <w:p w14:paraId="65A3CDCB" w14:textId="13A91CEE" w:rsidR="00677143" w:rsidRPr="00677143" w:rsidRDefault="00677143" w:rsidP="00857584">
      <w:pPr>
        <w:rPr>
          <w:rFonts w:ascii="Cambria" w:eastAsia="MS Mincho" w:hAnsi="Cambria" w:cs="Times New Roman"/>
          <w:sz w:val="16"/>
          <w:lang w:val="lv-LV"/>
        </w:rPr>
      </w:pPr>
      <w:r w:rsidRPr="00857584">
        <w:rPr>
          <w:rFonts w:ascii="Cambria" w:eastAsia="MS Mincho" w:hAnsi="Cambria" w:cs="Times New Roman"/>
          <w:lang w:val="lv-LV"/>
        </w:rPr>
        <w:t>PKC turpmāk nodrošin</w:t>
      </w:r>
      <w:r w:rsidR="00780CE3" w:rsidRPr="00857584">
        <w:rPr>
          <w:rFonts w:ascii="Cambria" w:eastAsia="MS Mincho" w:hAnsi="Cambria" w:cs="Times New Roman"/>
          <w:lang w:val="lv-LV"/>
        </w:rPr>
        <w:t>a</w:t>
      </w:r>
      <w:r w:rsidRPr="00857584">
        <w:rPr>
          <w:rFonts w:ascii="Cambria" w:eastAsia="MS Mincho" w:hAnsi="Cambria" w:cs="Times New Roman"/>
          <w:lang w:val="lv-LV"/>
        </w:rPr>
        <w:t xml:space="preserve"> prioritāro pasākumu vērtēšanu atbilstoši Nacionālajam attīstības plānam, citiem politikas plānošanas dokumentiem un Valdības rīcības plānam, savukārt FM, veicot izvērtējumu, ņems vērā īstenojamās strukturālās reformas, prioritāro pasākumu ietekmi uz tautsaimniecību, tai skaitā nacionālo drošību, un ekonomisko izaugsmi, atbilstību vidēja termiņa budžeta ietvara likumā noteiktajiem budžeta mērķiem un prioritārajiem attīstības virzieniem, kā arī no ministriju budžetiem novirzāmo finansējumu prioritāro pasākumu īstenošanai.</w:t>
      </w:r>
    </w:p>
    <w:p w14:paraId="581AC554" w14:textId="77777777" w:rsidR="00677143" w:rsidRPr="00677143" w:rsidRDefault="00677143" w:rsidP="00677143">
      <w:pPr>
        <w:spacing w:before="60"/>
        <w:rPr>
          <w:rFonts w:ascii="Cambria" w:eastAsia="MS Mincho" w:hAnsi="Cambria" w:cs="Times New Roman"/>
          <w:lang w:val="lv-LV"/>
        </w:rPr>
      </w:pPr>
      <w:r w:rsidRPr="00677143">
        <w:rPr>
          <w:rFonts w:ascii="Cambria" w:eastAsia="MS Mincho" w:hAnsi="Cambria" w:cs="Times New Roman"/>
          <w:lang w:val="lv-LV"/>
        </w:rPr>
        <w:t>Kopumā laika periodā 2013.-2016. gadam caur JPI procesu ministrijām un citām institūcijām tika piešķirti finanšu līdzekļi 1,49 mld euro apmērā, kas veido 74% no sākotnēji plānotajām kopējām valsts budžeta investīcijām NAP2020 īstenošanai. No minētajiem līdzekļiem 33,5% tika attiecināti uz 2016. gada budžeta izdevumiem, bet 24,2% - uz 2015. gada budžeta izdevumiem. Minētais ir izskaidrojams ar to, ka 2013. gadā budžeta ietvaram 2014.-2016.gadam tika piešķirta lielākā daļa no kopējiem JPI procesā piešķirtajiem finanšu līdzekļiem, kas sastādīja 810,1 mlj euro jeb 54,3% no kopējiem JPI procesā piešķirtajiem finanšu līdzekļiem.</w:t>
      </w:r>
    </w:p>
    <w:p w14:paraId="16110687" w14:textId="57BF3441" w:rsidR="00677143" w:rsidRPr="00677143" w:rsidRDefault="00677143" w:rsidP="00BA1514">
      <w:pPr>
        <w:pStyle w:val="attelunosaukums"/>
      </w:pPr>
      <w:r w:rsidRPr="00677143">
        <w:lastRenderedPageBreak/>
        <w:t>4.attēls. Kopējie JPI piešķīrumi pa gadiem, mlj euro</w:t>
      </w:r>
      <w:r w:rsidRPr="00677143">
        <w:rPr>
          <w:rStyle w:val="FootnoteReference"/>
          <w:rFonts w:ascii="Cambria" w:eastAsia="MS Mincho" w:hAnsi="Cambria" w:cs="Times New Roman"/>
        </w:rPr>
        <w:footnoteReference w:id="9"/>
      </w:r>
    </w:p>
    <w:p w14:paraId="263428CF" w14:textId="77777777" w:rsidR="00677143" w:rsidRPr="00677143" w:rsidRDefault="00677143" w:rsidP="00677143">
      <w:pPr>
        <w:spacing w:before="60"/>
        <w:rPr>
          <w:rFonts w:ascii="Cambria" w:eastAsia="MS Mincho" w:hAnsi="Cambria" w:cs="Times New Roman"/>
          <w:sz w:val="16"/>
          <w:lang w:val="lv-LV"/>
        </w:rPr>
      </w:pPr>
      <w:r w:rsidRPr="00677143">
        <w:rPr>
          <w:noProof/>
          <w:lang w:val="lv-LV" w:eastAsia="lv-LV"/>
        </w:rPr>
        <w:drawing>
          <wp:inline distT="0" distB="0" distL="0" distR="0" wp14:anchorId="1DF24166" wp14:editId="4BE0B25B">
            <wp:extent cx="5400136" cy="1932317"/>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0E56C8" w14:textId="2AB632C0" w:rsidR="00677143" w:rsidRPr="00677143" w:rsidRDefault="00677143" w:rsidP="00677143">
      <w:pPr>
        <w:spacing w:after="0"/>
        <w:rPr>
          <w:rFonts w:ascii="Cambria" w:eastAsia="MS Mincho" w:hAnsi="Cambria" w:cs="Times New Roman"/>
          <w:lang w:val="lv-LV"/>
        </w:rPr>
      </w:pPr>
      <w:r w:rsidRPr="00677143">
        <w:rPr>
          <w:rFonts w:ascii="Cambria" w:eastAsia="MS Mincho" w:hAnsi="Cambria" w:cs="Times New Roman"/>
          <w:lang w:val="lv-LV"/>
        </w:rPr>
        <w:t>Neskatoties uz to, ka ministriju un citu valsts pārvaldes institūciju finanšu pieprasījumi JPI procesā aug, faktiskie piešķīrumi, kas attiecas uz NAP2020 īstenošanu, ar katru procesu samazinās. Ja 2013.</w:t>
      </w:r>
      <w:r w:rsidR="00BA1514">
        <w:rPr>
          <w:rFonts w:ascii="Cambria" w:eastAsia="MS Mincho" w:hAnsi="Cambria" w:cs="Times New Roman"/>
          <w:lang w:val="lv-LV"/>
        </w:rPr>
        <w:t> </w:t>
      </w:r>
      <w:r w:rsidRPr="00677143">
        <w:rPr>
          <w:rFonts w:ascii="Cambria" w:eastAsia="MS Mincho" w:hAnsi="Cambria" w:cs="Times New Roman"/>
          <w:lang w:val="lv-LV"/>
        </w:rPr>
        <w:t>gadā tika piešķirti finanšu līdzekļi 35,4% apmērā no visiem pieprasījumiem, tad 2016.</w:t>
      </w:r>
      <w:r w:rsidR="00BA1514">
        <w:rPr>
          <w:rFonts w:ascii="Cambria" w:eastAsia="MS Mincho" w:hAnsi="Cambria" w:cs="Times New Roman"/>
          <w:lang w:val="lv-LV"/>
        </w:rPr>
        <w:t> </w:t>
      </w:r>
      <w:r w:rsidRPr="00677143">
        <w:rPr>
          <w:rFonts w:ascii="Cambria" w:eastAsia="MS Mincho" w:hAnsi="Cambria" w:cs="Times New Roman"/>
          <w:lang w:val="lv-LV"/>
        </w:rPr>
        <w:t xml:space="preserve">gadā tika apmierināti vien 7,6% no kopējiem ministriju un citu institūciju pieprasījumiem. </w:t>
      </w:r>
    </w:p>
    <w:p w14:paraId="528312CB" w14:textId="77777777" w:rsidR="00677143" w:rsidRPr="00677143" w:rsidRDefault="00677143" w:rsidP="00BA1514">
      <w:pPr>
        <w:pStyle w:val="attelunosaukums"/>
      </w:pPr>
      <w:r w:rsidRPr="00677143">
        <w:t>5.attēls. JPI pieprasījumu un piešķīrumu dinamika, mlj euro</w:t>
      </w:r>
    </w:p>
    <w:p w14:paraId="0974E4CB" w14:textId="77777777" w:rsidR="00677143" w:rsidRPr="00677143" w:rsidRDefault="00677143" w:rsidP="00677143">
      <w:pPr>
        <w:spacing w:after="0"/>
        <w:rPr>
          <w:rFonts w:ascii="Cambria" w:eastAsia="MS Mincho" w:hAnsi="Cambria" w:cs="Times New Roman"/>
          <w:lang w:val="lv-LV"/>
        </w:rPr>
      </w:pPr>
      <w:r w:rsidRPr="00677143">
        <w:rPr>
          <w:noProof/>
          <w:lang w:val="lv-LV" w:eastAsia="lv-LV"/>
        </w:rPr>
        <w:drawing>
          <wp:inline distT="0" distB="0" distL="0" distR="0" wp14:anchorId="77EB87D1" wp14:editId="586B6FA7">
            <wp:extent cx="5011947" cy="2053087"/>
            <wp:effectExtent l="0" t="0" r="0" b="44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A122EB" w14:textId="7B35EE45" w:rsidR="00677143" w:rsidRPr="00677143" w:rsidRDefault="00677143" w:rsidP="00857584">
      <w:pPr>
        <w:rPr>
          <w:rFonts w:ascii="Cambria" w:eastAsia="MS Mincho" w:hAnsi="Cambria" w:cs="Times New Roman"/>
          <w:lang w:val="lv-LV"/>
        </w:rPr>
      </w:pPr>
      <w:r w:rsidRPr="00677143">
        <w:rPr>
          <w:rFonts w:ascii="Cambria" w:eastAsia="MS Mincho" w:hAnsi="Cambria" w:cs="Times New Roman"/>
          <w:lang w:val="lv-LV"/>
        </w:rPr>
        <w:t>Priekšlikumi prioritāro pasākumu īstenošanas turpmākai attīstībai</w:t>
      </w:r>
      <w:r w:rsidR="00857584">
        <w:rPr>
          <w:rFonts w:ascii="Cambria" w:eastAsia="MS Mincho" w:hAnsi="Cambria" w:cs="Times New Roman"/>
          <w:lang w:val="lv-LV"/>
        </w:rPr>
        <w:t xml:space="preserve"> </w:t>
      </w:r>
      <w:r w:rsidRPr="00677143">
        <w:rPr>
          <w:rFonts w:ascii="Cambria" w:eastAsia="MS Mincho" w:hAnsi="Cambria" w:cs="Times New Roman"/>
          <w:lang w:val="lv-LV"/>
        </w:rPr>
        <w:t>nepieciešams no prioritāro pasākumu procesa nodalīt administratīvās kapacitātes stiprināšanas pasākumus, nodrošinot budžeta attīstības daļai paredzētā finansējuma mērķtiecīgāku pārdali uz būtiskiem un inovatīviem risinājumiem nosprausto prioritāro mērķu sasniegšanai</w:t>
      </w:r>
      <w:r w:rsidR="00857584">
        <w:rPr>
          <w:rFonts w:ascii="Cambria" w:eastAsia="MS Mincho" w:hAnsi="Cambria" w:cs="Times New Roman"/>
          <w:lang w:val="lv-LV"/>
        </w:rPr>
        <w:t xml:space="preserve">, kā arī </w:t>
      </w:r>
      <w:r w:rsidRPr="00677143">
        <w:rPr>
          <w:rFonts w:ascii="Cambria" w:eastAsia="MS Mincho" w:hAnsi="Cambria" w:cs="Times New Roman"/>
          <w:lang w:val="lv-LV"/>
        </w:rPr>
        <w:t>nepieciešams stiprināt pilotprojektu finansēšanas iespējas prioritāro pasākumu procesā, atbalstot jaunu risinājumu testēšanu ar mērķi efektīvākā veidā nodrošināt virzību uz nosprausto mērķu sasniegšanu.</w:t>
      </w:r>
    </w:p>
    <w:p w14:paraId="43571A78" w14:textId="4614B621" w:rsidR="004572BB" w:rsidRPr="002139B5" w:rsidRDefault="00B67BDB" w:rsidP="00B67BDB">
      <w:pPr>
        <w:pStyle w:val="Heading2"/>
        <w:rPr>
          <w:lang w:val="lv-LV"/>
        </w:rPr>
      </w:pPr>
      <w:bookmarkStart w:id="22" w:name="_Toc498690611"/>
      <w:bookmarkStart w:id="23" w:name="_Toc499025309"/>
      <w:r w:rsidRPr="002139B5">
        <w:rPr>
          <w:lang w:val="lv-LV"/>
        </w:rPr>
        <w:t>2.3. Valdības maiņa</w:t>
      </w:r>
      <w:bookmarkEnd w:id="22"/>
      <w:bookmarkEnd w:id="23"/>
    </w:p>
    <w:p w14:paraId="79A449C9" w14:textId="149BB7B0" w:rsidR="007E6882" w:rsidRPr="007E6882" w:rsidRDefault="007E6882" w:rsidP="007E6882">
      <w:pPr>
        <w:rPr>
          <w:lang w:val="lv-LV"/>
        </w:rPr>
      </w:pPr>
      <w:r w:rsidRPr="007E6882">
        <w:rPr>
          <w:lang w:val="lv-LV"/>
        </w:rPr>
        <w:t xml:space="preserve">Valdības deklarācijas atspoguļo valdību veidojošo partiju attieksmi pret NAP2020, tā nozīmi un aktualitāti, kas teorētiski var ietekmēt attīstības plāna ieviešanas gaitu vai progresu noteiktu mērķu sasniegšanā. NAP2020 darbības periodā valdību </w:t>
      </w:r>
      <w:r w:rsidR="00DE5F2B">
        <w:rPr>
          <w:lang w:val="lv-LV"/>
        </w:rPr>
        <w:t xml:space="preserve">uzsākuši vadīt </w:t>
      </w:r>
      <w:r w:rsidRPr="007E6882">
        <w:rPr>
          <w:lang w:val="lv-LV"/>
        </w:rPr>
        <w:t>divi Ministru prezidenti – Laimdota Straujuma un Māris Kučinskis. Abu Ministru prezidentu vadīto valdību deklarācijās vērojama sinerģija starp deklarāciju un NAP2020.</w:t>
      </w:r>
    </w:p>
    <w:p w14:paraId="2EAFAB44" w14:textId="6EF38458" w:rsidR="007E6882" w:rsidRPr="007E6882" w:rsidRDefault="007E6882" w:rsidP="007E6882">
      <w:pPr>
        <w:rPr>
          <w:lang w:val="lv-LV"/>
        </w:rPr>
      </w:pPr>
      <w:r w:rsidRPr="007E6882">
        <w:rPr>
          <w:lang w:val="lv-LV"/>
        </w:rPr>
        <w:t xml:space="preserve">Jāuzsver, ka NAP2020 tika apstiprināts Valda Dombrovska vadītās valdības laikā. Papildus tam Valda Dombrovska vadītā valdība lielu uzmanību pievērsa NAP2020 </w:t>
      </w:r>
      <w:r w:rsidRPr="007E6882">
        <w:rPr>
          <w:lang w:val="lv-LV"/>
        </w:rPr>
        <w:lastRenderedPageBreak/>
        <w:t xml:space="preserve">ietverto stratēģisko mērķu pārnešanai 2014. gada </w:t>
      </w:r>
      <w:r w:rsidR="006251BF">
        <w:rPr>
          <w:lang w:val="lv-LV"/>
        </w:rPr>
        <w:t xml:space="preserve">valsts budžeta prioritātēs </w:t>
      </w:r>
      <w:r w:rsidRPr="007E6882">
        <w:rPr>
          <w:lang w:val="lv-LV"/>
        </w:rPr>
        <w:t>un jaunā ES fondu plānošanas perioda uzsākšanai, paredzot arī papildus finansējumu.</w:t>
      </w:r>
    </w:p>
    <w:p w14:paraId="244A244D" w14:textId="5829747F" w:rsidR="007E6882" w:rsidRPr="007E6882" w:rsidRDefault="007E6882" w:rsidP="007E6882">
      <w:pPr>
        <w:rPr>
          <w:lang w:val="lv-LV"/>
        </w:rPr>
      </w:pPr>
      <w:r w:rsidRPr="007E6882">
        <w:rPr>
          <w:lang w:val="lv-LV"/>
        </w:rPr>
        <w:t xml:space="preserve">Laimdotas Straujumas 2014. gada novembra valdības deklarācija ir Latvijas vēsturē pirmā deklarācija, kurā pausta apņemšanās īstenot NAP2020 mērķus. Valdību veidojošās partijas vienojās un valdības deklarācijā nosauca desmit politikas rezultātus ar mērķu vērtībām, kurām </w:t>
      </w:r>
      <w:r w:rsidR="00890028">
        <w:rPr>
          <w:lang w:val="lv-LV"/>
        </w:rPr>
        <w:t>veltīta</w:t>
      </w:r>
      <w:r w:rsidRPr="007E6882">
        <w:rPr>
          <w:lang w:val="lv-LV"/>
        </w:rPr>
        <w:t xml:space="preserve"> īpaš</w:t>
      </w:r>
      <w:r w:rsidR="00890028">
        <w:rPr>
          <w:lang w:val="lv-LV"/>
        </w:rPr>
        <w:t>a</w:t>
      </w:r>
      <w:r w:rsidRPr="007E6882">
        <w:rPr>
          <w:lang w:val="lv-LV"/>
        </w:rPr>
        <w:t xml:space="preserve"> uzmanīb</w:t>
      </w:r>
      <w:r w:rsidR="00890028">
        <w:rPr>
          <w:lang w:val="lv-LV"/>
        </w:rPr>
        <w:t>a</w:t>
      </w:r>
      <w:r w:rsidRPr="007E6882">
        <w:rPr>
          <w:lang w:val="lv-LV"/>
        </w:rPr>
        <w:t>, pakārtojot arī valdības deklarācijas pasākumus šo mērķu sasniegšanai.</w:t>
      </w:r>
    </w:p>
    <w:p w14:paraId="4B5F5438" w14:textId="2B390D3A" w:rsidR="007E6882" w:rsidRPr="007E6882" w:rsidRDefault="007E6882" w:rsidP="007E6882">
      <w:pPr>
        <w:rPr>
          <w:lang w:val="lv-LV"/>
        </w:rPr>
      </w:pPr>
      <w:r w:rsidRPr="007E6882">
        <w:rPr>
          <w:lang w:val="lv-LV"/>
        </w:rPr>
        <w:t>Māra Kučinska 2016. gada februāra valdības deklarācija iet soli tālāk, atdalot pasākumu kopas ar šīs valdības sasniedzamajiem politikas rezultātu rādītājiem.  Šie rādītāji gan precizē sasniedzamos NAP2020 mērķus (piemēram, koriģējot eksporta īpatsvaru no IKP no 66% 2017. gadā, kas noteikts NAP2020</w:t>
      </w:r>
      <w:r w:rsidR="006251BF">
        <w:rPr>
          <w:lang w:val="lv-LV"/>
        </w:rPr>
        <w:t>,</w:t>
      </w:r>
      <w:r w:rsidRPr="007E6882">
        <w:rPr>
          <w:lang w:val="lv-LV"/>
        </w:rPr>
        <w:t xml:space="preserve"> uz 60% 2018. gadā), gan nosaka rezultātu sasniegšanas apmēru jau NAP2020 uzdevumu līmenī. Piemēram, attiecībā uz rīcības virziena </w:t>
      </w:r>
      <w:r w:rsidRPr="007E6882">
        <w:rPr>
          <w:i/>
          <w:lang w:val="lv-LV"/>
        </w:rPr>
        <w:t>Izcila uzņēmējdarbības vide</w:t>
      </w:r>
      <w:r w:rsidRPr="007E6882">
        <w:rPr>
          <w:lang w:val="lv-LV"/>
        </w:rPr>
        <w:t xml:space="preserve"> uzdevumu [157] </w:t>
      </w:r>
      <w:r w:rsidRPr="007E6882">
        <w:rPr>
          <w:i/>
          <w:lang w:val="lv-LV"/>
        </w:rPr>
        <w:t>Radikāla rīcība ēnu ekonomikas apkarošanā</w:t>
      </w:r>
      <w:r w:rsidRPr="007E6882">
        <w:rPr>
          <w:lang w:val="lv-LV"/>
        </w:rPr>
        <w:t xml:space="preserve"> valdības deklarācijā uzdots “2018. gadā sasniegt viena procentpunkta nodokļu iekasējamības pieaugumu pret IKP”.</w:t>
      </w:r>
    </w:p>
    <w:p w14:paraId="2FA705A7" w14:textId="77777777" w:rsidR="00890028" w:rsidRPr="007E6882" w:rsidRDefault="007E6882" w:rsidP="00890028">
      <w:pPr>
        <w:rPr>
          <w:lang w:val="lv-LV"/>
        </w:rPr>
      </w:pPr>
      <w:r w:rsidRPr="007E6882">
        <w:rPr>
          <w:lang w:val="lv-LV"/>
        </w:rPr>
        <w:t xml:space="preserve">Vienlaikus jāņem vērā, ka valdības deklarācija ir politisko vadlīniju dokuments koalīciju veidojošajām partijām, kas tiek gatavots ņemot vērā iepriekš apstiprinātajos politikas plānošanas dokumentos, t.sk NAP2020, iekļautās apņemšanās. Tomēr valdības deklarācijā tiek iekļauti arī koalīciju veidojošo partiju politiskie solījumi, mērķi un uzstādījumi, kas bieži vien var būt prioritāri par </w:t>
      </w:r>
      <w:r w:rsidR="00890028">
        <w:rPr>
          <w:lang w:val="lv-LV"/>
        </w:rPr>
        <w:t>attīstības</w:t>
      </w:r>
      <w:r w:rsidRPr="007E6882">
        <w:rPr>
          <w:lang w:val="lv-LV"/>
        </w:rPr>
        <w:t xml:space="preserve"> plānošanas dokumentos ietvertajiem pasākumiem. Papildus tam korekciju valdības darbā ievieš arī neparedzēti iekšpolitiskie vai starptautiskie notikumi, </w:t>
      </w:r>
      <w:r w:rsidR="00890028" w:rsidRPr="007E6882">
        <w:rPr>
          <w:lang w:val="lv-LV"/>
        </w:rPr>
        <w:t xml:space="preserve">uz kuriem </w:t>
      </w:r>
      <w:r w:rsidRPr="007E6882">
        <w:rPr>
          <w:lang w:val="lv-LV"/>
        </w:rPr>
        <w:t xml:space="preserve">reaģējot, </w:t>
      </w:r>
      <w:r w:rsidR="00890028">
        <w:rPr>
          <w:lang w:val="lv-LV"/>
        </w:rPr>
        <w:t>mainās arī</w:t>
      </w:r>
      <w:r w:rsidRPr="007E6882">
        <w:rPr>
          <w:lang w:val="lv-LV"/>
        </w:rPr>
        <w:t xml:space="preserve"> valdības darba kārtības prioritātes.</w:t>
      </w:r>
      <w:r w:rsidR="00890028">
        <w:rPr>
          <w:lang w:val="lv-LV"/>
        </w:rPr>
        <w:t xml:space="preserve"> Arī valdības maiņa rada ietekmi uz valsts attīstības mērķiem un to īstenošanu.</w:t>
      </w:r>
    </w:p>
    <w:p w14:paraId="232ED5AB" w14:textId="51C1BA69" w:rsidR="007E6882" w:rsidRPr="007E6882" w:rsidRDefault="007E6882" w:rsidP="007E6882">
      <w:pPr>
        <w:rPr>
          <w:lang w:val="lv-LV"/>
        </w:rPr>
      </w:pPr>
    </w:p>
    <w:p w14:paraId="213CFE8D" w14:textId="77777777" w:rsidR="001D06C8" w:rsidRPr="002139B5" w:rsidRDefault="001D06C8" w:rsidP="001D06C8">
      <w:pPr>
        <w:rPr>
          <w:lang w:val="lv-LV"/>
        </w:rPr>
      </w:pPr>
    </w:p>
    <w:p w14:paraId="7B8F67D1" w14:textId="77777777" w:rsidR="005245DD" w:rsidRDefault="005245DD">
      <w:pPr>
        <w:spacing w:before="0" w:after="0"/>
        <w:jc w:val="left"/>
        <w:rPr>
          <w:rFonts w:asciiTheme="majorHAnsi" w:eastAsiaTheme="majorEastAsia" w:hAnsiTheme="majorHAnsi" w:cstheme="majorBidi"/>
          <w:b/>
          <w:bCs/>
          <w:color w:val="344879" w:themeColor="accent1" w:themeShade="B5"/>
          <w:sz w:val="32"/>
          <w:szCs w:val="32"/>
          <w:lang w:val="lv-LV"/>
        </w:rPr>
      </w:pPr>
      <w:r>
        <w:rPr>
          <w:lang w:val="lv-LV"/>
        </w:rPr>
        <w:br w:type="page"/>
      </w:r>
    </w:p>
    <w:p w14:paraId="4D932E4E" w14:textId="2CC0CD44" w:rsidR="00CA17BA" w:rsidRDefault="00483603" w:rsidP="00CA17BA">
      <w:pPr>
        <w:pStyle w:val="Heading1"/>
        <w:rPr>
          <w:lang w:val="lv-LV"/>
        </w:rPr>
      </w:pPr>
      <w:bookmarkStart w:id="24" w:name="_Toc498690612"/>
      <w:bookmarkStart w:id="25" w:name="_Toc499025310"/>
      <w:r>
        <w:rPr>
          <w:lang w:val="lv-LV"/>
        </w:rPr>
        <w:lastRenderedPageBreak/>
        <w:t>3</w:t>
      </w:r>
      <w:r w:rsidR="00CA17BA" w:rsidRPr="00595533">
        <w:rPr>
          <w:lang w:val="lv-LV"/>
        </w:rPr>
        <w:t>. NAP2020 ieviešanas progresa novērtējums</w:t>
      </w:r>
      <w:bookmarkEnd w:id="24"/>
      <w:bookmarkEnd w:id="25"/>
    </w:p>
    <w:p w14:paraId="62E03765" w14:textId="19EBD055" w:rsidR="009C7DA7" w:rsidRDefault="009C7DA7" w:rsidP="009C7DA7">
      <w:pPr>
        <w:rPr>
          <w:lang w:val="lv-LV"/>
        </w:rPr>
      </w:pPr>
      <w:r>
        <w:rPr>
          <w:lang w:val="lv-LV"/>
        </w:rPr>
        <w:t xml:space="preserve">NAP2020 kopumā noteiktas trīs prioritātes – </w:t>
      </w:r>
      <w:r w:rsidRPr="003022A8">
        <w:rPr>
          <w:i/>
          <w:lang w:val="lv-LV"/>
        </w:rPr>
        <w:t>Tautas saimniecības izaugsme, Cilvēka drošumspēja, Izaugsmi atbalsto</w:t>
      </w:r>
      <w:r w:rsidR="00967716" w:rsidRPr="003022A8">
        <w:rPr>
          <w:i/>
          <w:lang w:val="lv-LV"/>
        </w:rPr>
        <w:t>šas teritorijas</w:t>
      </w:r>
      <w:r w:rsidR="00967716">
        <w:rPr>
          <w:lang w:val="lv-LV"/>
        </w:rPr>
        <w:t xml:space="preserve"> – un četri makromērķi,</w:t>
      </w:r>
      <w:r w:rsidR="008212B9">
        <w:rPr>
          <w:lang w:val="lv-LV"/>
        </w:rPr>
        <w:t xml:space="preserve"> </w:t>
      </w:r>
      <w:r w:rsidR="00967716">
        <w:rPr>
          <w:lang w:val="lv-LV"/>
        </w:rPr>
        <w:t>lai gan stratēģiskie indikatori</w:t>
      </w:r>
      <w:r w:rsidR="008212B9">
        <w:rPr>
          <w:lang w:val="lv-LV"/>
        </w:rPr>
        <w:t>, kas monitorē</w:t>
      </w:r>
      <w:r w:rsidR="00967716">
        <w:rPr>
          <w:lang w:val="lv-LV"/>
        </w:rPr>
        <w:t xml:space="preserve"> progresu makromērķu sasniegšanā</w:t>
      </w:r>
      <w:r w:rsidR="008212B9">
        <w:rPr>
          <w:lang w:val="lv-LV"/>
        </w:rPr>
        <w:t>,</w:t>
      </w:r>
      <w:r w:rsidR="00967716">
        <w:rPr>
          <w:lang w:val="lv-LV"/>
        </w:rPr>
        <w:t xml:space="preserve"> ir tikai trim no </w:t>
      </w:r>
      <w:r w:rsidR="008212B9">
        <w:rPr>
          <w:lang w:val="lv-LV"/>
        </w:rPr>
        <w:t>tiem</w:t>
      </w:r>
      <w:r w:rsidR="00967716">
        <w:rPr>
          <w:lang w:val="lv-LV"/>
        </w:rPr>
        <w:t>.</w:t>
      </w:r>
      <w:r w:rsidR="00C22FE4">
        <w:rPr>
          <w:lang w:val="lv-LV"/>
        </w:rPr>
        <w:t xml:space="preserve"> NAP2020 makromērķi:</w:t>
      </w:r>
    </w:p>
    <w:p w14:paraId="68420259" w14:textId="77777777" w:rsidR="00890028" w:rsidRDefault="00890028" w:rsidP="00890028">
      <w:pPr>
        <w:pStyle w:val="ListParagraph"/>
        <w:numPr>
          <w:ilvl w:val="0"/>
          <w:numId w:val="19"/>
        </w:numPr>
        <w:rPr>
          <w:lang w:val="lv-LV"/>
        </w:rPr>
      </w:pPr>
      <w:r>
        <w:rPr>
          <w:lang w:val="lv-LV"/>
        </w:rPr>
        <w:t>ilgtspējīga Latvijas ekonomikas izaugsme ar pieaugošu valsts konkurētspēju starptautiskajos tirgos;</w:t>
      </w:r>
    </w:p>
    <w:p w14:paraId="47610A2A" w14:textId="77777777" w:rsidR="00890028" w:rsidRPr="00C45D56" w:rsidRDefault="00890028" w:rsidP="00890028">
      <w:pPr>
        <w:pStyle w:val="ListParagraph"/>
        <w:numPr>
          <w:ilvl w:val="0"/>
          <w:numId w:val="19"/>
        </w:numPr>
        <w:rPr>
          <w:lang w:val="lv-LV"/>
        </w:rPr>
      </w:pPr>
      <w:r>
        <w:rPr>
          <w:lang w:val="lv-LV"/>
        </w:rPr>
        <w:t>radīta spēcīgu vidušsķira un nodrošināta tautas ataudze Latvijā – valstī, kur ikkatram cilvēkam ir iespējas gādāt par savu, savu tuvinieku un Latvijas attīstību;</w:t>
      </w:r>
    </w:p>
    <w:p w14:paraId="70CFD46E" w14:textId="77777777" w:rsidR="00890028" w:rsidRDefault="00890028" w:rsidP="00890028">
      <w:pPr>
        <w:pStyle w:val="ListParagraph"/>
        <w:numPr>
          <w:ilvl w:val="0"/>
          <w:numId w:val="19"/>
        </w:numPr>
        <w:rPr>
          <w:lang w:val="lv-LV"/>
        </w:rPr>
      </w:pPr>
      <w:r>
        <w:rPr>
          <w:lang w:val="lv-LV"/>
        </w:rPr>
        <w:t>radītas līdzvērtīgākas darba iespējas un dzīves apstākļi visiem iedzīvotājiem, izmantojot teritoriju attīstības potenciālu un unikālos resursus;</w:t>
      </w:r>
    </w:p>
    <w:p w14:paraId="701584BB" w14:textId="77777777" w:rsidR="00890028" w:rsidRPr="00632C59" w:rsidRDefault="00890028" w:rsidP="00890028">
      <w:pPr>
        <w:pStyle w:val="ListParagraph"/>
        <w:numPr>
          <w:ilvl w:val="0"/>
          <w:numId w:val="19"/>
        </w:numPr>
        <w:rPr>
          <w:lang w:val="lv-LV"/>
        </w:rPr>
      </w:pPr>
      <w:r>
        <w:rPr>
          <w:lang w:val="lv-LV"/>
        </w:rPr>
        <w:t>stiprināti Latvijas reģionu starptautiskā konkurētspēja, palielinot Rīgas kā Ziemeļeiropas metropoles un citu nacionālās nozīmes attīstības centru starptautisko lomu.</w:t>
      </w:r>
    </w:p>
    <w:p w14:paraId="0491F50B" w14:textId="77777777" w:rsidR="00890028" w:rsidRDefault="00890028" w:rsidP="00890028">
      <w:pPr>
        <w:rPr>
          <w:lang w:val="lv-LV"/>
        </w:rPr>
      </w:pPr>
      <w:r>
        <w:rPr>
          <w:lang w:val="lv-LV"/>
        </w:rPr>
        <w:t>Visi makromērķi ir vienlīdz svarīgi Latvijas izaugsmei – šādu uzskatu pauž arī nedaudz vairāk kā divas trešdaļas (68%) aptaujāto ekspertu. Arī katra atsevišķā makromērķa aktualitātes vērtējums kopumā rāda, ka nav tādu stratēģisko mērķu, kas būtu mazāk nozīmīgi nekā citi. 87% viedokļu līderu uzskata, ka joprojām ļoti svarīgs ir ekonomikas izaugsmes mērķis un tikpat daudzi (86%) par ļoti svarīgu atzīst tautas ataudzes mērķi. Nedaudz retāk kā ļoti būtisks un valtij aktuāls atzīmēts mērķis radīt līdzvērtīgas darba un dzīves iespējas reģionos (74%), kā arī ienākumu nevienlīdzības mazināšana (68%), taču vienlaikus aptuveni katrs sestais no ekspertiem šos mērķus norādījis kā svarīgus līdzsvarotai valsts izaugsmei.</w:t>
      </w:r>
    </w:p>
    <w:p w14:paraId="71F03C04" w14:textId="332D2209" w:rsidR="0024120B" w:rsidRDefault="0024120B" w:rsidP="009C7DA7">
      <w:pPr>
        <w:rPr>
          <w:lang w:val="lv-LV"/>
        </w:rPr>
      </w:pPr>
      <w:r>
        <w:rPr>
          <w:lang w:val="lv-LV"/>
        </w:rPr>
        <w:t>Vērtējot progresu makromērķu sasniegšanā, viedokļu līderi par visveiksmīgāk īstenoto makromērķi atzinuši tautas saimniecības izaugsmi, kur</w:t>
      </w:r>
      <w:r w:rsidR="00207AD8">
        <w:rPr>
          <w:lang w:val="lv-LV"/>
        </w:rPr>
        <w:t>u</w:t>
      </w:r>
      <w:r>
        <w:rPr>
          <w:lang w:val="lv-LV"/>
        </w:rPr>
        <w:t xml:space="preserve"> 47% </w:t>
      </w:r>
      <w:r w:rsidR="00207AD8">
        <w:rPr>
          <w:lang w:val="lv-LV"/>
        </w:rPr>
        <w:t xml:space="preserve">ekspertu uzskata par sekmīgi vai drīzāk sekmīgi īstenotu. Progress citos makromērķos </w:t>
      </w:r>
      <w:r w:rsidR="004470F0">
        <w:rPr>
          <w:lang w:val="lv-LV"/>
        </w:rPr>
        <w:t xml:space="preserve">viedokļu līderu vērtējumā nav bijis vērojams – tikai 13% ekspertu uzskata, ka progress saistībā ar ienākumu nevienlīdzības mazināšanu bijis sekmīgs vai drīzāk sekmīgs un tikai 11% attiecīgi novērtējuši progresu saistībā ar līdzvērtīgu darba un dzīves apstākļu radīšanu reģionos, kā arī </w:t>
      </w:r>
      <w:r w:rsidR="005C0C42">
        <w:rPr>
          <w:lang w:val="lv-LV"/>
        </w:rPr>
        <w:t>ar</w:t>
      </w:r>
      <w:r w:rsidR="004470F0">
        <w:rPr>
          <w:lang w:val="lv-LV"/>
        </w:rPr>
        <w:t xml:space="preserve"> tautas ataudzes mērķu sasniegšanu.</w:t>
      </w:r>
      <w:r w:rsidR="00207AD8">
        <w:rPr>
          <w:lang w:val="lv-LV"/>
        </w:rPr>
        <w:t xml:space="preserve"> </w:t>
      </w:r>
    </w:p>
    <w:p w14:paraId="28631E25" w14:textId="77777777" w:rsidR="00890028" w:rsidRDefault="00890028" w:rsidP="00890028">
      <w:pPr>
        <w:rPr>
          <w:lang w:val="lv-LV"/>
        </w:rPr>
      </w:pPr>
      <w:r>
        <w:rPr>
          <w:lang w:val="lv-LV"/>
        </w:rPr>
        <w:t>Līdzīgs novērtējums par virzību uz stratēģisko mērķu sasniegšanu gūstams, arī analizējot progresu stratēģiskos indikatoros. Rādītājs par iekšzemes kopproduktu uz vienu iedzīvotāju pēc pirktspējas paritātes līmeņa liecina par kopumā stabilu virzību uz NAP2020 nospraustā mērķa saistībā ar tautsaimniecības izaugsmi sasniegšanu. Analīze par S80/S20 ienākumu kvitiļu attiecības indeksu savukārt norāda, ka, lai gan pēdējā gadā vērojama ienākumu nevienlīdzības mazināšanās, visticamāk, NAP2020 nospraustais mērķis šajā jomā netiks sasniegts, neskatoties uz to, ka ienākumu nevienlīdzība Latvijā šobrīd ir mazāka nekā Igaunijā vai Lietuvā. Tiesa, šajā rādītājā NAP2020 paredzēja visai ambiciozu mērķi – sasniegt aptuveni ES vidējo līmeni. Spēja mazināt ienākumu nevienlīdzību lielā mērā ir atkarīga no jaunās nodokļu politikas reformas, kā arī no īstenotajiem sociālās politikas pasākumiem Pierīgas reģiona novados, kur ienākumu nevienlīdzība ir visaugstākā.</w:t>
      </w:r>
    </w:p>
    <w:p w14:paraId="1BCAC566" w14:textId="00DB569A" w:rsidR="006D57C0" w:rsidRDefault="00F1037E" w:rsidP="000C7998">
      <w:pPr>
        <w:rPr>
          <w:lang w:val="lv-LV"/>
        </w:rPr>
      </w:pPr>
      <w:r>
        <w:rPr>
          <w:lang w:val="lv-LV"/>
        </w:rPr>
        <w:t>No plānotās atšķirīga</w:t>
      </w:r>
      <w:r w:rsidR="00A538C8">
        <w:rPr>
          <w:lang w:val="lv-LV"/>
        </w:rPr>
        <w:t xml:space="preserve"> šobrīd ir virzība tautas ataudzes mērķrādītājā, kas uzrāda izmaiņas iedzīvotāju skaita dabiskajā pieaugumā. Lai gan NAP2020 optimistiskā prognoze paredzēja, ka 2020. gadā starpība starp dzimstību un mirstību būs nulle</w:t>
      </w:r>
      <w:r w:rsidR="00100F9B">
        <w:rPr>
          <w:lang w:val="lv-LV"/>
        </w:rPr>
        <w:t>, dati par dabisko pieaugumu 2016.</w:t>
      </w:r>
      <w:r w:rsidR="00D944C1">
        <w:rPr>
          <w:lang w:val="lv-LV"/>
        </w:rPr>
        <w:t> </w:t>
      </w:r>
      <w:r w:rsidR="00100F9B">
        <w:rPr>
          <w:lang w:val="lv-LV"/>
        </w:rPr>
        <w:t>gadā rāda, ka virz</w:t>
      </w:r>
      <w:r w:rsidR="0008133C">
        <w:rPr>
          <w:lang w:val="lv-LV"/>
        </w:rPr>
        <w:t>ība uz mērķa sasniegšanu apstājusies, jo starpība starp attiecīgajā gadā dzimušajiem un mirušajiem ir līdzīga tai, kāda novērota 2015.</w:t>
      </w:r>
      <w:r w:rsidR="00D944C1">
        <w:rPr>
          <w:lang w:val="lv-LV"/>
        </w:rPr>
        <w:t> </w:t>
      </w:r>
      <w:r w:rsidR="0008133C">
        <w:rPr>
          <w:lang w:val="lv-LV"/>
        </w:rPr>
        <w:t>gadā.</w:t>
      </w:r>
      <w:r>
        <w:rPr>
          <w:lang w:val="lv-LV"/>
        </w:rPr>
        <w:t xml:space="preserve"> Vienlaikus gan jāatzīmē, ka turpmākais progress makromērķī un attiecīgi stratēģiskajā indikatorā lielā mērā atkarīgs no īstenotajām aktivitātēm nabadzības risku </w:t>
      </w:r>
      <w:r>
        <w:rPr>
          <w:lang w:val="lv-LV"/>
        </w:rPr>
        <w:lastRenderedPageBreak/>
        <w:t xml:space="preserve">mazināšanai ģimenēs ar bērniem, īpaši daudzbērnu un viena vecāka ģimenēs, kā arī </w:t>
      </w:r>
      <w:r w:rsidR="009F7D59">
        <w:rPr>
          <w:lang w:val="lv-LV"/>
        </w:rPr>
        <w:t xml:space="preserve">no tā, cik veiksmīgi izdosies </w:t>
      </w:r>
      <w:r w:rsidR="00B44314">
        <w:rPr>
          <w:lang w:val="lv-LV"/>
        </w:rPr>
        <w:t>sekmēt</w:t>
      </w:r>
      <w:r w:rsidR="009F7D59">
        <w:rPr>
          <w:lang w:val="lv-LV"/>
        </w:rPr>
        <w:t xml:space="preserve"> ģimenes un darba dzīves savienošanas risinājumu</w:t>
      </w:r>
      <w:r w:rsidR="00B44314">
        <w:rPr>
          <w:lang w:val="lv-LV"/>
        </w:rPr>
        <w:t xml:space="preserve"> izmantošanu </w:t>
      </w:r>
      <w:r w:rsidR="000670A8">
        <w:rPr>
          <w:lang w:val="lv-LV"/>
        </w:rPr>
        <w:t xml:space="preserve">un nostiprināšanu </w:t>
      </w:r>
      <w:r w:rsidR="00B44314">
        <w:rPr>
          <w:lang w:val="lv-LV"/>
        </w:rPr>
        <w:t>darba tiesisko attiecību</w:t>
      </w:r>
      <w:r w:rsidR="000670A8">
        <w:rPr>
          <w:lang w:val="lv-LV"/>
        </w:rPr>
        <w:t xml:space="preserve"> jomā gan publiskajā pārvaldē, gan privātā sektorā. Tāpat dabiskā pieauguma izmaiņas tālākā nākotnē var ietekmēt proaktīva rīcība sabiedrības veselības jomā, </w:t>
      </w:r>
      <w:r w:rsidR="00D944C1">
        <w:rPr>
          <w:lang w:val="lv-LV"/>
        </w:rPr>
        <w:t xml:space="preserve">atkualizējot </w:t>
      </w:r>
      <w:r w:rsidR="000670A8">
        <w:rPr>
          <w:lang w:val="lv-LV"/>
        </w:rPr>
        <w:t xml:space="preserve">veselību ietekmējošo riska faktoru </w:t>
      </w:r>
      <w:r w:rsidR="00D944C1">
        <w:rPr>
          <w:lang w:val="lv-LV"/>
        </w:rPr>
        <w:t>izplatības mazināšanas nepieciešamību sabiedrībā.</w:t>
      </w:r>
    </w:p>
    <w:p w14:paraId="5D5B173B" w14:textId="67F9F158" w:rsidR="000C7998" w:rsidRPr="009C7DA7" w:rsidRDefault="00121897" w:rsidP="000C7998">
      <w:pPr>
        <w:rPr>
          <w:lang w:val="lv-LV"/>
        </w:rPr>
      </w:pPr>
      <w:r>
        <w:rPr>
          <w:lang w:val="lv-LV"/>
        </w:rPr>
        <w:t xml:space="preserve">Galvenie finanšu avoti NAP2020 īstenošanai ir valsts budžeta līdzekļi un ES fondu investīcijas. </w:t>
      </w:r>
      <w:r w:rsidR="000C7998" w:rsidRPr="000C7998">
        <w:rPr>
          <w:lang w:val="lv-LV"/>
        </w:rPr>
        <w:t xml:space="preserve">Valsts budžeta kopējās plānotās investīcijas NAP2020 mērķu sasniegšanai </w:t>
      </w:r>
      <w:r w:rsidR="00D856A4">
        <w:rPr>
          <w:lang w:val="lv-LV"/>
        </w:rPr>
        <w:t>paredzētas</w:t>
      </w:r>
      <w:r w:rsidR="000C7998" w:rsidRPr="000C7998">
        <w:rPr>
          <w:lang w:val="lv-LV"/>
        </w:rPr>
        <w:t xml:space="preserve"> 2 ml</w:t>
      </w:r>
      <w:r w:rsidR="00E40CCE">
        <w:rPr>
          <w:lang w:val="lv-LV"/>
        </w:rPr>
        <w:t>jr</w:t>
      </w:r>
      <w:r w:rsidR="000C7998" w:rsidRPr="000C7998">
        <w:rPr>
          <w:lang w:val="lv-LV"/>
        </w:rPr>
        <w:t>d euro</w:t>
      </w:r>
      <w:r w:rsidR="00D856A4">
        <w:rPr>
          <w:lang w:val="lv-LV"/>
        </w:rPr>
        <w:t xml:space="preserve"> apmērā. No minēt</w:t>
      </w:r>
      <w:r w:rsidR="000C7998" w:rsidRPr="000C7998">
        <w:rPr>
          <w:lang w:val="lv-LV"/>
        </w:rPr>
        <w:t>ā</w:t>
      </w:r>
      <w:r w:rsidR="00D856A4">
        <w:rPr>
          <w:lang w:val="lv-LV"/>
        </w:rPr>
        <w:t xml:space="preserve">s summas </w:t>
      </w:r>
      <w:r w:rsidR="000C7998" w:rsidRPr="000C7998">
        <w:rPr>
          <w:lang w:val="lv-LV"/>
        </w:rPr>
        <w:t xml:space="preserve">19,6% </w:t>
      </w:r>
      <w:r w:rsidR="00D856A4">
        <w:rPr>
          <w:lang w:val="lv-LV"/>
        </w:rPr>
        <w:t>plānots</w:t>
      </w:r>
      <w:r w:rsidR="000C7998" w:rsidRPr="000C7998">
        <w:rPr>
          <w:lang w:val="lv-LV"/>
        </w:rPr>
        <w:t xml:space="preserve"> investēt prioritātē </w:t>
      </w:r>
      <w:r w:rsidR="000C7998" w:rsidRPr="00D856A4">
        <w:rPr>
          <w:i/>
          <w:lang w:val="lv-LV"/>
        </w:rPr>
        <w:t>Tautas saimniecības izaugsme</w:t>
      </w:r>
      <w:r w:rsidR="000C7998" w:rsidRPr="000C7998">
        <w:rPr>
          <w:lang w:val="lv-LV"/>
        </w:rPr>
        <w:t xml:space="preserve">, 45,1% - </w:t>
      </w:r>
      <w:r w:rsidR="000C7998" w:rsidRPr="00D856A4">
        <w:rPr>
          <w:i/>
          <w:lang w:val="lv-LV"/>
        </w:rPr>
        <w:t>Izaugsmi atbalstošas teritorijas</w:t>
      </w:r>
      <w:r w:rsidR="000C7998" w:rsidRPr="000C7998">
        <w:rPr>
          <w:lang w:val="lv-LV"/>
        </w:rPr>
        <w:t xml:space="preserve">, savukārt 35,2% - </w:t>
      </w:r>
      <w:r w:rsidR="000C7998" w:rsidRPr="00D856A4">
        <w:rPr>
          <w:i/>
          <w:lang w:val="lv-LV"/>
        </w:rPr>
        <w:t>Cilvēka drošumspēja</w:t>
      </w:r>
      <w:r w:rsidR="000C7998" w:rsidRPr="000C7998">
        <w:rPr>
          <w:lang w:val="lv-LV"/>
        </w:rPr>
        <w:t xml:space="preserve">. Gan prioritātē </w:t>
      </w:r>
      <w:r w:rsidR="000C7998" w:rsidRPr="00D856A4">
        <w:rPr>
          <w:i/>
          <w:lang w:val="lv-LV"/>
        </w:rPr>
        <w:t>Tautas saimniecības izaugsme</w:t>
      </w:r>
      <w:r w:rsidR="000C7998" w:rsidRPr="000C7998">
        <w:rPr>
          <w:lang w:val="lv-LV"/>
        </w:rPr>
        <w:t xml:space="preserve">, gan </w:t>
      </w:r>
      <w:r w:rsidR="000C7998" w:rsidRPr="00D856A4">
        <w:rPr>
          <w:i/>
          <w:lang w:val="lv-LV"/>
        </w:rPr>
        <w:t>Cilvēka drošumspēja</w:t>
      </w:r>
      <w:r w:rsidR="000C7998" w:rsidRPr="000C7998">
        <w:rPr>
          <w:lang w:val="lv-LV"/>
        </w:rPr>
        <w:t xml:space="preserve"> uz 2016.</w:t>
      </w:r>
      <w:r w:rsidR="00D856A4">
        <w:rPr>
          <w:lang w:val="lv-LV"/>
        </w:rPr>
        <w:t> </w:t>
      </w:r>
      <w:r w:rsidR="000C7998" w:rsidRPr="000C7998">
        <w:rPr>
          <w:lang w:val="lv-LV"/>
        </w:rPr>
        <w:t>gada nogali ir investēta absolūti lielākā daļa no sākotnēji plānotajām valsts budžeta investīcijā</w:t>
      </w:r>
      <w:r w:rsidR="00D856A4">
        <w:rPr>
          <w:lang w:val="lv-LV"/>
        </w:rPr>
        <w:t>m</w:t>
      </w:r>
      <w:r w:rsidR="000C7998" w:rsidRPr="000C7998">
        <w:rPr>
          <w:lang w:val="lv-LV"/>
        </w:rPr>
        <w:t xml:space="preserve"> – attiecīgi 90,9% un 93,4%. Prioritātē </w:t>
      </w:r>
      <w:r w:rsidR="000C7998" w:rsidRPr="00D856A4">
        <w:rPr>
          <w:i/>
          <w:lang w:val="lv-LV"/>
        </w:rPr>
        <w:t>Tautas saimniecības izaugsme</w:t>
      </w:r>
      <w:r w:rsidR="000C7998" w:rsidRPr="000C7998">
        <w:rPr>
          <w:lang w:val="lv-LV"/>
        </w:rPr>
        <w:t xml:space="preserve"> minētais progress ir izskaidrojams ar izdevumiem VSAOI politikas izmaiņām, IIN likmes samazināšanai, Elektroenerģijas ražošanas atbalsta fonda izveidei un ēnu ekonomikas apkarošanas pasākumiem, kamēr prioritātē </w:t>
      </w:r>
      <w:r w:rsidR="000C7998" w:rsidRPr="00D856A4">
        <w:rPr>
          <w:i/>
          <w:lang w:val="lv-LV"/>
        </w:rPr>
        <w:t>Cilvēku drošumspēja</w:t>
      </w:r>
      <w:r w:rsidR="000C7998" w:rsidRPr="000C7998">
        <w:rPr>
          <w:lang w:val="lv-LV"/>
        </w:rPr>
        <w:t xml:space="preserve"> būtiskākās izdevumu pozīcijas veidoja atlīdzības nodrošināšana </w:t>
      </w:r>
      <w:r w:rsidR="00D856A4">
        <w:rPr>
          <w:lang w:val="lv-LV"/>
        </w:rPr>
        <w:t>iekšlietu</w:t>
      </w:r>
      <w:r w:rsidR="000C7998" w:rsidRPr="000C7998">
        <w:rPr>
          <w:lang w:val="lv-LV"/>
        </w:rPr>
        <w:t xml:space="preserve"> sistēmas iestāžu amatpersonām ar speciālajām dienesta pakāpēm, ārstniecības personu darba samaksas paaugstināšana un demogrāfijas pasākumu īstenošana. Vienlaikus prioritātē </w:t>
      </w:r>
      <w:r w:rsidR="000C7998" w:rsidRPr="00FE36BD">
        <w:rPr>
          <w:i/>
          <w:lang w:val="lv-LV"/>
        </w:rPr>
        <w:t>Izaugsmi atbalstošas teritorijas</w:t>
      </w:r>
      <w:r w:rsidR="000C7998" w:rsidRPr="000C7998">
        <w:rPr>
          <w:lang w:val="lv-LV"/>
        </w:rPr>
        <w:t xml:space="preserve"> ir investēti 444,5 mlj euro jeb 48,9% no sākotnēji plānotajām valsts budžeta investīcijām.</w:t>
      </w:r>
    </w:p>
    <w:p w14:paraId="446666CE" w14:textId="17E39DF6" w:rsidR="000C7998" w:rsidRPr="003D1842" w:rsidRDefault="00EF3D80" w:rsidP="000C7998">
      <w:pPr>
        <w:pStyle w:val="attelunosaukums"/>
      </w:pPr>
      <w:r>
        <w:t>6</w:t>
      </w:r>
      <w:r w:rsidR="000C7998">
        <w:t xml:space="preserve">. attēls.  </w:t>
      </w:r>
      <w:r w:rsidR="000C7998" w:rsidRPr="003D1842">
        <w:t>Valsts budžeta investīcij</w:t>
      </w:r>
      <w:r w:rsidR="000C7998">
        <w:t>as sadalījumā pa prioritātēm, m</w:t>
      </w:r>
      <w:r w:rsidR="000C7998" w:rsidRPr="003D1842">
        <w:t>lj e</w:t>
      </w:r>
      <w:r w:rsidR="000C7998">
        <w:t>u</w:t>
      </w:r>
      <w:r w:rsidR="000C7998" w:rsidRPr="003D1842">
        <w:t>ro</w:t>
      </w:r>
    </w:p>
    <w:p w14:paraId="2782CCD2" w14:textId="77777777" w:rsidR="000C7998" w:rsidRDefault="000C7998" w:rsidP="000C7998">
      <w:r>
        <w:rPr>
          <w:noProof/>
          <w:lang w:val="lv-LV" w:eastAsia="lv-LV"/>
        </w:rPr>
        <w:drawing>
          <wp:inline distT="0" distB="0" distL="0" distR="0" wp14:anchorId="56D12EBD" wp14:editId="31FAF59B">
            <wp:extent cx="4373593" cy="2182483"/>
            <wp:effectExtent l="0" t="0" r="8255"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F861EA" w14:textId="77777777" w:rsidR="000C7998" w:rsidRDefault="000C7998" w:rsidP="000C7998">
      <w:pPr>
        <w:pStyle w:val="Piezme"/>
      </w:pPr>
    </w:p>
    <w:p w14:paraId="0ABFC302" w14:textId="2B858F97" w:rsidR="00E86034" w:rsidRPr="00E86034" w:rsidRDefault="00EB4463" w:rsidP="00EB4463">
      <w:pPr>
        <w:rPr>
          <w:lang w:val="lv-LV"/>
        </w:rPr>
      </w:pPr>
      <w:r>
        <w:rPr>
          <w:lang w:val="lv-LV"/>
        </w:rPr>
        <w:t>Analizējot rīcības virzienu līmenī, secināms, ka a</w:t>
      </w:r>
      <w:r w:rsidR="00E86034" w:rsidRPr="00E86034">
        <w:rPr>
          <w:lang w:val="lv-LV"/>
        </w:rPr>
        <w:t xml:space="preserve">ptuveni </w:t>
      </w:r>
      <w:r>
        <w:rPr>
          <w:lang w:val="lv-LV"/>
        </w:rPr>
        <w:t xml:space="preserve">ceturtdaļā </w:t>
      </w:r>
      <w:r w:rsidR="00E86034" w:rsidRPr="00E86034">
        <w:rPr>
          <w:lang w:val="lv-LV"/>
        </w:rPr>
        <w:t xml:space="preserve">no visiem rīcības virzieniem faktiski veiktās investīcijas </w:t>
      </w:r>
      <w:r w:rsidR="00890028">
        <w:rPr>
          <w:lang w:val="lv-LV"/>
        </w:rPr>
        <w:t>jau</w:t>
      </w:r>
      <w:r w:rsidR="00E86034" w:rsidRPr="00E86034">
        <w:rPr>
          <w:lang w:val="lv-LV"/>
        </w:rPr>
        <w:t xml:space="preserve"> 2016.</w:t>
      </w:r>
      <w:r>
        <w:rPr>
          <w:lang w:val="lv-LV"/>
        </w:rPr>
        <w:t> </w:t>
      </w:r>
      <w:r w:rsidR="00E86034" w:rsidRPr="00E86034">
        <w:rPr>
          <w:lang w:val="lv-LV"/>
        </w:rPr>
        <w:t>gada 31.</w:t>
      </w:r>
      <w:r>
        <w:rPr>
          <w:lang w:val="lv-LV"/>
        </w:rPr>
        <w:t> </w:t>
      </w:r>
      <w:r w:rsidR="00E86034" w:rsidRPr="00E86034">
        <w:rPr>
          <w:lang w:val="lv-LV"/>
        </w:rPr>
        <w:t>decembr</w:t>
      </w:r>
      <w:r w:rsidR="00890028">
        <w:rPr>
          <w:lang w:val="lv-LV"/>
        </w:rPr>
        <w:t>ī</w:t>
      </w:r>
      <w:r>
        <w:rPr>
          <w:lang w:val="lv-LV"/>
        </w:rPr>
        <w:t xml:space="preserve"> pārsniedza sākotnēji plānoto</w:t>
      </w:r>
      <w:r w:rsidR="00E86034" w:rsidRPr="00E86034">
        <w:rPr>
          <w:lang w:val="lv-LV"/>
        </w:rPr>
        <w:t xml:space="preserve"> valsts budžeta i</w:t>
      </w:r>
      <w:r>
        <w:rPr>
          <w:lang w:val="lv-LV"/>
        </w:rPr>
        <w:t>eguldījumu apmēru</w:t>
      </w:r>
      <w:r w:rsidR="00E86034" w:rsidRPr="00E86034">
        <w:rPr>
          <w:lang w:val="lv-LV"/>
        </w:rPr>
        <w:t xml:space="preserve"> attiecīgajiem rīcības virzieniem, turklāt rīcības virzienā </w:t>
      </w:r>
      <w:r w:rsidR="00E86034" w:rsidRPr="00EB4463">
        <w:rPr>
          <w:i/>
          <w:lang w:val="lv-LV"/>
        </w:rPr>
        <w:t>Energoefektivitāte un enerģijas ražošana</w:t>
      </w:r>
      <w:r w:rsidR="00E86034" w:rsidRPr="00E86034">
        <w:rPr>
          <w:lang w:val="lv-LV"/>
        </w:rPr>
        <w:t xml:space="preserve"> šis pārsniegums </w:t>
      </w:r>
      <w:r>
        <w:rPr>
          <w:lang w:val="lv-LV"/>
        </w:rPr>
        <w:t>ir pat</w:t>
      </w:r>
      <w:r w:rsidR="00E86034" w:rsidRPr="00E86034">
        <w:rPr>
          <w:lang w:val="lv-LV"/>
        </w:rPr>
        <w:t xml:space="preserve"> 9,5 reizes </w:t>
      </w:r>
      <w:r>
        <w:rPr>
          <w:lang w:val="lv-LV"/>
        </w:rPr>
        <w:t>lielāks nekā</w:t>
      </w:r>
      <w:r w:rsidR="00E86034" w:rsidRPr="00E86034">
        <w:rPr>
          <w:lang w:val="lv-LV"/>
        </w:rPr>
        <w:t xml:space="preserve"> sākotnēji plānot</w:t>
      </w:r>
      <w:r>
        <w:rPr>
          <w:lang w:val="lv-LV"/>
        </w:rPr>
        <w:t>s</w:t>
      </w:r>
      <w:r w:rsidR="00E86034" w:rsidRPr="00E86034">
        <w:rPr>
          <w:lang w:val="lv-LV"/>
        </w:rPr>
        <w:t xml:space="preserve">. Lielākais valsts budžeta finansējums tika plānots rīcības virzieniem </w:t>
      </w:r>
      <w:r w:rsidR="00E86034" w:rsidRPr="00CA020F">
        <w:rPr>
          <w:i/>
          <w:lang w:val="lv-LV"/>
        </w:rPr>
        <w:t>Pakalpojumu pieejamība līdzvērtīgāku darba iespēju un dzīves apstākļu radīšanai</w:t>
      </w:r>
      <w:r w:rsidR="00E86034" w:rsidRPr="00E86034">
        <w:rPr>
          <w:lang w:val="lv-LV"/>
        </w:rPr>
        <w:t xml:space="preserve">, </w:t>
      </w:r>
      <w:r w:rsidR="00E86034" w:rsidRPr="00CA020F">
        <w:rPr>
          <w:i/>
          <w:lang w:val="lv-LV"/>
        </w:rPr>
        <w:t>Ekonomiskās aktivitātes veicināšana reģionos - teritoriju potenciāla izmantošana</w:t>
      </w:r>
      <w:r w:rsidR="00E86034" w:rsidRPr="00E86034">
        <w:rPr>
          <w:lang w:val="lv-LV"/>
        </w:rPr>
        <w:t xml:space="preserve"> un </w:t>
      </w:r>
      <w:r w:rsidR="00E86034" w:rsidRPr="00CA020F">
        <w:rPr>
          <w:i/>
          <w:lang w:val="lv-LV"/>
        </w:rPr>
        <w:t>Stabili pamati tautas ataudzei</w:t>
      </w:r>
      <w:r w:rsidR="00E86034" w:rsidRPr="00E86034">
        <w:rPr>
          <w:lang w:val="lv-LV"/>
        </w:rPr>
        <w:t xml:space="preserve"> – attiecīgi 475,6 mlj euro, 314,1 mlj euro un 267,5 mlj euro, bet mazākais </w:t>
      </w:r>
      <w:r w:rsidR="00E86034" w:rsidRPr="00CA020F">
        <w:rPr>
          <w:i/>
          <w:lang w:val="lv-LV"/>
        </w:rPr>
        <w:t>Energoefektivitāte un enerģijas ražošana</w:t>
      </w:r>
      <w:r w:rsidR="00E86034" w:rsidRPr="00E86034">
        <w:rPr>
          <w:lang w:val="lv-LV"/>
        </w:rPr>
        <w:t xml:space="preserve"> un </w:t>
      </w:r>
      <w:r w:rsidR="00E86034" w:rsidRPr="00CA020F">
        <w:rPr>
          <w:i/>
          <w:lang w:val="lv-LV"/>
        </w:rPr>
        <w:t>Kompetenču attīstība</w:t>
      </w:r>
      <w:r w:rsidR="00E86034" w:rsidRPr="00E86034">
        <w:rPr>
          <w:lang w:val="lv-LV"/>
        </w:rPr>
        <w:t xml:space="preserve">, attiecīgi 10,2 un 24,9 mlj euro. Vienlaikus </w:t>
      </w:r>
      <w:r w:rsidR="00CA020F">
        <w:rPr>
          <w:lang w:val="lv-LV"/>
        </w:rPr>
        <w:t xml:space="preserve">uz </w:t>
      </w:r>
      <w:r w:rsidR="00E86034" w:rsidRPr="00E86034">
        <w:rPr>
          <w:lang w:val="lv-LV"/>
        </w:rPr>
        <w:t>2016.</w:t>
      </w:r>
      <w:r w:rsidR="00CA020F">
        <w:rPr>
          <w:lang w:val="lv-LV"/>
        </w:rPr>
        <w:t> </w:t>
      </w:r>
      <w:r w:rsidR="00E86034" w:rsidRPr="00E86034">
        <w:rPr>
          <w:lang w:val="lv-LV"/>
        </w:rPr>
        <w:t>gada 31.</w:t>
      </w:r>
      <w:r w:rsidR="00CA020F">
        <w:rPr>
          <w:lang w:val="lv-LV"/>
        </w:rPr>
        <w:t> </w:t>
      </w:r>
      <w:r w:rsidR="00E86034" w:rsidRPr="00E86034">
        <w:rPr>
          <w:lang w:val="lv-LV"/>
        </w:rPr>
        <w:t xml:space="preserve">decembri lielākās investīcijas ir veiktas rīcības virzienos </w:t>
      </w:r>
      <w:r w:rsidR="00E86034" w:rsidRPr="00CA020F">
        <w:rPr>
          <w:i/>
          <w:lang w:val="lv-LV"/>
        </w:rPr>
        <w:t>Cienīgs darbs</w:t>
      </w:r>
      <w:r w:rsidR="00E86034" w:rsidRPr="00E86034">
        <w:rPr>
          <w:lang w:val="lv-LV"/>
        </w:rPr>
        <w:t xml:space="preserve">, </w:t>
      </w:r>
      <w:r w:rsidR="00E86034" w:rsidRPr="00CA020F">
        <w:rPr>
          <w:i/>
          <w:lang w:val="lv-LV"/>
        </w:rPr>
        <w:t>Pakalpojumu pieejamība līdzvērtīgāku darba iespēju un dzīves apstākļu radīšanai</w:t>
      </w:r>
      <w:r w:rsidR="00E86034" w:rsidRPr="00E86034">
        <w:rPr>
          <w:lang w:val="lv-LV"/>
        </w:rPr>
        <w:t xml:space="preserve"> un </w:t>
      </w:r>
      <w:r w:rsidR="00E86034" w:rsidRPr="00CA020F">
        <w:rPr>
          <w:i/>
          <w:lang w:val="lv-LV"/>
        </w:rPr>
        <w:t>Izcila uzņēmējdarbības vide</w:t>
      </w:r>
      <w:r w:rsidR="00E86034" w:rsidRPr="00E86034">
        <w:rPr>
          <w:lang w:val="lv-LV"/>
        </w:rPr>
        <w:t xml:space="preserve"> – attiecīgi 321,2 mlj euro, 270 mlj euro un 219,7 mlj euro.</w:t>
      </w:r>
    </w:p>
    <w:p w14:paraId="7DC0CF78" w14:textId="77777777" w:rsidR="00EF3D80" w:rsidRDefault="00EF3D80">
      <w:pPr>
        <w:spacing w:before="0" w:after="0"/>
        <w:jc w:val="left"/>
        <w:rPr>
          <w:b/>
          <w:color w:val="253356" w:themeColor="accent1" w:themeShade="80"/>
          <w:lang w:val="lv-LV"/>
        </w:rPr>
      </w:pPr>
      <w:r w:rsidRPr="000664FB">
        <w:rPr>
          <w:lang w:val="lv-LV"/>
        </w:rPr>
        <w:br w:type="page"/>
      </w:r>
    </w:p>
    <w:p w14:paraId="3FFCD22B" w14:textId="633EDD68" w:rsidR="00EB4463" w:rsidRDefault="00EF3D80" w:rsidP="00CA020F">
      <w:pPr>
        <w:pStyle w:val="attelunosaukums"/>
      </w:pPr>
      <w:r>
        <w:lastRenderedPageBreak/>
        <w:t>7</w:t>
      </w:r>
      <w:r w:rsidR="00CA020F">
        <w:t xml:space="preserve">. attēls.  </w:t>
      </w:r>
      <w:r w:rsidR="00EB4463" w:rsidRPr="003D1842">
        <w:t>Valsts budžeta investīcijas sada</w:t>
      </w:r>
      <w:r w:rsidR="00EB4463">
        <w:t>lījumā pa rīcības virzieniem, m</w:t>
      </w:r>
      <w:r w:rsidR="00EB4463" w:rsidRPr="003D1842">
        <w:t xml:space="preserve">lj </w:t>
      </w:r>
      <w:r w:rsidR="00CA020F">
        <w:t>eu</w:t>
      </w:r>
      <w:r w:rsidR="00EB4463" w:rsidRPr="003D1842">
        <w:t>ro</w:t>
      </w:r>
    </w:p>
    <w:p w14:paraId="61178C9E" w14:textId="77777777" w:rsidR="00EB4463" w:rsidRPr="00CA020F" w:rsidRDefault="00EB4463" w:rsidP="00EB4463">
      <w:pPr>
        <w:rPr>
          <w:rFonts w:ascii="Times New Roman" w:hAnsi="Times New Roman" w:cs="Times New Roman"/>
          <w:b/>
          <w:sz w:val="24"/>
          <w:lang w:val="lv-LV"/>
        </w:rPr>
      </w:pPr>
      <w:r>
        <w:rPr>
          <w:noProof/>
          <w:lang w:val="lv-LV" w:eastAsia="lv-LV"/>
        </w:rPr>
        <w:drawing>
          <wp:inline distT="0" distB="0" distL="0" distR="0" wp14:anchorId="5F7A70CC" wp14:editId="420E4E02">
            <wp:extent cx="5274310" cy="3456382"/>
            <wp:effectExtent l="0" t="0" r="254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7C5EFA" w14:textId="77777777" w:rsidR="00EB4463" w:rsidRDefault="00EB4463" w:rsidP="00EB4463">
      <w:pPr>
        <w:pStyle w:val="Piezme"/>
      </w:pPr>
    </w:p>
    <w:p w14:paraId="1E988CB7" w14:textId="579682D7" w:rsidR="000C7998" w:rsidRDefault="00FE36BD" w:rsidP="00FE36BD">
      <w:pPr>
        <w:rPr>
          <w:lang w:val="lv-LV"/>
        </w:rPr>
      </w:pPr>
      <w:r w:rsidRPr="00591B8F">
        <w:rPr>
          <w:lang w:val="lv-LV"/>
        </w:rPr>
        <w:t xml:space="preserve">Savukārt </w:t>
      </w:r>
      <w:r w:rsidR="000C7998" w:rsidRPr="00591B8F">
        <w:rPr>
          <w:lang w:val="lv-LV"/>
        </w:rPr>
        <w:t>ES fondu 2014.</w:t>
      </w:r>
      <w:r w:rsidRPr="00591B8F">
        <w:rPr>
          <w:lang w:val="lv-LV"/>
        </w:rPr>
        <w:t>–</w:t>
      </w:r>
      <w:r w:rsidR="000C7998" w:rsidRPr="00591B8F">
        <w:rPr>
          <w:lang w:val="lv-LV"/>
        </w:rPr>
        <w:t xml:space="preserve">2020.gada periodā kopējās uz NAP2020 attiecināmās ES fondu investīcijas </w:t>
      </w:r>
      <w:r w:rsidR="004724AA" w:rsidRPr="00591B8F">
        <w:rPr>
          <w:lang w:val="lv-LV"/>
        </w:rPr>
        <w:t>veido</w:t>
      </w:r>
      <w:r w:rsidR="000C7998" w:rsidRPr="00591B8F">
        <w:rPr>
          <w:lang w:val="lv-LV"/>
        </w:rPr>
        <w:t xml:space="preserve"> 5,4 mld euro. No minētajām investīcijām 42% </w:t>
      </w:r>
      <w:r w:rsidR="004724AA" w:rsidRPr="00591B8F">
        <w:rPr>
          <w:lang w:val="lv-LV"/>
        </w:rPr>
        <w:t>plānots</w:t>
      </w:r>
      <w:r w:rsidR="000C7998" w:rsidRPr="00591B8F">
        <w:rPr>
          <w:lang w:val="lv-LV"/>
        </w:rPr>
        <w:t xml:space="preserve"> investēt prioritātē </w:t>
      </w:r>
      <w:r w:rsidR="000C7998" w:rsidRPr="00591B8F">
        <w:rPr>
          <w:i/>
          <w:lang w:val="lv-LV"/>
        </w:rPr>
        <w:t>Tautas saimniecības izaugsme</w:t>
      </w:r>
      <w:r w:rsidR="000C7998" w:rsidRPr="00591B8F">
        <w:rPr>
          <w:lang w:val="lv-LV"/>
        </w:rPr>
        <w:t xml:space="preserve">, 40,2% - </w:t>
      </w:r>
      <w:r w:rsidR="000C7998" w:rsidRPr="00591B8F">
        <w:rPr>
          <w:i/>
          <w:lang w:val="lv-LV"/>
        </w:rPr>
        <w:t>Izaugsmi atbalstošas teritorijas</w:t>
      </w:r>
      <w:r w:rsidR="000C7998" w:rsidRPr="00591B8F">
        <w:rPr>
          <w:lang w:val="lv-LV"/>
        </w:rPr>
        <w:t xml:space="preserve">, savukārt 17,8% - </w:t>
      </w:r>
      <w:r w:rsidR="000C7998" w:rsidRPr="00591B8F">
        <w:rPr>
          <w:i/>
          <w:lang w:val="lv-LV"/>
        </w:rPr>
        <w:t>Cilvēka drošumspēja</w:t>
      </w:r>
      <w:r w:rsidR="000C7998" w:rsidRPr="00591B8F">
        <w:rPr>
          <w:lang w:val="lv-LV"/>
        </w:rPr>
        <w:t xml:space="preserve">. Straujākais ES fondu investīciju progress ir prioritātē </w:t>
      </w:r>
      <w:r w:rsidR="000C7998" w:rsidRPr="00591B8F">
        <w:rPr>
          <w:i/>
          <w:lang w:val="lv-LV"/>
        </w:rPr>
        <w:t>Izaugsmi atbalstošas teritorijas</w:t>
      </w:r>
      <w:r w:rsidR="000C7998" w:rsidRPr="00591B8F">
        <w:rPr>
          <w:lang w:val="lv-LV"/>
        </w:rPr>
        <w:t xml:space="preserve">, kur ir veiktas investīcijas 365,2 mlj euro apmērā jeb 16,7% no periodā plānotajām. Minētais ir izskaidrojams ar panākto progresu ELFLA un EJZF fondu investīcijās. Vienlaikus lēnākais ES investīciju progress ir prioritātē </w:t>
      </w:r>
      <w:r w:rsidR="000C7998" w:rsidRPr="00591B8F">
        <w:rPr>
          <w:i/>
          <w:lang w:val="lv-LV"/>
        </w:rPr>
        <w:t>Tautas saimniecības izaugsme</w:t>
      </w:r>
      <w:r w:rsidR="000C7998" w:rsidRPr="00591B8F">
        <w:rPr>
          <w:lang w:val="lv-LV"/>
        </w:rPr>
        <w:t xml:space="preserve">, kur ir investēti vien 83,5 mlj euro jeb 3,7% no periodā plānotajām investīcijām. </w:t>
      </w:r>
    </w:p>
    <w:p w14:paraId="23C7DD00" w14:textId="15F80D72" w:rsidR="003725B2" w:rsidRPr="003D1842" w:rsidRDefault="00EF3D80" w:rsidP="003725B2">
      <w:pPr>
        <w:pStyle w:val="attelunosaukums"/>
      </w:pPr>
      <w:r>
        <w:t>8</w:t>
      </w:r>
      <w:r w:rsidR="00AC0312">
        <w:t>.</w:t>
      </w:r>
      <w:r w:rsidR="003725B2">
        <w:t xml:space="preserve"> attēls.  </w:t>
      </w:r>
      <w:r w:rsidR="003725B2" w:rsidRPr="003D1842">
        <w:t>ES fondu investīciju progress, mlj euro</w:t>
      </w:r>
    </w:p>
    <w:p w14:paraId="4576143A" w14:textId="77777777" w:rsidR="003725B2" w:rsidRDefault="003725B2" w:rsidP="003725B2">
      <w:r w:rsidRPr="003725B2">
        <w:rPr>
          <w:noProof/>
          <w:sz w:val="18"/>
          <w:szCs w:val="18"/>
          <w:lang w:val="lv-LV" w:eastAsia="lv-LV"/>
        </w:rPr>
        <w:drawing>
          <wp:inline distT="0" distB="0" distL="0" distR="0" wp14:anchorId="1D8FC120" wp14:editId="433C43AE">
            <wp:extent cx="4459857" cy="2087592"/>
            <wp:effectExtent l="0" t="0" r="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E4E4AD" w14:textId="77777777" w:rsidR="00AC0312" w:rsidRDefault="00AC0312" w:rsidP="00AC0312">
      <w:pPr>
        <w:pStyle w:val="Piezme"/>
      </w:pPr>
    </w:p>
    <w:p w14:paraId="2013EC4F" w14:textId="52EED4FD" w:rsidR="00194A43" w:rsidRPr="00591B8F" w:rsidRDefault="00194A43" w:rsidP="00194A43">
      <w:pPr>
        <w:rPr>
          <w:lang w:val="lv-LV"/>
        </w:rPr>
      </w:pPr>
      <w:r>
        <w:rPr>
          <w:lang w:val="lv-LV"/>
        </w:rPr>
        <w:t xml:space="preserve">Analizējot rīcības virzienu līmenī, </w:t>
      </w:r>
      <w:r w:rsidR="00967339">
        <w:rPr>
          <w:lang w:val="lv-LV"/>
        </w:rPr>
        <w:t xml:space="preserve">secināms, ka </w:t>
      </w:r>
      <w:r>
        <w:rPr>
          <w:lang w:val="lv-LV"/>
        </w:rPr>
        <w:t>tikai trešdaļā</w:t>
      </w:r>
      <w:r w:rsidRPr="00591B8F">
        <w:rPr>
          <w:lang w:val="lv-LV"/>
        </w:rPr>
        <w:t xml:space="preserve"> </w:t>
      </w:r>
      <w:r>
        <w:rPr>
          <w:lang w:val="lv-LV"/>
        </w:rPr>
        <w:t xml:space="preserve">no divpadsmit </w:t>
      </w:r>
      <w:r w:rsidRPr="00591B8F">
        <w:rPr>
          <w:lang w:val="lv-LV"/>
        </w:rPr>
        <w:t>rīcības virzien</w:t>
      </w:r>
      <w:r>
        <w:rPr>
          <w:lang w:val="lv-LV"/>
        </w:rPr>
        <w:t>iem</w:t>
      </w:r>
      <w:r w:rsidRPr="00591B8F">
        <w:rPr>
          <w:lang w:val="lv-LV"/>
        </w:rPr>
        <w:t xml:space="preserve"> faktiski veiktās investīcijas uz 2016.</w:t>
      </w:r>
      <w:r>
        <w:rPr>
          <w:lang w:val="lv-LV"/>
        </w:rPr>
        <w:t> </w:t>
      </w:r>
      <w:r w:rsidRPr="00591B8F">
        <w:rPr>
          <w:lang w:val="lv-LV"/>
        </w:rPr>
        <w:t>gada 31.</w:t>
      </w:r>
      <w:r>
        <w:rPr>
          <w:lang w:val="lv-LV"/>
        </w:rPr>
        <w:t> </w:t>
      </w:r>
      <w:r w:rsidRPr="00591B8F">
        <w:rPr>
          <w:lang w:val="lv-LV"/>
        </w:rPr>
        <w:t>decembri pārsniedz 10% no periodā plānotaj</w:t>
      </w:r>
      <w:r>
        <w:rPr>
          <w:lang w:val="lv-LV"/>
        </w:rPr>
        <w:t>ie</w:t>
      </w:r>
      <w:r w:rsidRPr="00591B8F">
        <w:rPr>
          <w:lang w:val="lv-LV"/>
        </w:rPr>
        <w:t xml:space="preserve">m ES fondu </w:t>
      </w:r>
      <w:r>
        <w:rPr>
          <w:lang w:val="lv-LV"/>
        </w:rPr>
        <w:t>līdzekļiem</w:t>
      </w:r>
      <w:r w:rsidRPr="00591B8F">
        <w:rPr>
          <w:lang w:val="lv-LV"/>
        </w:rPr>
        <w:t xml:space="preserve">. Straujākais ES fondu investīciju progress ir rīcības virzienos </w:t>
      </w:r>
      <w:r w:rsidRPr="00F47F2E">
        <w:rPr>
          <w:i/>
          <w:lang w:val="lv-LV"/>
        </w:rPr>
        <w:t>Dabas un kultūras kapitāla ilgtspējīga apsaimniekošana</w:t>
      </w:r>
      <w:r w:rsidRPr="00591B8F">
        <w:rPr>
          <w:lang w:val="lv-LV"/>
        </w:rPr>
        <w:t xml:space="preserve">, </w:t>
      </w:r>
      <w:r w:rsidRPr="00F47F2E">
        <w:rPr>
          <w:i/>
          <w:lang w:val="lv-LV"/>
        </w:rPr>
        <w:t xml:space="preserve">Cilvēku </w:t>
      </w:r>
      <w:r w:rsidRPr="00F47F2E">
        <w:rPr>
          <w:i/>
          <w:lang w:val="lv-LV"/>
        </w:rPr>
        <w:lastRenderedPageBreak/>
        <w:t>sadarbība, kultūra un pilsoniskā līdzdalība kā piederības Latvijai pamats</w:t>
      </w:r>
      <w:r w:rsidRPr="00591B8F">
        <w:rPr>
          <w:lang w:val="lv-LV"/>
        </w:rPr>
        <w:t xml:space="preserve"> un </w:t>
      </w:r>
      <w:r w:rsidRPr="00F47F2E">
        <w:rPr>
          <w:i/>
          <w:lang w:val="lv-LV"/>
        </w:rPr>
        <w:t>Ekonomiskās aktivitātes veicināšana reģionos</w:t>
      </w:r>
      <w:r>
        <w:rPr>
          <w:lang w:val="lv-LV"/>
        </w:rPr>
        <w:t> </w:t>
      </w:r>
      <w:r w:rsidRPr="00591B8F">
        <w:rPr>
          <w:lang w:val="lv-LV"/>
        </w:rPr>
        <w:t xml:space="preserve">– attiecīgi 27,7%, 27% un 23,4% no periodā plānotajām ES fondu investīcijām. Savukārt lēnākais ES fondu investīciju progress ir rīcības virzienos </w:t>
      </w:r>
      <w:r w:rsidRPr="00F47F2E">
        <w:rPr>
          <w:i/>
          <w:lang w:val="lv-LV"/>
        </w:rPr>
        <w:t>Kompetenču attīstība</w:t>
      </w:r>
      <w:r w:rsidRPr="00591B8F">
        <w:rPr>
          <w:lang w:val="lv-LV"/>
        </w:rPr>
        <w:t xml:space="preserve">, </w:t>
      </w:r>
      <w:r w:rsidRPr="00F47F2E">
        <w:rPr>
          <w:i/>
          <w:lang w:val="lv-LV"/>
        </w:rPr>
        <w:t>Vesels un darbspējīgs cilvēks</w:t>
      </w:r>
      <w:r w:rsidRPr="00591B8F">
        <w:rPr>
          <w:lang w:val="lv-LV"/>
        </w:rPr>
        <w:t xml:space="preserve">, </w:t>
      </w:r>
      <w:r w:rsidRPr="00F47F2E">
        <w:rPr>
          <w:i/>
          <w:lang w:val="lv-LV"/>
        </w:rPr>
        <w:t>Izcila uzņēmējdarbības vide</w:t>
      </w:r>
      <w:r w:rsidRPr="00591B8F">
        <w:rPr>
          <w:lang w:val="lv-LV"/>
        </w:rPr>
        <w:t xml:space="preserve"> un </w:t>
      </w:r>
      <w:r w:rsidRPr="00F47F2E">
        <w:rPr>
          <w:i/>
          <w:lang w:val="lv-LV"/>
        </w:rPr>
        <w:t>Attīstīta pētniecība, inovācija un augstākā izglītība</w:t>
      </w:r>
      <w:r w:rsidRPr="00591B8F">
        <w:rPr>
          <w:lang w:val="lv-LV"/>
        </w:rPr>
        <w:t>, kur veikt</w:t>
      </w:r>
      <w:r w:rsidR="00967339">
        <w:rPr>
          <w:lang w:val="lv-LV"/>
        </w:rPr>
        <w:t>ie ieguldījumi</w:t>
      </w:r>
      <w:r w:rsidRPr="00591B8F">
        <w:rPr>
          <w:lang w:val="lv-LV"/>
        </w:rPr>
        <w:t xml:space="preserve"> ir zem 1% sliekšņa no periodā plānotajām ES fondu investīcijām.</w:t>
      </w:r>
    </w:p>
    <w:p w14:paraId="22461FE3" w14:textId="529B0640" w:rsidR="00967339" w:rsidRPr="00967339" w:rsidRDefault="00EF3D80" w:rsidP="00967339">
      <w:pPr>
        <w:pStyle w:val="attelunosaukums"/>
      </w:pPr>
      <w:r>
        <w:t>9</w:t>
      </w:r>
      <w:r w:rsidR="00967339">
        <w:t xml:space="preserve">. attēls.  </w:t>
      </w:r>
      <w:r w:rsidR="00967339" w:rsidRPr="00967339">
        <w:t>ES fondu investīcijas sadalī</w:t>
      </w:r>
      <w:r w:rsidR="00E86034">
        <w:t>jumā pa rīcības virzieniem, mlj</w:t>
      </w:r>
      <w:r w:rsidR="00967339" w:rsidRPr="00967339">
        <w:t xml:space="preserve"> e</w:t>
      </w:r>
      <w:r w:rsidR="00E86034">
        <w:t>u</w:t>
      </w:r>
      <w:r w:rsidR="00967339" w:rsidRPr="00967339">
        <w:t>ro</w:t>
      </w:r>
    </w:p>
    <w:p w14:paraId="77421D2E" w14:textId="77777777" w:rsidR="00967339" w:rsidRDefault="00967339" w:rsidP="00967339">
      <w:pPr>
        <w:rPr>
          <w:rFonts w:ascii="Times New Roman" w:hAnsi="Times New Roman" w:cs="Times New Roman"/>
        </w:rPr>
      </w:pPr>
      <w:r>
        <w:rPr>
          <w:noProof/>
          <w:lang w:val="lv-LV" w:eastAsia="lv-LV"/>
        </w:rPr>
        <w:drawing>
          <wp:inline distT="0" distB="0" distL="0" distR="0" wp14:anchorId="3E66661F" wp14:editId="6A2DF2A1">
            <wp:extent cx="5274310" cy="3641349"/>
            <wp:effectExtent l="0" t="0" r="254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6DD04B" w14:textId="77777777" w:rsidR="00967339" w:rsidRDefault="00967339" w:rsidP="00E86034">
      <w:pPr>
        <w:pStyle w:val="Piezme"/>
      </w:pPr>
    </w:p>
    <w:p w14:paraId="661839B4" w14:textId="0DC92154" w:rsidR="00591B8F" w:rsidRPr="007B3DF0" w:rsidRDefault="000C7998" w:rsidP="000C7998">
      <w:pPr>
        <w:rPr>
          <w:lang w:val="lv-LV"/>
        </w:rPr>
      </w:pPr>
      <w:r w:rsidRPr="00194A43">
        <w:rPr>
          <w:lang w:val="lv-LV"/>
        </w:rPr>
        <w:t xml:space="preserve">99% no kopējām citām ārvalstu finanšu investīcijām tika plānotas prioritātē </w:t>
      </w:r>
      <w:r w:rsidRPr="007B3DF0">
        <w:rPr>
          <w:i/>
          <w:lang w:val="lv-LV"/>
        </w:rPr>
        <w:t>Tautas saimniecības izaugsme</w:t>
      </w:r>
      <w:r w:rsidRPr="00194A43">
        <w:rPr>
          <w:lang w:val="lv-LV"/>
        </w:rPr>
        <w:t>, kas ir izskaidrojams ar plānotaj</w:t>
      </w:r>
      <w:r w:rsidR="007B3DF0">
        <w:rPr>
          <w:lang w:val="lv-LV"/>
        </w:rPr>
        <w:t>ie</w:t>
      </w:r>
      <w:r w:rsidRPr="00194A43">
        <w:rPr>
          <w:lang w:val="lv-LV"/>
        </w:rPr>
        <w:t>m i</w:t>
      </w:r>
      <w:r w:rsidR="007B3DF0">
        <w:rPr>
          <w:lang w:val="lv-LV"/>
        </w:rPr>
        <w:t>eguldījumiem</w:t>
      </w:r>
      <w:r w:rsidRPr="00194A43">
        <w:rPr>
          <w:lang w:val="lv-LV"/>
        </w:rPr>
        <w:t xml:space="preserve"> energoinfrastruktūras tīklu attīstībā, </w:t>
      </w:r>
      <w:r w:rsidR="00DE5F2B">
        <w:rPr>
          <w:lang w:val="lv-LV"/>
        </w:rPr>
        <w:t>koplietošanas pētniecības infrastruktūras</w:t>
      </w:r>
      <w:r w:rsidR="00DE5F2B" w:rsidRPr="00194A43">
        <w:rPr>
          <w:lang w:val="lv-LV"/>
        </w:rPr>
        <w:t xml:space="preserve"> </w:t>
      </w:r>
      <w:r w:rsidRPr="00194A43">
        <w:rPr>
          <w:lang w:val="lv-LV"/>
        </w:rPr>
        <w:t xml:space="preserve">izveidē un Rail Baltica Latvijas posma tehniskās dokumentācijas izstrādē un izbūves uzsākšanā. </w:t>
      </w:r>
      <w:r w:rsidRPr="007B3DF0">
        <w:rPr>
          <w:lang w:val="lv-LV"/>
        </w:rPr>
        <w:t>No minētajām investīcijām laika periodā līdz 2016.</w:t>
      </w:r>
      <w:r w:rsidR="007B3DF0" w:rsidRPr="007B3DF0">
        <w:rPr>
          <w:lang w:val="lv-LV"/>
        </w:rPr>
        <w:t> </w:t>
      </w:r>
      <w:r w:rsidRPr="007B3DF0">
        <w:rPr>
          <w:lang w:val="lv-LV"/>
        </w:rPr>
        <w:t>gada 31.</w:t>
      </w:r>
      <w:r w:rsidR="007B3DF0">
        <w:rPr>
          <w:lang w:val="lv-LV"/>
        </w:rPr>
        <w:t> </w:t>
      </w:r>
      <w:r w:rsidRPr="007B3DF0">
        <w:rPr>
          <w:lang w:val="lv-LV"/>
        </w:rPr>
        <w:t xml:space="preserve">decembrim faktiski ir investēti līdzekļi 21,39 mlj euro apmērā jeb 1% no </w:t>
      </w:r>
      <w:r w:rsidR="007B3DF0">
        <w:rPr>
          <w:lang w:val="lv-LV"/>
        </w:rPr>
        <w:t xml:space="preserve">sākotnēji </w:t>
      </w:r>
      <w:r w:rsidRPr="007B3DF0">
        <w:rPr>
          <w:lang w:val="lv-LV"/>
        </w:rPr>
        <w:t xml:space="preserve">plānotā. Vienlaikus veiktās citas ārvalstu finanšu investīcijas prioritātēs </w:t>
      </w:r>
      <w:r w:rsidRPr="007B3DF0">
        <w:rPr>
          <w:i/>
          <w:lang w:val="lv-LV"/>
        </w:rPr>
        <w:t>Cilvēka drošumspēja</w:t>
      </w:r>
      <w:r w:rsidRPr="007B3DF0">
        <w:rPr>
          <w:lang w:val="lv-LV"/>
        </w:rPr>
        <w:t xml:space="preserve"> un </w:t>
      </w:r>
      <w:r w:rsidRPr="007B3DF0">
        <w:rPr>
          <w:i/>
          <w:lang w:val="lv-LV"/>
        </w:rPr>
        <w:t>Izaugsmi atbalstošas teritorijas</w:t>
      </w:r>
      <w:r w:rsidRPr="007B3DF0">
        <w:rPr>
          <w:lang w:val="lv-LV"/>
        </w:rPr>
        <w:t xml:space="preserve"> uz 2016.</w:t>
      </w:r>
      <w:r w:rsidR="007B3DF0" w:rsidRPr="007B3DF0">
        <w:rPr>
          <w:lang w:val="lv-LV"/>
        </w:rPr>
        <w:t> </w:t>
      </w:r>
      <w:r w:rsidRPr="007B3DF0">
        <w:rPr>
          <w:lang w:val="lv-LV"/>
        </w:rPr>
        <w:t xml:space="preserve">gada nogali jau bija pārsniegušas sākotnēji plānotās, turklāt minētais pārsniegums prioritātē </w:t>
      </w:r>
      <w:r w:rsidRPr="00C22FE4">
        <w:rPr>
          <w:i/>
          <w:lang w:val="lv-LV"/>
        </w:rPr>
        <w:t>Izaugsmi atbalstošas teritorijas</w:t>
      </w:r>
      <w:r w:rsidRPr="007B3DF0">
        <w:rPr>
          <w:lang w:val="lv-LV"/>
        </w:rPr>
        <w:t xml:space="preserve"> </w:t>
      </w:r>
      <w:r w:rsidR="00C22FE4">
        <w:rPr>
          <w:lang w:val="lv-LV"/>
        </w:rPr>
        <w:t>ir</w:t>
      </w:r>
      <w:r w:rsidRPr="007B3DF0">
        <w:rPr>
          <w:lang w:val="lv-LV"/>
        </w:rPr>
        <w:t xml:space="preserve"> 92,3 reizes no sākotnēji plānotā, ko pamatā noteikušas investīcijas vēsturiski piesārņoto vietu sanācijā - Sarkandaugavas teritorijā, atbalsts visaptverošas nacionālās klimata politikas izstrādē un atbalsts jaunajiem uzņēmējiem.</w:t>
      </w:r>
    </w:p>
    <w:p w14:paraId="772C31EC" w14:textId="77777777" w:rsidR="00EF3D80" w:rsidRDefault="00EF3D80">
      <w:pPr>
        <w:spacing w:before="0" w:after="0"/>
        <w:jc w:val="left"/>
        <w:rPr>
          <w:b/>
          <w:color w:val="253356" w:themeColor="accent1" w:themeShade="80"/>
          <w:lang w:val="lv-LV"/>
        </w:rPr>
      </w:pPr>
      <w:r w:rsidRPr="000664FB">
        <w:rPr>
          <w:lang w:val="lv-LV"/>
        </w:rPr>
        <w:br w:type="page"/>
      </w:r>
    </w:p>
    <w:p w14:paraId="1E1EEA56" w14:textId="42209620" w:rsidR="000C7998" w:rsidRDefault="00EF3D80" w:rsidP="000C7998">
      <w:pPr>
        <w:pStyle w:val="attelunosaukums"/>
      </w:pPr>
      <w:r>
        <w:lastRenderedPageBreak/>
        <w:t>10</w:t>
      </w:r>
      <w:r w:rsidR="000C7998">
        <w:t xml:space="preserve">. attēls.  </w:t>
      </w:r>
      <w:r w:rsidR="000C7998" w:rsidRPr="00125A4A">
        <w:t>Citas ārvalstu finanšu investīcijas, mlj e</w:t>
      </w:r>
      <w:r w:rsidR="000C7998">
        <w:t>u</w:t>
      </w:r>
      <w:r w:rsidR="000C7998" w:rsidRPr="00125A4A">
        <w:t>ro</w:t>
      </w:r>
    </w:p>
    <w:p w14:paraId="2310A2E9" w14:textId="77777777" w:rsidR="000C7998" w:rsidRDefault="000C7998" w:rsidP="000C7998">
      <w:pPr>
        <w:rPr>
          <w:rFonts w:ascii="Times New Roman" w:hAnsi="Times New Roman" w:cs="Times New Roman"/>
          <w:b/>
          <w:sz w:val="24"/>
        </w:rPr>
      </w:pPr>
      <w:r>
        <w:rPr>
          <w:noProof/>
          <w:lang w:val="lv-LV" w:eastAsia="lv-LV"/>
        </w:rPr>
        <w:drawing>
          <wp:inline distT="0" distB="0" distL="0" distR="0" wp14:anchorId="50468AED" wp14:editId="55DCA4C1">
            <wp:extent cx="4459857" cy="2139351"/>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68234D" w14:textId="76A06C3B" w:rsidR="000C7998" w:rsidRDefault="003022A8" w:rsidP="000C7998">
      <w:r>
        <w:t>Turpinājumā sniegts NAP2020 īstenošanas progresa novērtējums katram no rīcības virzieniem.</w:t>
      </w:r>
    </w:p>
    <w:p w14:paraId="1494CD34" w14:textId="77777777" w:rsidR="001B6EA5" w:rsidRDefault="001B6EA5" w:rsidP="000C7998"/>
    <w:p w14:paraId="5CFDC824" w14:textId="430421F6" w:rsidR="00EC4FA8" w:rsidRPr="00595533" w:rsidRDefault="00654F5A" w:rsidP="00CA17BA">
      <w:pPr>
        <w:pStyle w:val="Heading2"/>
        <w:rPr>
          <w:lang w:val="lv-LV"/>
        </w:rPr>
      </w:pPr>
      <w:bookmarkStart w:id="26" w:name="_Toc498690613"/>
      <w:bookmarkStart w:id="27" w:name="_Toc499025311"/>
      <w:r>
        <w:rPr>
          <w:lang w:val="lv-LV"/>
        </w:rPr>
        <w:t xml:space="preserve">3.1. </w:t>
      </w:r>
      <w:r w:rsidR="00EC4FA8" w:rsidRPr="00595533">
        <w:rPr>
          <w:lang w:val="lv-LV"/>
        </w:rPr>
        <w:t>Augstražīga un eksportspējīga ražošana un starptautiski konkurētspējīgi pakalpojumi</w:t>
      </w:r>
      <w:bookmarkEnd w:id="26"/>
      <w:bookmarkEnd w:id="27"/>
    </w:p>
    <w:p w14:paraId="3F32D2A9" w14:textId="698680AE" w:rsidR="00EC4FA8" w:rsidRPr="00595533" w:rsidRDefault="00D612D1" w:rsidP="00EC4FA8">
      <w:pPr>
        <w:rPr>
          <w:lang w:val="lv-LV"/>
        </w:rPr>
      </w:pPr>
      <w:r w:rsidRPr="00595533">
        <w:rPr>
          <w:lang w:val="lv-LV"/>
        </w:rPr>
        <w:t xml:space="preserve">Rīcības virziena </w:t>
      </w:r>
      <w:r w:rsidRPr="00595533">
        <w:rPr>
          <w:i/>
          <w:lang w:val="lv-LV"/>
        </w:rPr>
        <w:t>Augstražīga un eksportspējīga ražošana un starptautiski konkurētspējīgi pakalpojumi</w:t>
      </w:r>
      <w:r w:rsidRPr="00595533">
        <w:rPr>
          <w:lang w:val="lv-LV"/>
        </w:rPr>
        <w:t xml:space="preserve"> galvenais mērķis ir radīt apstākļus, kas sekmē ražojošo un pakalpojumus sniedzošo uzņēmumu produktivitātes pieaugumu</w:t>
      </w:r>
      <w:r w:rsidR="003D1D81" w:rsidRPr="00595533">
        <w:rPr>
          <w:lang w:val="lv-LV"/>
        </w:rPr>
        <w:t>, tādējādi veicinot uzņēmumu eksportspēju un dzīves kvalitātes uzlabošanos strādājošiem</w:t>
      </w:r>
      <w:r w:rsidR="001F2F83" w:rsidRPr="00595533">
        <w:rPr>
          <w:lang w:val="lv-LV"/>
        </w:rPr>
        <w:t>, vienlaikus mazinot ražošanas procesu radīto ietekmi uz vidi</w:t>
      </w:r>
      <w:r w:rsidR="003D1D81" w:rsidRPr="00595533">
        <w:rPr>
          <w:lang w:val="lv-LV"/>
        </w:rPr>
        <w:t>.</w:t>
      </w:r>
      <w:r w:rsidR="00EC5417" w:rsidRPr="00595533">
        <w:rPr>
          <w:lang w:val="lv-LV"/>
        </w:rPr>
        <w:t xml:space="preserve"> Lai </w:t>
      </w:r>
      <w:r w:rsidR="00312CB5" w:rsidRPr="00595533">
        <w:rPr>
          <w:lang w:val="lv-LV"/>
        </w:rPr>
        <w:t>paaugstinātu ražīgumu</w:t>
      </w:r>
      <w:r w:rsidR="00EC5417" w:rsidRPr="00595533">
        <w:rPr>
          <w:lang w:val="lv-LV"/>
        </w:rPr>
        <w:t xml:space="preserve"> uzņēmumos, </w:t>
      </w:r>
      <w:r w:rsidR="00CA42FA" w:rsidRPr="00595533">
        <w:rPr>
          <w:lang w:val="lv-LV"/>
        </w:rPr>
        <w:t xml:space="preserve">valsts paredzējusi atbalstīt ražošanas modernizācijas procesus </w:t>
      </w:r>
      <w:r w:rsidR="00377407" w:rsidRPr="00595533">
        <w:rPr>
          <w:lang w:val="lv-LV"/>
        </w:rPr>
        <w:t xml:space="preserve">eksportspējīgos </w:t>
      </w:r>
      <w:r w:rsidR="00CA42FA" w:rsidRPr="00595533">
        <w:rPr>
          <w:lang w:val="lv-LV"/>
        </w:rPr>
        <w:t xml:space="preserve">uzņēmumos, </w:t>
      </w:r>
      <w:r w:rsidR="00377407" w:rsidRPr="00595533">
        <w:rPr>
          <w:lang w:val="lv-LV"/>
        </w:rPr>
        <w:t xml:space="preserve">ar nodokļu stimulu sistēmu </w:t>
      </w:r>
      <w:r w:rsidR="00CA42FA" w:rsidRPr="00595533">
        <w:rPr>
          <w:lang w:val="lv-LV"/>
        </w:rPr>
        <w:t xml:space="preserve">sniegt atbalstu </w:t>
      </w:r>
      <w:r w:rsidR="0021439F" w:rsidRPr="00595533">
        <w:rPr>
          <w:lang w:val="lv-LV"/>
        </w:rPr>
        <w:t xml:space="preserve">ārvalstu un vietējā </w:t>
      </w:r>
      <w:r w:rsidR="00401F68">
        <w:rPr>
          <w:lang w:val="lv-LV"/>
        </w:rPr>
        <w:t>kapitāla</w:t>
      </w:r>
      <w:r w:rsidR="00CA42FA" w:rsidRPr="00595533">
        <w:rPr>
          <w:lang w:val="lv-LV"/>
        </w:rPr>
        <w:t xml:space="preserve"> investīciju piesaistei, attīstīt finan</w:t>
      </w:r>
      <w:r w:rsidR="00377407" w:rsidRPr="00595533">
        <w:rPr>
          <w:lang w:val="lv-LV"/>
        </w:rPr>
        <w:t>šu</w:t>
      </w:r>
      <w:r w:rsidR="00CA42FA" w:rsidRPr="00595533">
        <w:rPr>
          <w:lang w:val="lv-LV"/>
        </w:rPr>
        <w:t xml:space="preserve"> apkalpošanas, loģistikas un tra</w:t>
      </w:r>
      <w:r w:rsidR="00377407" w:rsidRPr="00595533">
        <w:rPr>
          <w:lang w:val="lv-LV"/>
        </w:rPr>
        <w:t>n</w:t>
      </w:r>
      <w:r w:rsidR="00CA42FA" w:rsidRPr="00595533">
        <w:rPr>
          <w:lang w:val="lv-LV"/>
        </w:rPr>
        <w:t>zīta nozares</w:t>
      </w:r>
      <w:r w:rsidR="0021439F" w:rsidRPr="00595533">
        <w:rPr>
          <w:lang w:val="lv-LV"/>
        </w:rPr>
        <w:t>, kas veido infrastruktūru lielo investīciju piesaistei, stiprināt Latvijas ekonomisko in</w:t>
      </w:r>
      <w:r w:rsidR="006C2EE9" w:rsidRPr="00595533">
        <w:rPr>
          <w:lang w:val="lv-LV"/>
        </w:rPr>
        <w:t>terešu pārstāvniecību ārvalstīs</w:t>
      </w:r>
      <w:r w:rsidR="0021439F" w:rsidRPr="00595533">
        <w:rPr>
          <w:lang w:val="lv-LV"/>
        </w:rPr>
        <w:t>, tādējādi atbalstot uzņēmumu eksportspēju un eksporta apjomu kāpināšanu, kā arī nodrošināt pastāvīgas apmācības uzņēmējiem</w:t>
      </w:r>
      <w:r w:rsidR="006C2EE9" w:rsidRPr="00595533">
        <w:rPr>
          <w:lang w:val="lv-LV"/>
        </w:rPr>
        <w:t xml:space="preserve"> saistībā ar jaunuzņēmumu veidošanu, konkurētspējas kāpināšanu un procesu uzlabošanu uzņēmumos</w:t>
      </w:r>
      <w:r w:rsidR="00312CB5" w:rsidRPr="00595533">
        <w:rPr>
          <w:lang w:val="lv-LV"/>
        </w:rPr>
        <w:t>. Vienlaikus rīcības virziens paredz arī radošo industri</w:t>
      </w:r>
      <w:r w:rsidR="00CE2A36" w:rsidRPr="00595533">
        <w:rPr>
          <w:lang w:val="lv-LV"/>
        </w:rPr>
        <w:t>ju attīstību, tādējādi sekmējot</w:t>
      </w:r>
      <w:r w:rsidR="00312CB5" w:rsidRPr="00595533">
        <w:rPr>
          <w:lang w:val="lv-LV"/>
        </w:rPr>
        <w:t xml:space="preserve"> inovācijas </w:t>
      </w:r>
      <w:r w:rsidR="00CE2A36" w:rsidRPr="00595533">
        <w:rPr>
          <w:lang w:val="lv-LV"/>
        </w:rPr>
        <w:t>uzņēmējdarbībā, un uz eksportu orientētu tūrisma produktu un pakalpojumu veidošanu.</w:t>
      </w:r>
      <w:r w:rsidR="00C46301" w:rsidRPr="00595533">
        <w:rPr>
          <w:lang w:val="lv-LV"/>
        </w:rPr>
        <w:t xml:space="preserve"> Lai mazinātu līdz ar produktivitātes kāpināšanu radīto </w:t>
      </w:r>
      <w:r w:rsidR="00FB22BA" w:rsidRPr="00595533">
        <w:rPr>
          <w:lang w:val="lv-LV"/>
        </w:rPr>
        <w:t>iespējamo kaitējumu videi, rīcības virziena ietvaros paredzēts atbalsts uzņēmumiem energoefektivitātes uzlabošanai.</w:t>
      </w:r>
    </w:p>
    <w:p w14:paraId="3CA84B65" w14:textId="77777777" w:rsidR="00184FFF" w:rsidRPr="00595533" w:rsidRDefault="00184FFF" w:rsidP="00184FFF">
      <w:pPr>
        <w:pStyle w:val="NoSpacing"/>
        <w:rPr>
          <w:sz w:val="10"/>
          <w:szCs w:val="10"/>
          <w:lang w:val="lv-LV"/>
        </w:rPr>
      </w:pPr>
    </w:p>
    <w:p w14:paraId="1F612E7F" w14:textId="77777777" w:rsidR="00184FFF" w:rsidRPr="00595533" w:rsidRDefault="00184FFF" w:rsidP="00184FFF">
      <w:pPr>
        <w:pStyle w:val="Heading3"/>
        <w:rPr>
          <w:lang w:val="lv-LV"/>
        </w:rPr>
      </w:pPr>
      <w:bookmarkStart w:id="28" w:name="_Toc498690614"/>
      <w:r w:rsidRPr="00595533">
        <w:rPr>
          <w:lang w:val="lv-LV"/>
        </w:rPr>
        <w:t>UZDEVUMU ĪSTENOŠANAS PROGRESS</w:t>
      </w:r>
      <w:bookmarkEnd w:id="28"/>
    </w:p>
    <w:p w14:paraId="74874DE1" w14:textId="1B8537B9" w:rsidR="00AB03C2" w:rsidRPr="00595533" w:rsidRDefault="00AB03C2" w:rsidP="00623B17">
      <w:pPr>
        <w:rPr>
          <w:lang w:val="lv-LV"/>
        </w:rPr>
      </w:pPr>
      <w:r w:rsidRPr="00595533">
        <w:rPr>
          <w:lang w:val="lv-LV"/>
        </w:rPr>
        <w:t xml:space="preserve">Lai sekmētu jaunu produktu izstrādi un investīciju piesaisti uzņēmumu konkurētspējas stiprināšanai, NAP2020 paredzēts pilnveidot </w:t>
      </w:r>
      <w:r w:rsidRPr="00595533">
        <w:rPr>
          <w:b/>
          <w:lang w:val="lv-LV"/>
        </w:rPr>
        <w:t>nodokļu stimulu sistēmu</w:t>
      </w:r>
      <w:r w:rsidRPr="00595533">
        <w:rPr>
          <w:lang w:val="lv-LV"/>
        </w:rPr>
        <w:t xml:space="preserve">. Konkrēti instrumenti, kas nodrošina uzdevuma izpildi, </w:t>
      </w:r>
      <w:r w:rsidR="00890028">
        <w:rPr>
          <w:lang w:val="lv-LV"/>
        </w:rPr>
        <w:t>ie</w:t>
      </w:r>
      <w:r w:rsidRPr="00595533">
        <w:rPr>
          <w:lang w:val="lv-LV"/>
        </w:rPr>
        <w:t xml:space="preserve">tverti Valsts nodokļu politikas pamatnostādnēs 2018. – 2021. gadam, ar kurām </w:t>
      </w:r>
      <w:r w:rsidR="00471833">
        <w:rPr>
          <w:lang w:val="lv-LV"/>
        </w:rPr>
        <w:t>uzsā</w:t>
      </w:r>
      <w:r w:rsidRPr="00595533">
        <w:rPr>
          <w:lang w:val="lv-LV"/>
        </w:rPr>
        <w:t>kta Latvijas nodokļu politikas reforma. Reformas rezultātā tiks saglabāta UIN atlaide Ministru kabineta apstiprinātajiem investīciju projektiem, saglabāta UIN atlaide uzņēmumiem, kas darbojas speciālajās ekonomiskajās zonās un brīvostās, kā arī reinvestētajai peļņai UIN likme noteikta 0% apmērā, savukārt sadalītajai peļņai - 20%.</w:t>
      </w:r>
    </w:p>
    <w:p w14:paraId="23742D72" w14:textId="343CB485" w:rsidR="00AB03C2" w:rsidRPr="00595533" w:rsidRDefault="00AB03C2" w:rsidP="00623B17">
      <w:pPr>
        <w:rPr>
          <w:lang w:val="lv-LV"/>
        </w:rPr>
      </w:pPr>
      <w:r w:rsidRPr="00595533">
        <w:rPr>
          <w:lang w:val="lv-LV"/>
        </w:rPr>
        <w:t>Lai sniegtu finanš</w:t>
      </w:r>
      <w:r w:rsidR="006632A4" w:rsidRPr="00595533">
        <w:rPr>
          <w:lang w:val="lv-LV"/>
        </w:rPr>
        <w:t xml:space="preserve">u </w:t>
      </w:r>
      <w:r w:rsidR="006632A4" w:rsidRPr="004622CA">
        <w:rPr>
          <w:lang w:val="lv-LV"/>
        </w:rPr>
        <w:t>atbalstu uzņēmējdarbības attīstībai gan jaunu uzņēmumu darbības uzsākšana</w:t>
      </w:r>
      <w:r w:rsidR="00471833">
        <w:rPr>
          <w:lang w:val="lv-LV"/>
        </w:rPr>
        <w:t>i</w:t>
      </w:r>
      <w:r w:rsidR="006632A4" w:rsidRPr="004622CA">
        <w:rPr>
          <w:lang w:val="lv-LV"/>
        </w:rPr>
        <w:t>, gan arī ražojošiem un eksportējošiem uzņēmumiem jaunu produktu attīstībai, 2014. – 2015.gadā divos posmos</w:t>
      </w:r>
      <w:r w:rsidRPr="004622CA">
        <w:rPr>
          <w:lang w:val="lv-LV"/>
        </w:rPr>
        <w:t xml:space="preserve"> izveidota </w:t>
      </w:r>
      <w:r w:rsidRPr="004622CA">
        <w:rPr>
          <w:b/>
          <w:lang w:val="lv-LV"/>
        </w:rPr>
        <w:t xml:space="preserve">vienota valsts attīstības finanšu </w:t>
      </w:r>
      <w:r w:rsidRPr="004622CA">
        <w:rPr>
          <w:b/>
          <w:lang w:val="lv-LV"/>
        </w:rPr>
        <w:lastRenderedPageBreak/>
        <w:t>instit</w:t>
      </w:r>
      <w:r w:rsidR="006632A4" w:rsidRPr="004622CA">
        <w:rPr>
          <w:b/>
          <w:lang w:val="lv-LV"/>
        </w:rPr>
        <w:t>ūcija “Altum”</w:t>
      </w:r>
      <w:r w:rsidR="006632A4" w:rsidRPr="004622CA">
        <w:rPr>
          <w:lang w:val="lv-LV"/>
        </w:rPr>
        <w:t xml:space="preserve">. </w:t>
      </w:r>
      <w:r w:rsidR="00DE5F2B">
        <w:rPr>
          <w:lang w:val="lv-LV"/>
        </w:rPr>
        <w:t xml:space="preserve">Ar </w:t>
      </w:r>
      <w:r w:rsidR="006632A4" w:rsidRPr="004622CA">
        <w:rPr>
          <w:lang w:val="lv-LV"/>
        </w:rPr>
        <w:t xml:space="preserve">Altum </w:t>
      </w:r>
      <w:r w:rsidR="00DE5F2B">
        <w:rPr>
          <w:lang w:val="lv-LV"/>
        </w:rPr>
        <w:t xml:space="preserve">starpniecību </w:t>
      </w:r>
      <w:r w:rsidR="006632A4" w:rsidRPr="004622CA">
        <w:rPr>
          <w:lang w:val="lv-LV"/>
        </w:rPr>
        <w:t>tiek</w:t>
      </w:r>
      <w:r w:rsidRPr="004622CA">
        <w:rPr>
          <w:lang w:val="lv-LV"/>
        </w:rPr>
        <w:t xml:space="preserve"> īstenotas valsts atbalsta programmas</w:t>
      </w:r>
      <w:r w:rsidRPr="00595533">
        <w:rPr>
          <w:lang w:val="lv-LV"/>
        </w:rPr>
        <w:t>, no kurām daļa tiek finansēta no ES fondu 2014.</w:t>
      </w:r>
      <w:r w:rsidR="006632A4" w:rsidRPr="00595533">
        <w:rPr>
          <w:lang w:val="lv-LV"/>
        </w:rPr>
        <w:t> – </w:t>
      </w:r>
      <w:r w:rsidRPr="00595533">
        <w:rPr>
          <w:lang w:val="lv-LV"/>
        </w:rPr>
        <w:t xml:space="preserve">2020. gada plānošanas perioda finansējuma, piemēram, Aizdevumu garantijas, Paralēlie aizdevumi, Starta un mikro aizdevumi, Akcelerācijas fondi un Riska kapitāla fondi. Tāpat no citiem finansējuma avotiem (t.sk. iepriekšējo ES fondu plānošanas periodu atmaksas) tiek īstenotas vairāk kā </w:t>
      </w:r>
      <w:r w:rsidR="006632A4" w:rsidRPr="00595533">
        <w:rPr>
          <w:lang w:val="lv-LV"/>
        </w:rPr>
        <w:t>desmit</w:t>
      </w:r>
      <w:r w:rsidRPr="00595533">
        <w:rPr>
          <w:lang w:val="lv-LV"/>
        </w:rPr>
        <w:t xml:space="preserve"> citas programmas.</w:t>
      </w:r>
    </w:p>
    <w:p w14:paraId="3084FB64" w14:textId="6113E330" w:rsidR="00C47227" w:rsidRPr="00595533" w:rsidRDefault="00C47227" w:rsidP="00623B17">
      <w:pPr>
        <w:rPr>
          <w:bCs/>
          <w:iCs/>
          <w:lang w:val="lv-LV"/>
        </w:rPr>
      </w:pPr>
      <w:r w:rsidRPr="00595533">
        <w:rPr>
          <w:lang w:val="lv-LV"/>
        </w:rPr>
        <w:t xml:space="preserve">Lai sekmīgi konkurētu ar kaimiņvalstīm jaunu investīciju piesaistē, kā arī nodrošinātu uzņēmumu attīstībai labvēlīgus apstākļus, </w:t>
      </w:r>
      <w:r w:rsidRPr="00595533">
        <w:rPr>
          <w:bCs/>
          <w:iCs/>
          <w:lang w:val="lv-LV"/>
        </w:rPr>
        <w:t>kopš 2016.</w:t>
      </w:r>
      <w:r w:rsidR="006632A4" w:rsidRPr="00595533">
        <w:rPr>
          <w:bCs/>
          <w:iCs/>
          <w:lang w:val="lv-LV"/>
        </w:rPr>
        <w:t> </w:t>
      </w:r>
      <w:r w:rsidRPr="00595533">
        <w:rPr>
          <w:bCs/>
          <w:iCs/>
          <w:lang w:val="lv-LV"/>
        </w:rPr>
        <w:t xml:space="preserve">gada vidus ir pieejams </w:t>
      </w:r>
      <w:r w:rsidRPr="00595533">
        <w:rPr>
          <w:b/>
          <w:bCs/>
          <w:iCs/>
          <w:lang w:val="lv-LV"/>
        </w:rPr>
        <w:t>atbalsts ieguldījumiem ražošanas telpu un infrastruktūras izveidei vai rekonstrukcijai</w:t>
      </w:r>
      <w:r w:rsidRPr="00595533">
        <w:rPr>
          <w:bCs/>
          <w:iCs/>
          <w:lang w:val="lv-LV"/>
        </w:rPr>
        <w:t>, kas tiek aktīvi izmantots. Apstrādes rūpniecības</w:t>
      </w:r>
      <w:r w:rsidRPr="00595533">
        <w:rPr>
          <w:b/>
          <w:bCs/>
          <w:iCs/>
          <w:lang w:val="lv-LV"/>
        </w:rPr>
        <w:t xml:space="preserve"> </w:t>
      </w:r>
      <w:r w:rsidRPr="00595533">
        <w:rPr>
          <w:bCs/>
          <w:iCs/>
          <w:lang w:val="lv-LV"/>
        </w:rPr>
        <w:t>apjomu kāpums ir stimulējis pieprasījumu tirgū pēc mūsdienu prasībām atbilstošām ražošanas infrastruktūrai nepieciešamām telpām un industriālām teritorijām, īpaši Kurzemē un Rīgas reģionā.</w:t>
      </w:r>
    </w:p>
    <w:p w14:paraId="29C06B34" w14:textId="3CA5447D" w:rsidR="00C47227" w:rsidRPr="00595533" w:rsidRDefault="00C47227" w:rsidP="00623B17">
      <w:pPr>
        <w:rPr>
          <w:lang w:val="lv-LV"/>
        </w:rPr>
      </w:pPr>
      <w:r w:rsidRPr="00595533">
        <w:rPr>
          <w:lang w:val="lv-LV"/>
        </w:rPr>
        <w:t>Pašvaldību un uzņēmumu īpašumā esošo ražošanas ter</w:t>
      </w:r>
      <w:r w:rsidR="006632A4" w:rsidRPr="00595533">
        <w:rPr>
          <w:lang w:val="lv-LV"/>
        </w:rPr>
        <w:t>itoriju izveide un attīstība, tai skaitā</w:t>
      </w:r>
      <w:r w:rsidRPr="00595533">
        <w:rPr>
          <w:lang w:val="lv-LV"/>
        </w:rPr>
        <w:t xml:space="preserve"> saistītā atbalsta infrastruktūra (pievedceļi, komunikācijas), ir viens no investīciju piesaistes un uzņēmējdarbības attīstības priekšnosacījumiem. Izmantojot ES fondu atbalstu, paredzētas </w:t>
      </w:r>
      <w:r w:rsidRPr="00595533">
        <w:rPr>
          <w:b/>
          <w:lang w:val="lv-LV"/>
        </w:rPr>
        <w:t>investīcijas publiskās infrastruktūras un inženierkomunikāciju attīstībā reģionos</w:t>
      </w:r>
      <w:r w:rsidRPr="00595533">
        <w:rPr>
          <w:lang w:val="lv-LV"/>
        </w:rPr>
        <w:t>, t.i., uzņēmējdarbībai nepieciešamo teritoriju, ēku un to infrastruktūras, pievedceļu, inženierkomunikāciju atzaru ierīkošana</w:t>
      </w:r>
      <w:r w:rsidR="006632A4" w:rsidRPr="00595533">
        <w:rPr>
          <w:lang w:val="lv-LV"/>
        </w:rPr>
        <w:t>i</w:t>
      </w:r>
      <w:r w:rsidRPr="00595533">
        <w:rPr>
          <w:lang w:val="lv-LV"/>
        </w:rPr>
        <w:t xml:space="preserve"> un to jaudas palielināšana</w:t>
      </w:r>
      <w:r w:rsidR="006632A4" w:rsidRPr="00595533">
        <w:rPr>
          <w:lang w:val="lv-LV"/>
        </w:rPr>
        <w:t>i</w:t>
      </w:r>
      <w:r w:rsidRPr="00595533">
        <w:rPr>
          <w:lang w:val="lv-LV"/>
        </w:rPr>
        <w:t xml:space="preserve">. Ieguldījumu rezultātā plānots radīt jaunas darba vietas privātajā sektorā reģionos, piesaistīt komersantu nefinanšu investīcijas  un sakārtot degradētās teritorijas.  </w:t>
      </w:r>
    </w:p>
    <w:p w14:paraId="4E5D019E" w14:textId="6BDCBCD8" w:rsidR="006632A4" w:rsidRPr="00595533" w:rsidRDefault="006632A4" w:rsidP="00623B17">
      <w:pPr>
        <w:rPr>
          <w:rFonts w:eastAsia="Times New Roman"/>
          <w:b/>
          <w:sz w:val="24"/>
          <w:lang w:val="lv-LV"/>
        </w:rPr>
      </w:pPr>
      <w:r w:rsidRPr="00595533">
        <w:rPr>
          <w:lang w:val="lv-LV"/>
        </w:rPr>
        <w:t xml:space="preserve">Latvijas Lauku </w:t>
      </w:r>
      <w:r w:rsidRPr="004622CA">
        <w:rPr>
          <w:lang w:val="lv-LV"/>
        </w:rPr>
        <w:t xml:space="preserve">attīstības programmas 2014. – 2020. gadam ietvaros, izmantojot ELFLA finansējumu, tiek sniegts </w:t>
      </w:r>
      <w:r w:rsidRPr="004622CA">
        <w:rPr>
          <w:b/>
          <w:lang w:val="lv-LV"/>
        </w:rPr>
        <w:t>atbalsts ieguldījumiem lauku saimniecībās</w:t>
      </w:r>
      <w:r w:rsidRPr="004622CA">
        <w:rPr>
          <w:lang w:val="lv-LV"/>
        </w:rPr>
        <w:t xml:space="preserve">, lai uzlabotu saimniecību konkurētspēju, ekonomiskos rādītājus un mazinātu tirgus svārstību negatīvo ietekmi. Tāpat tiek sniegts atbalsts ieguldījumiem uzņēmumos, kas veic lauksaimniecības produktu pārstrādi, </w:t>
      </w:r>
      <w:r w:rsidR="00623B17" w:rsidRPr="004622CA">
        <w:rPr>
          <w:lang w:val="lv-LV"/>
        </w:rPr>
        <w:t>kā arī</w:t>
      </w:r>
      <w:r w:rsidRPr="004622CA">
        <w:rPr>
          <w:lang w:val="lv-LV"/>
        </w:rPr>
        <w:t xml:space="preserve"> uzņēmējdarbības attīstībai lauku teritorijās ar lauksaimniecību nesaistīt</w:t>
      </w:r>
      <w:r w:rsidR="00623B17" w:rsidRPr="004622CA">
        <w:rPr>
          <w:lang w:val="lv-LV"/>
        </w:rPr>
        <w:t>as uzņēmējdarbības veikšanai un</w:t>
      </w:r>
      <w:r w:rsidRPr="004622CA">
        <w:rPr>
          <w:lang w:val="lv-LV"/>
        </w:rPr>
        <w:t xml:space="preserve"> tūrisma aktivitāšu veicināšanai. Minēto darbību īstenošanai uz 2016.</w:t>
      </w:r>
      <w:r w:rsidR="00623B17" w:rsidRPr="004622CA">
        <w:rPr>
          <w:lang w:val="lv-LV"/>
        </w:rPr>
        <w:t> </w:t>
      </w:r>
      <w:r w:rsidRPr="004622CA">
        <w:rPr>
          <w:lang w:val="lv-LV"/>
        </w:rPr>
        <w:t xml:space="preserve">gada nogali </w:t>
      </w:r>
      <w:r w:rsidR="00623B17" w:rsidRPr="004622CA">
        <w:rPr>
          <w:lang w:val="lv-LV"/>
        </w:rPr>
        <w:t>ir uzņemtas saistības 106,6 mlj</w:t>
      </w:r>
      <w:r w:rsidRPr="004622CA">
        <w:rPr>
          <w:lang w:val="lv-LV"/>
        </w:rPr>
        <w:t xml:space="preserve"> euro apmērā</w:t>
      </w:r>
      <w:r w:rsidRPr="00595533">
        <w:rPr>
          <w:lang w:val="lv-LV"/>
        </w:rPr>
        <w:t>.</w:t>
      </w:r>
    </w:p>
    <w:p w14:paraId="1BB14BAA" w14:textId="7135B47A" w:rsidR="00135398" w:rsidRPr="00595533" w:rsidRDefault="00135398" w:rsidP="00135398">
      <w:pPr>
        <w:rPr>
          <w:lang w:val="lv-LV"/>
        </w:rPr>
      </w:pPr>
      <w:r w:rsidRPr="00595533">
        <w:rPr>
          <w:lang w:val="lv-LV"/>
        </w:rPr>
        <w:t xml:space="preserve">Ar mērķi veicināt efektīvu energoresursu izmantošanu, enerģijas patēriņa samazināšanu un pāreju uz atjaunojamiem energoresursiem, 2016. gada nogalē uzsākta </w:t>
      </w:r>
      <w:r w:rsidRPr="00595533">
        <w:rPr>
          <w:b/>
          <w:lang w:val="lv-LV"/>
        </w:rPr>
        <w:t>valsts atbalsta programma apstrādes rūpniecības komersantiem ražošanas ēku un iekārtu energoefektivitātes paaugstināšanai</w:t>
      </w:r>
      <w:r w:rsidRPr="00595533">
        <w:rPr>
          <w:lang w:val="lv-LV"/>
        </w:rPr>
        <w:t xml:space="preserve">, tajā skaitā, veicot jaunu, energoefektīvāku iekārtu iegādi vai ieguldījumus atjaunojamo enerģijas avotu izmantošanā. Projektu īstenošana notiks 2018. gadā un paredzams, ka energoefektivitātes pasākumu īstenošana samazinās kopējo enerģijas patēriņu nozarē un enerģijas īpatsvaru ražošanas izmaksu struktūrā, tādējādi veicinot komersantu konkurētspēju eksporta tirgos. </w:t>
      </w:r>
    </w:p>
    <w:p w14:paraId="79F11535" w14:textId="1B1E4191" w:rsidR="00135398" w:rsidRPr="00595533" w:rsidRDefault="00135398" w:rsidP="00135398">
      <w:pPr>
        <w:rPr>
          <w:lang w:val="lv-LV"/>
        </w:rPr>
      </w:pPr>
      <w:r w:rsidRPr="00595533">
        <w:rPr>
          <w:lang w:val="lv-LV"/>
        </w:rPr>
        <w:t>Veicinot racionālu energoresursu izmantošanu un pārvaldību, pēc Energoefektivitātes likuma stāšanās spēkā 2016. gada martā valdība ir pieņēmusi normatīvo regulējumu energoefektivitātes jomā, tai skaitā attiecībā uz uzņēmumu energoauditiem, brīvprātīgo vienošanos energoefektivitātes uzlabošanai u. c. 2017. gadā ieviesta energoefektivitātes pienākumu shēma, lai nodrošinātu virzību uz valsts energoefektivitātes mērķu sasniegšanu 2020. gadā.</w:t>
      </w:r>
    </w:p>
    <w:p w14:paraId="535C7984" w14:textId="73E52062" w:rsidR="00623B17" w:rsidRPr="00595533" w:rsidRDefault="00623B17" w:rsidP="00623B17">
      <w:pPr>
        <w:rPr>
          <w:lang w:val="lv-LV"/>
        </w:rPr>
      </w:pPr>
      <w:r w:rsidRPr="00595533">
        <w:rPr>
          <w:lang w:val="lv-LV"/>
        </w:rPr>
        <w:t xml:space="preserve">No 2016. gada uzņēmēji aktīvi izmanto valsts atbalstu </w:t>
      </w:r>
      <w:r w:rsidRPr="00595533">
        <w:rPr>
          <w:b/>
          <w:lang w:val="lv-LV"/>
        </w:rPr>
        <w:t>nozaru starptautiskās konkurētspējas paaugstināšanai</w:t>
      </w:r>
      <w:r w:rsidRPr="00595533">
        <w:rPr>
          <w:lang w:val="lv-LV"/>
        </w:rPr>
        <w:t xml:space="preserve"> (dalība starptautiskās izstādēs ārvalstīs, dalība tirdzniecības misijās un Latvijas augstu valsts amatpersonu vizītēs ārvalstīs, ražotņu un produktu atbilstības novērtēšana, LIAA konsultācijas par eksporta jautājumiem). </w:t>
      </w:r>
    </w:p>
    <w:p w14:paraId="1DAE9765" w14:textId="38184730" w:rsidR="00623B17" w:rsidRPr="00595533" w:rsidRDefault="00623B17" w:rsidP="00623B17">
      <w:pPr>
        <w:rPr>
          <w:lang w:val="lv-LV"/>
        </w:rPr>
      </w:pPr>
      <w:r w:rsidRPr="00595533">
        <w:rPr>
          <w:lang w:val="lv-LV"/>
        </w:rPr>
        <w:t xml:space="preserve">Lai sekmētu uzņēmumu specializāciju un iesaistīšanos globālajās vērtību ķēdēs, tiek īstenota valsts atbalsta programma </w:t>
      </w:r>
      <w:r w:rsidRPr="00595533">
        <w:rPr>
          <w:b/>
          <w:lang w:val="lv-LV"/>
        </w:rPr>
        <w:t>eksporta klasteru attīstībai</w:t>
      </w:r>
      <w:r w:rsidRPr="00595533">
        <w:rPr>
          <w:lang w:val="lv-LV"/>
        </w:rPr>
        <w:t xml:space="preserve">. 2017. gada sākumā </w:t>
      </w:r>
      <w:r w:rsidRPr="00595533">
        <w:rPr>
          <w:lang w:val="lv-LV"/>
        </w:rPr>
        <w:lastRenderedPageBreak/>
        <w:t xml:space="preserve">tika noslēgti jauni projektu īstenošanas līgumi ar 14 klasteriem (pārtika, IT, elektronika, dzīvības zinātnes, tūrisms, veselības tūrisms, metālapstrāde, koka būvniecība, tīrās tehnoloģijas </w:t>
      </w:r>
      <w:r w:rsidRPr="00595533">
        <w:rPr>
          <w:i/>
          <w:lang w:val="lv-LV"/>
        </w:rPr>
        <w:t>(cleantech</w:t>
      </w:r>
      <w:r w:rsidRPr="00595533">
        <w:rPr>
          <w:lang w:val="lv-LV"/>
        </w:rPr>
        <w:t xml:space="preserve">), zaļās un viedās tehnoloģijas, drošība un aizsardzība, eksports, viedās pilsētas, druka un mēdiji).  </w:t>
      </w:r>
    </w:p>
    <w:p w14:paraId="0DF5A8F3" w14:textId="61014914" w:rsidR="00C47227" w:rsidRPr="00595533" w:rsidRDefault="00623B17" w:rsidP="00623B17">
      <w:pPr>
        <w:rPr>
          <w:lang w:val="lv-LV"/>
        </w:rPr>
      </w:pPr>
      <w:r w:rsidRPr="00595533">
        <w:rPr>
          <w:lang w:val="lv-LV"/>
        </w:rPr>
        <w:t>Tāpat i</w:t>
      </w:r>
      <w:r w:rsidR="00C47227" w:rsidRPr="00595533">
        <w:rPr>
          <w:lang w:val="lv-LV"/>
        </w:rPr>
        <w:t>r sniegts atbalsts Latvijas uzņēmumiem, kuri vēlas uzsākt vai paplašināt eksportu ārējos tirgos un iekļa</w:t>
      </w:r>
      <w:r w:rsidRPr="00595533">
        <w:rPr>
          <w:lang w:val="lv-LV"/>
        </w:rPr>
        <w:t xml:space="preserve">uties globālajās vērtību ķēdēs. </w:t>
      </w:r>
      <w:r w:rsidR="008C2097" w:rsidRPr="00595533">
        <w:rPr>
          <w:lang w:val="lv-LV"/>
        </w:rPr>
        <w:t xml:space="preserve">Pārskata periodā </w:t>
      </w:r>
      <w:r w:rsidR="008C2097" w:rsidRPr="008408EC">
        <w:rPr>
          <w:lang w:val="lv-LV"/>
        </w:rPr>
        <w:t xml:space="preserve">atbalstu </w:t>
      </w:r>
      <w:r w:rsidR="008C2097" w:rsidRPr="00595533">
        <w:rPr>
          <w:lang w:val="lv-LV"/>
        </w:rPr>
        <w:t>eksportētājiem partneru atrašanā</w:t>
      </w:r>
      <w:r w:rsidR="008C2097">
        <w:rPr>
          <w:lang w:val="lv-LV"/>
        </w:rPr>
        <w:t xml:space="preserve"> sniegusi</w:t>
      </w:r>
      <w:r w:rsidR="008C2097" w:rsidRPr="00595533">
        <w:rPr>
          <w:b/>
          <w:lang w:val="lv-LV"/>
        </w:rPr>
        <w:t xml:space="preserve"> </w:t>
      </w:r>
      <w:r w:rsidR="008C2097" w:rsidRPr="008408EC">
        <w:rPr>
          <w:lang w:val="lv-LV"/>
        </w:rPr>
        <w:t xml:space="preserve">kopumā 21 </w:t>
      </w:r>
      <w:r w:rsidR="008C2097" w:rsidRPr="00595533">
        <w:rPr>
          <w:b/>
          <w:lang w:val="lv-LV"/>
        </w:rPr>
        <w:t>Latvijas ārēj</w:t>
      </w:r>
      <w:r w:rsidR="008C2097">
        <w:rPr>
          <w:b/>
          <w:lang w:val="lv-LV"/>
        </w:rPr>
        <w:t xml:space="preserve">ā ekonomiskā pārstāvniecība (LIAA pārstāvniecības) un </w:t>
      </w:r>
      <w:r w:rsidR="008C2097" w:rsidRPr="00595533">
        <w:rPr>
          <w:b/>
          <w:lang w:val="lv-LV"/>
        </w:rPr>
        <w:t>Latvijas vēstniecīb</w:t>
      </w:r>
      <w:r w:rsidR="008C2097">
        <w:rPr>
          <w:b/>
          <w:lang w:val="lv-LV"/>
        </w:rPr>
        <w:t>as</w:t>
      </w:r>
      <w:r w:rsidR="008C2097" w:rsidRPr="00595533">
        <w:rPr>
          <w:lang w:val="lv-LV"/>
        </w:rPr>
        <w:t>.</w:t>
      </w:r>
    </w:p>
    <w:p w14:paraId="245F31F8" w14:textId="0AF87107" w:rsidR="00C47227" w:rsidRPr="00595533" w:rsidRDefault="00623B17" w:rsidP="00E9392B">
      <w:pPr>
        <w:rPr>
          <w:rFonts w:ascii="Cambria" w:eastAsia="Times New Roman" w:hAnsi="Cambria" w:cs="Times New Roman"/>
          <w:b/>
          <w:szCs w:val="22"/>
          <w:lang w:val="lv-LV"/>
        </w:rPr>
      </w:pPr>
      <w:r w:rsidRPr="00595533">
        <w:rPr>
          <w:rFonts w:ascii="Cambria" w:eastAsia="Times New Roman" w:hAnsi="Cambria" w:cs="Times New Roman"/>
          <w:szCs w:val="22"/>
          <w:lang w:val="lv-LV"/>
        </w:rPr>
        <w:t>Vienlaikus ir a</w:t>
      </w:r>
      <w:r w:rsidR="00C47227" w:rsidRPr="00595533">
        <w:rPr>
          <w:rFonts w:ascii="Cambria" w:eastAsia="Times New Roman" w:hAnsi="Cambria" w:cs="Times New Roman"/>
          <w:szCs w:val="22"/>
          <w:lang w:val="lv-LV"/>
        </w:rPr>
        <w:t>tvērtas Latvijas vēstniecības Apvienotajos Arābu Emirātos</w:t>
      </w:r>
      <w:r w:rsidRPr="00595533">
        <w:rPr>
          <w:rFonts w:ascii="Cambria" w:eastAsia="Times New Roman" w:hAnsi="Cambria" w:cs="Times New Roman"/>
          <w:szCs w:val="22"/>
          <w:lang w:val="lv-LV"/>
        </w:rPr>
        <w:t xml:space="preserve">, Indijā un Korejas </w:t>
      </w:r>
      <w:r w:rsidRPr="00595533">
        <w:rPr>
          <w:rFonts w:ascii="Cambria" w:hAnsi="Cambria"/>
          <w:szCs w:val="22"/>
          <w:lang w:val="lv-LV"/>
        </w:rPr>
        <w:t>Republikā, n</w:t>
      </w:r>
      <w:r w:rsidR="00C47227" w:rsidRPr="00595533">
        <w:rPr>
          <w:rFonts w:ascii="Cambria" w:hAnsi="Cambria"/>
          <w:szCs w:val="22"/>
          <w:lang w:val="lv-LV"/>
        </w:rPr>
        <w:t>odrošināta 20 patstāvīgo Latvijas ārvalstu ekonomisko pārstāvniecību darbība (Baltkrievijā, Dānijā, Francijā, Krievijā, Ķīnā (Pekinā un Šanhajā), Japānā</w:t>
      </w:r>
      <w:r w:rsidR="00C47227" w:rsidRPr="00595533">
        <w:rPr>
          <w:rFonts w:ascii="Cambria" w:eastAsia="Times New Roman" w:hAnsi="Cambria" w:cs="Times New Roman"/>
          <w:szCs w:val="22"/>
          <w:lang w:val="lv-LV"/>
        </w:rPr>
        <w:t>, Lielbritānijā, Lietuvā, Nīderlandē, Norvēģijā, Polijā, Vācijā, Zviedrijā, Somijā, Itālijā, Singapūrā, Apvienotajos Arābu Emirātos, Kazahstānā). 2017.</w:t>
      </w:r>
      <w:r w:rsidR="00E9392B" w:rsidRPr="00595533">
        <w:rPr>
          <w:rFonts w:ascii="Cambria" w:eastAsia="Times New Roman" w:hAnsi="Cambria" w:cs="Times New Roman"/>
          <w:szCs w:val="22"/>
          <w:lang w:val="lv-LV"/>
        </w:rPr>
        <w:t> </w:t>
      </w:r>
      <w:r w:rsidR="00C47227" w:rsidRPr="00595533">
        <w:rPr>
          <w:rFonts w:ascii="Cambria" w:eastAsia="Times New Roman" w:hAnsi="Cambria" w:cs="Times New Roman"/>
          <w:szCs w:val="22"/>
          <w:lang w:val="lv-LV"/>
        </w:rPr>
        <w:t>gada 1.</w:t>
      </w:r>
      <w:r w:rsidR="00E9392B" w:rsidRPr="00595533">
        <w:rPr>
          <w:rFonts w:ascii="Cambria" w:eastAsia="Times New Roman" w:hAnsi="Cambria" w:cs="Times New Roman"/>
          <w:szCs w:val="22"/>
          <w:lang w:val="lv-LV"/>
        </w:rPr>
        <w:t> </w:t>
      </w:r>
      <w:r w:rsidR="00C47227" w:rsidRPr="00595533">
        <w:rPr>
          <w:rFonts w:ascii="Cambria" w:eastAsia="Times New Roman" w:hAnsi="Cambria" w:cs="Times New Roman"/>
          <w:szCs w:val="22"/>
          <w:lang w:val="lv-LV"/>
        </w:rPr>
        <w:t>pusg</w:t>
      </w:r>
      <w:r w:rsidR="00E9392B" w:rsidRPr="00595533">
        <w:rPr>
          <w:rFonts w:ascii="Cambria" w:eastAsia="Times New Roman" w:hAnsi="Cambria" w:cs="Times New Roman"/>
          <w:szCs w:val="22"/>
          <w:lang w:val="lv-LV"/>
        </w:rPr>
        <w:t xml:space="preserve">adā LIAA </w:t>
      </w:r>
      <w:r w:rsidR="00C47227" w:rsidRPr="00595533">
        <w:rPr>
          <w:rFonts w:ascii="Cambria" w:eastAsia="Times New Roman" w:hAnsi="Cambria" w:cs="Times New Roman"/>
          <w:szCs w:val="22"/>
          <w:lang w:val="lv-LV"/>
        </w:rPr>
        <w:t>atvērusi jaunu pārstāvniecību arī ASV.</w:t>
      </w:r>
    </w:p>
    <w:p w14:paraId="644DD43F" w14:textId="3FF78605" w:rsidR="00C47227" w:rsidRPr="00595533" w:rsidRDefault="00C47227" w:rsidP="00135398">
      <w:pPr>
        <w:rPr>
          <w:lang w:val="lv-LV"/>
        </w:rPr>
      </w:pPr>
      <w:r w:rsidRPr="00595533">
        <w:rPr>
          <w:lang w:val="lv-LV"/>
        </w:rPr>
        <w:t>IKT un digitālo tehnoloģiju risinājumu izmantošana ir nozīmīgs faktors pievienotās vērtības radīšanai, īpaši uz ārējo pieprasījumu orientētās nozarēs, ieviešot jaunus biznesa modeļus, palielinot darbaspēka produktivitāti un inovācijas attīstību.  Sekmējot inovatīvo komersantu īpatsvara palielināšanu, tehnoloģisko inovāciju ieviešanu un produktivitātes kāpumu, 2016.</w:t>
      </w:r>
      <w:r w:rsidR="00135398" w:rsidRPr="00595533">
        <w:rPr>
          <w:lang w:val="lv-LV"/>
        </w:rPr>
        <w:t> </w:t>
      </w:r>
      <w:r w:rsidRPr="00595533">
        <w:rPr>
          <w:lang w:val="lv-LV"/>
        </w:rPr>
        <w:t xml:space="preserve">gadā uzsākts </w:t>
      </w:r>
      <w:r w:rsidRPr="00595533">
        <w:rPr>
          <w:b/>
          <w:lang w:val="lv-LV"/>
        </w:rPr>
        <w:t>atbalsts komersantiem nodarbināto apmācībām, informācijas un komunikācijas tehnoloģiju prasmju pilnveidošanai, netehnoloģisko inovāciju ieviešanas prasmju attīstīšanai</w:t>
      </w:r>
      <w:r w:rsidRPr="00595533">
        <w:rPr>
          <w:lang w:val="lv-LV"/>
        </w:rPr>
        <w:t>. Lai sekmīgāk konkurētu ārvalstu investīciju piesaistē, pieejama arī apmācību programma, kas ļauj piesaistīt un ātri sagatavot investoriem nepieciešamās kvalifikācijas darbiniekus.</w:t>
      </w:r>
    </w:p>
    <w:p w14:paraId="418ACC0D" w14:textId="592C122C" w:rsidR="00C47227" w:rsidRPr="00595533" w:rsidRDefault="00C47227" w:rsidP="00135398">
      <w:pPr>
        <w:rPr>
          <w:lang w:val="lv-LV"/>
        </w:rPr>
      </w:pPr>
      <w:r w:rsidRPr="00595533">
        <w:rPr>
          <w:lang w:val="lv-LV"/>
        </w:rPr>
        <w:t>Kopš 2016.</w:t>
      </w:r>
      <w:r w:rsidR="00135398" w:rsidRPr="00595533">
        <w:rPr>
          <w:lang w:val="lv-LV"/>
        </w:rPr>
        <w:t> </w:t>
      </w:r>
      <w:r w:rsidRPr="00595533">
        <w:rPr>
          <w:lang w:val="lv-LV"/>
        </w:rPr>
        <w:t xml:space="preserve">gada sekmīgi tiek īstenota </w:t>
      </w:r>
      <w:r w:rsidRPr="00595533">
        <w:rPr>
          <w:b/>
          <w:lang w:val="lv-LV"/>
        </w:rPr>
        <w:t>Inovāciju motivācijas programma</w:t>
      </w:r>
      <w:r w:rsidRPr="00595533">
        <w:rPr>
          <w:lang w:val="lv-LV"/>
        </w:rPr>
        <w:t xml:space="preserve">, kuras mērķis ir informēt plašāku sabiedrību par uzņēmējdarbības un inovācijas nozīmi, iedrošināt pievērsties uzņēmējdarbībai, praktiskā veidā iesaistot inovatīvu risinājumu izstrādē un attīstīšanā, tādā veidā paaugstinot inovatīvo komersantu īpatsvaru ekonomikā. Projekta ietvaros tiek īstenots inovatīvo biznesa ideju konkurss “IDEJU KAUSS”, notiek pasākumi ar ārvalstu ekspertu iesaisti un meistarklasēm tehnoloģiskās intereses un jaunrades veicināšanai, menedžmenta inovāciju apmācību kurss komersantiem, tīklošanas semināri, diskusijas, meistarklases, jaunu produktu radīšanas darbnīcas </w:t>
      </w:r>
      <w:r w:rsidRPr="00595533">
        <w:rPr>
          <w:i/>
          <w:lang w:val="lv-LV"/>
        </w:rPr>
        <w:t>(hakatoni)</w:t>
      </w:r>
      <w:r w:rsidR="00135398" w:rsidRPr="00595533">
        <w:rPr>
          <w:lang w:val="lv-LV"/>
        </w:rPr>
        <w:t xml:space="preserve"> </w:t>
      </w:r>
      <w:r w:rsidRPr="00595533">
        <w:rPr>
          <w:lang w:val="lv-LV"/>
        </w:rPr>
        <w:t>u.c.</w:t>
      </w:r>
    </w:p>
    <w:p w14:paraId="28F4E6D2" w14:textId="31FB3EA1" w:rsidR="00C47227" w:rsidRPr="00595533" w:rsidRDefault="00C47227" w:rsidP="00C5334A">
      <w:pPr>
        <w:rPr>
          <w:lang w:val="lv-LV"/>
        </w:rPr>
      </w:pPr>
      <w:r w:rsidRPr="00595533">
        <w:rPr>
          <w:lang w:val="lv-LV"/>
        </w:rPr>
        <w:t>Latvijas tūrisma nozares pēdējo divu</w:t>
      </w:r>
      <w:r w:rsidR="00C5334A" w:rsidRPr="00595533">
        <w:rPr>
          <w:lang w:val="lv-LV"/>
        </w:rPr>
        <w:t>,</w:t>
      </w:r>
      <w:r w:rsidRPr="00595533">
        <w:rPr>
          <w:lang w:val="lv-LV"/>
        </w:rPr>
        <w:t xml:space="preserve"> trīs gadu lielākais izaicinājums b</w:t>
      </w:r>
      <w:r w:rsidR="00C5334A" w:rsidRPr="00595533">
        <w:rPr>
          <w:lang w:val="lv-LV"/>
        </w:rPr>
        <w:t>ijis</w:t>
      </w:r>
      <w:r w:rsidRPr="00595533">
        <w:rPr>
          <w:lang w:val="lv-LV"/>
        </w:rPr>
        <w:t xml:space="preserve"> nestabilā ģeopolitiskā situācija Krievijā, kuras ietekmē, mazinoties starptautiskajai Krievijas tūristu plūsmai uz Latviju, Latvijas tūrisma pakalpojumu eksports 2016.</w:t>
      </w:r>
      <w:r w:rsidR="00C5334A" w:rsidRPr="00595533">
        <w:rPr>
          <w:lang w:val="lv-LV"/>
        </w:rPr>
        <w:t> </w:t>
      </w:r>
      <w:r w:rsidRPr="00595533">
        <w:rPr>
          <w:lang w:val="lv-LV"/>
        </w:rPr>
        <w:t>gadā pieredzēja lejupslīdi par 2,6%. Tomēr, neraugoties uz to, šo gadu laikā tūrisms ir spējis saglabāt augsto pozīciju Latvijas pakalpojumu eksporta struktūrā, ve</w:t>
      </w:r>
      <w:r w:rsidR="00C5334A" w:rsidRPr="00595533">
        <w:rPr>
          <w:lang w:val="lv-LV"/>
        </w:rPr>
        <w:t xml:space="preserve">idojot vidēji 19% jeb 783 </w:t>
      </w:r>
      <w:r w:rsidR="00486B18" w:rsidRPr="00595533">
        <w:rPr>
          <w:lang w:val="lv-LV"/>
        </w:rPr>
        <w:t>mlj</w:t>
      </w:r>
      <w:r w:rsidR="00C5334A" w:rsidRPr="00595533">
        <w:rPr>
          <w:lang w:val="lv-LV"/>
        </w:rPr>
        <w:t xml:space="preserve"> euro </w:t>
      </w:r>
      <w:r w:rsidRPr="00595533">
        <w:rPr>
          <w:lang w:val="lv-LV"/>
        </w:rPr>
        <w:t>no kopējā valsts pakalpojumu eksporta.</w:t>
      </w:r>
    </w:p>
    <w:p w14:paraId="08CA3E9F" w14:textId="22D5763D" w:rsidR="00C47227" w:rsidRPr="00595533" w:rsidRDefault="00C5334A" w:rsidP="00533198">
      <w:pPr>
        <w:rPr>
          <w:lang w:val="lv-LV"/>
        </w:rPr>
      </w:pPr>
      <w:r w:rsidRPr="00595533">
        <w:rPr>
          <w:lang w:val="lv-LV"/>
        </w:rPr>
        <w:t>Lai sekmētu uz eksportu orientētu tūrisma produktu pieprasījumu, t</w:t>
      </w:r>
      <w:r w:rsidR="00C47227" w:rsidRPr="00595533">
        <w:rPr>
          <w:lang w:val="lv-LV" w:eastAsia="lv-LV"/>
        </w:rPr>
        <w:t>iek veicināta</w:t>
      </w:r>
      <w:r w:rsidR="00C47227" w:rsidRPr="00595533">
        <w:rPr>
          <w:b/>
          <w:lang w:val="lv-LV" w:eastAsia="lv-LV"/>
        </w:rPr>
        <w:t xml:space="preserve"> Latvijas kā starptautiskā un vietējā tūrisma galamērķa atpazīstamība, </w:t>
      </w:r>
      <w:r w:rsidR="00C47227" w:rsidRPr="00595533">
        <w:rPr>
          <w:lang w:val="lv-LV" w:eastAsia="lv-LV"/>
        </w:rPr>
        <w:t>tajā skaitā,</w:t>
      </w:r>
      <w:r w:rsidR="00C47227" w:rsidRPr="00595533">
        <w:rPr>
          <w:b/>
          <w:lang w:val="lv-LV" w:eastAsia="lv-LV"/>
        </w:rPr>
        <w:t xml:space="preserve"> s</w:t>
      </w:r>
      <w:r w:rsidR="00C47227" w:rsidRPr="00595533">
        <w:rPr>
          <w:lang w:val="lv-LV"/>
        </w:rPr>
        <w:t>niegts valsts atbalsts tūrisma nozares starptautiskās konkurētspējas veicināšanai. 2017.</w:t>
      </w:r>
      <w:r w:rsidRPr="00595533">
        <w:rPr>
          <w:lang w:val="lv-LV"/>
        </w:rPr>
        <w:t> </w:t>
      </w:r>
      <w:r w:rsidR="00C47227" w:rsidRPr="00595533">
        <w:rPr>
          <w:lang w:val="lv-LV"/>
        </w:rPr>
        <w:t xml:space="preserve">gadā klasteru programmas ietvaros uzsākti divu tūrisma klasteru (Gaujas Nacionālā parka tūrisma klasteris un Latvijas Veselības tūrisma klasteris) projekti, sekmējot uzņēmumu savstarpējo sadarbību, kā rezultātā tiek veidoti jauni produkti, mazinātas barjeras ieiešanai jaunos ārvalstu tirgos, kas rezultējas eksporta pieaugumā un risku diversificēšanā. </w:t>
      </w:r>
    </w:p>
    <w:p w14:paraId="51D10B10" w14:textId="0D6E05C5" w:rsidR="00C47227" w:rsidRPr="00595533" w:rsidRDefault="00C5334A" w:rsidP="00533198">
      <w:pPr>
        <w:rPr>
          <w:lang w:val="lv-LV"/>
        </w:rPr>
      </w:pPr>
      <w:r w:rsidRPr="00595533">
        <w:rPr>
          <w:lang w:val="lv-LV"/>
        </w:rPr>
        <w:t>Tāpat u</w:t>
      </w:r>
      <w:r w:rsidR="00C47227" w:rsidRPr="00595533">
        <w:rPr>
          <w:lang w:val="lv-LV"/>
        </w:rPr>
        <w:t>zsāktas vairākas (</w:t>
      </w:r>
      <w:r w:rsidRPr="00595533">
        <w:rPr>
          <w:lang w:val="lv-LV"/>
        </w:rPr>
        <w:t>piecas</w:t>
      </w:r>
      <w:r w:rsidR="00C47227" w:rsidRPr="00595533">
        <w:rPr>
          <w:lang w:val="lv-LV"/>
        </w:rPr>
        <w:t xml:space="preserve">) valsts atbalsta programmas, kuras tieši vai netieši saistītas ar tūrisma infrastruktūras un kopējo nozares izaugsmes veicināšanu un ir vērstas uz privāto investīciju apjoma palielināšanu reģionos, nozīmīga kultūras un dabas </w:t>
      </w:r>
      <w:r w:rsidR="00C47227" w:rsidRPr="00595533">
        <w:rPr>
          <w:lang w:val="lv-LV"/>
        </w:rPr>
        <w:lastRenderedPageBreak/>
        <w:t xml:space="preserve">mantojuma, bioloģiskās daudzveidības un ekosistēmas saglabāšanu, teritoriju revitalizāciju.  </w:t>
      </w:r>
    </w:p>
    <w:p w14:paraId="5BA25295" w14:textId="3CB1E7E5" w:rsidR="00C47227" w:rsidRPr="00595533" w:rsidRDefault="00C5334A" w:rsidP="00533198">
      <w:pPr>
        <w:rPr>
          <w:lang w:val="lv-LV"/>
        </w:rPr>
      </w:pPr>
      <w:r w:rsidRPr="00595533">
        <w:rPr>
          <w:lang w:val="lv-LV"/>
        </w:rPr>
        <w:t>Papildus tam</w:t>
      </w:r>
      <w:r w:rsidR="00C47227" w:rsidRPr="00595533">
        <w:rPr>
          <w:lang w:val="lv-LV"/>
        </w:rPr>
        <w:t xml:space="preserve"> vairākas nozaru ministrijas veic arī citas tūrisma attīstību veicinošas aktivitātes</w:t>
      </w:r>
      <w:r w:rsidR="00C47227" w:rsidRPr="00595533">
        <w:rPr>
          <w:b/>
          <w:lang w:val="lv-LV"/>
        </w:rPr>
        <w:t xml:space="preserve"> </w:t>
      </w:r>
      <w:r w:rsidR="00C47227" w:rsidRPr="00595533">
        <w:rPr>
          <w:lang w:val="lv-LV"/>
        </w:rPr>
        <w:t xml:space="preserve">(no Kohēzijas fonda, valsts budžeta, Norvēģijas finanšu instrumenta līdzekļiem), piemēram,  piekrastes un </w:t>
      </w:r>
      <w:r w:rsidR="00C47227" w:rsidRPr="00595533">
        <w:rPr>
          <w:i/>
          <w:lang w:val="lv-LV"/>
        </w:rPr>
        <w:t>“Natura 2000”</w:t>
      </w:r>
      <w:r w:rsidR="00C47227" w:rsidRPr="00595533">
        <w:rPr>
          <w:lang w:val="lv-LV"/>
        </w:rPr>
        <w:t xml:space="preserve"> teritorijās publiskās infrastruktūras attīstība un dziedniecisko dūņu atradnes “Sloka” izpēte (VARAM), autoceļu seguma un tīkla uzlabojumi, dzelzceļa pasažieru un Starptautiskās lidostas „Rīga” infrastruktūras modernizācija (SM), lauku tūrisma uzņēmējdarbības attīstība (ZM) u.c. </w:t>
      </w:r>
    </w:p>
    <w:p w14:paraId="463B42DF" w14:textId="64012262" w:rsidR="00C47227" w:rsidRPr="00595533" w:rsidRDefault="00C47227" w:rsidP="00533198">
      <w:pPr>
        <w:rPr>
          <w:lang w:val="lv-LV"/>
        </w:rPr>
      </w:pPr>
      <w:r w:rsidRPr="00595533">
        <w:rPr>
          <w:lang w:val="lv-LV"/>
        </w:rPr>
        <w:t>Pasākumu izpildē būtiski uzsvērt pašvaldību nozīmīgo lomu publiskās un tūrisma infrastruktūras labiekārtošanā, kur pašvaldības finansējumu rod gan no saviem līdzekļiem, gan no struktūrfondiem, pārrobežu programmām u.c. Pārskata periodā radīti vairāki jauni tūrisma produkti, izbūvēti vairāki velo celiņi un pieguļošā infrastruktūra, pašvaldības regulāri uztur Tūrisma informācijas centru darbību un nodrošina tos ar virtuāliem un drukātiem materiāliem, ir izstrādāti vairāki jauni tūrisma maršruti, ierīkotas dabas takas u.c. Pašvaldības iesniegušas informāciju par vairāk kā 400 tūrisma aktivitāšu īstenošanu pārskata periodā un vairāk kā 200 jaunām plānotām aktivitātēm 2017.</w:t>
      </w:r>
      <w:r w:rsidR="00533198" w:rsidRPr="00595533">
        <w:rPr>
          <w:lang w:val="lv-LV"/>
        </w:rPr>
        <w:t> – </w:t>
      </w:r>
      <w:r w:rsidRPr="00595533">
        <w:rPr>
          <w:lang w:val="lv-LV"/>
        </w:rPr>
        <w:t>2</w:t>
      </w:r>
      <w:r w:rsidR="00533198" w:rsidRPr="00595533">
        <w:rPr>
          <w:lang w:val="lv-LV"/>
        </w:rPr>
        <w:t>020.gad</w:t>
      </w:r>
      <w:r w:rsidRPr="00595533">
        <w:rPr>
          <w:lang w:val="lv-LV"/>
        </w:rPr>
        <w:t>ā.</w:t>
      </w:r>
    </w:p>
    <w:p w14:paraId="672CB6C4" w14:textId="2CEF51CB" w:rsidR="00C47227" w:rsidRPr="004622CA" w:rsidRDefault="00C47227" w:rsidP="00533198">
      <w:pPr>
        <w:rPr>
          <w:lang w:val="lv-LV"/>
        </w:rPr>
      </w:pPr>
      <w:r w:rsidRPr="004622CA">
        <w:rPr>
          <w:b/>
          <w:lang w:val="lv-LV"/>
        </w:rPr>
        <w:t>Radošo industriju</w:t>
      </w:r>
      <w:r w:rsidRPr="004622CA">
        <w:rPr>
          <w:lang w:val="lv-LV"/>
        </w:rPr>
        <w:t xml:space="preserve"> veiksmīgai attīstībai ik gadu nori</w:t>
      </w:r>
      <w:r w:rsidR="00533198" w:rsidRPr="004622CA">
        <w:rPr>
          <w:lang w:val="lv-LV"/>
        </w:rPr>
        <w:t>sinās Radošās darbības nedēļa “R</w:t>
      </w:r>
      <w:r w:rsidRPr="004622CA">
        <w:rPr>
          <w:lang w:val="lv-LV"/>
        </w:rPr>
        <w:t xml:space="preserve">adi!”. Pasākums kalpo par efektīvu veidu radošās un kultūras industrijas uzņēmēju sadarbībai, uzņēmējdarbības eksportspējai, kā arī palīdz attīstīt kultūras un radošo industriju pārneses procesu, muzeju un radošo industriju sadarbības potenciālu, izceļot Latvijas sasniegumus un iepazīstot labāko ārvalstu pieredzi. Tiek nodrošināts valsts atbalsts mūzikas eksporta veicināšanai, kas sniedz iespēju mūzikas industrijas pārstāvjiem veicināt Latvijas mūzikas atpazīstamību ārpus valsts. </w:t>
      </w:r>
    </w:p>
    <w:p w14:paraId="44F31638" w14:textId="18C0125A" w:rsidR="00184FFF" w:rsidRPr="004622CA" w:rsidRDefault="00533198" w:rsidP="00533198">
      <w:pPr>
        <w:rPr>
          <w:lang w:val="lv-LV"/>
        </w:rPr>
      </w:pPr>
      <w:r w:rsidRPr="004622CA">
        <w:rPr>
          <w:lang w:val="lv-LV"/>
        </w:rPr>
        <w:t>Pārskata periodā u</w:t>
      </w:r>
      <w:r w:rsidR="00C47227" w:rsidRPr="004622CA">
        <w:rPr>
          <w:lang w:val="lv-LV"/>
        </w:rPr>
        <w:t xml:space="preserve">zsākta </w:t>
      </w:r>
      <w:r w:rsidRPr="004622CA">
        <w:rPr>
          <w:lang w:val="lv-LV"/>
        </w:rPr>
        <w:t xml:space="preserve">arī </w:t>
      </w:r>
      <w:r w:rsidR="00C47227" w:rsidRPr="004622CA">
        <w:rPr>
          <w:lang w:val="lv-LV"/>
        </w:rPr>
        <w:t>Radošo industriju biznesa inkubatora (RIBI) darbība</w:t>
      </w:r>
      <w:r w:rsidRPr="004622CA">
        <w:rPr>
          <w:lang w:val="lv-LV"/>
        </w:rPr>
        <w:t>. RIBI piedāvā koprades,</w:t>
      </w:r>
      <w:r w:rsidR="00C47227" w:rsidRPr="004622CA">
        <w:rPr>
          <w:lang w:val="lv-LV"/>
        </w:rPr>
        <w:t xml:space="preserve"> telpas sapulcēm, apmācībām, konsultācijām, kā arī rīko meistarklases, lekcijas, tīklošanās pasākumus, informējot par jaunumiem uzņēmējdarbībā. Atbalsta pasākumi tiek rīkoti pēc klientu vajadzībām, piesai</w:t>
      </w:r>
      <w:r w:rsidRPr="004622CA">
        <w:rPr>
          <w:lang w:val="lv-LV"/>
        </w:rPr>
        <w:t>stot dažādu jomu speciālistus. Tāpat n</w:t>
      </w:r>
      <w:r w:rsidR="00C47227" w:rsidRPr="004622CA">
        <w:rPr>
          <w:lang w:val="lv-LV"/>
        </w:rPr>
        <w:t>orisinās aktīvs darbs pie Tabakas fabrikas kvartāla attīstības, nodrošinot nepieciešamās infrastruktūras izveidi radošo industriju darbības īstenošanai un revitalizējot Rīgas pilsētas teritoriju. Lai ilgtermiņā veicinātu L</w:t>
      </w:r>
      <w:r w:rsidRPr="004622CA">
        <w:rPr>
          <w:lang w:val="lv-LV"/>
        </w:rPr>
        <w:t>atvijas labāko dizaina produktu un</w:t>
      </w:r>
      <w:r w:rsidR="00C47227" w:rsidRPr="004622CA">
        <w:rPr>
          <w:lang w:val="lv-LV"/>
        </w:rPr>
        <w:t xml:space="preserve"> pakalpojumu prestižu, popularizēšanu Latvijā un ārvalstīs, no 2017.</w:t>
      </w:r>
      <w:r w:rsidRPr="004622CA">
        <w:rPr>
          <w:lang w:val="lv-LV"/>
        </w:rPr>
        <w:t> </w:t>
      </w:r>
      <w:r w:rsidR="00C47227" w:rsidRPr="004622CA">
        <w:rPr>
          <w:lang w:val="lv-LV"/>
        </w:rPr>
        <w:t>gada tiek pasniegta Latvijas Dizaina gada balva, kas ir augstākais apbalvojums Latvijas dizaina nozarē.</w:t>
      </w:r>
    </w:p>
    <w:p w14:paraId="701B36CA" w14:textId="77777777" w:rsidR="00384533" w:rsidRPr="004622CA" w:rsidRDefault="00384533" w:rsidP="00384533">
      <w:pPr>
        <w:pStyle w:val="NoSpacing"/>
        <w:rPr>
          <w:sz w:val="10"/>
          <w:szCs w:val="10"/>
          <w:lang w:val="lv-LV"/>
        </w:rPr>
      </w:pPr>
    </w:p>
    <w:p w14:paraId="0747085D" w14:textId="77777777" w:rsidR="00B21C7B" w:rsidRPr="004622CA" w:rsidRDefault="00B21C7B" w:rsidP="00B21C7B">
      <w:pPr>
        <w:pStyle w:val="Heading3"/>
        <w:rPr>
          <w:lang w:val="lv-LV"/>
        </w:rPr>
      </w:pPr>
      <w:bookmarkStart w:id="29" w:name="_Toc498690615"/>
      <w:r w:rsidRPr="004622CA">
        <w:rPr>
          <w:lang w:val="lv-LV"/>
        </w:rPr>
        <w:t>PROGRESA NOVĒRTĒJUMS</w:t>
      </w:r>
      <w:bookmarkEnd w:id="29"/>
    </w:p>
    <w:p w14:paraId="291758D6" w14:textId="7FB7D2B8" w:rsidR="00E2189D" w:rsidRDefault="00E2189D" w:rsidP="00EC4FA8">
      <w:pPr>
        <w:rPr>
          <w:lang w:val="lv-LV"/>
        </w:rPr>
      </w:pPr>
      <w:r w:rsidRPr="004622CA">
        <w:rPr>
          <w:lang w:val="lv-LV"/>
        </w:rPr>
        <w:t xml:space="preserve">Rīcības virziena </w:t>
      </w:r>
      <w:r w:rsidRPr="004622CA">
        <w:rPr>
          <w:i/>
          <w:lang w:val="lv-LV"/>
        </w:rPr>
        <w:t xml:space="preserve">Augstražīga un eksportspējīga ražošana un starptautiski konkurētspējīgi pakalpojumi </w:t>
      </w:r>
      <w:r w:rsidRPr="004622CA">
        <w:rPr>
          <w:lang w:val="lv-LV"/>
        </w:rPr>
        <w:t>mērķu sasniegšanai sākotnēji tika plānots</w:t>
      </w:r>
      <w:r w:rsidRPr="004622CA">
        <w:rPr>
          <w:rStyle w:val="FootnoteReference"/>
          <w:lang w:val="lv-LV"/>
        </w:rPr>
        <w:footnoteReference w:id="10"/>
      </w:r>
      <w:r w:rsidRPr="004622CA">
        <w:rPr>
          <w:lang w:val="lv-LV"/>
        </w:rPr>
        <w:t xml:space="preserve"> investēt kopumā 1,1 mljrd euro. Uz starpposma izvērtējuma brīdi rīcības virziena uzdevumu īstenošanai ir apzinātas kopējās investīcijas</w:t>
      </w:r>
      <w:r w:rsidRPr="004622CA">
        <w:rPr>
          <w:rStyle w:val="FootnoteReference"/>
          <w:lang w:val="lv-LV"/>
        </w:rPr>
        <w:footnoteReference w:id="11"/>
      </w:r>
      <w:r w:rsidRPr="004622CA">
        <w:rPr>
          <w:lang w:val="lv-LV"/>
        </w:rPr>
        <w:t xml:space="preserve"> 1,3 mljrd euro apmērā jeb 120,3% no sākotnēji plānotā. No</w:t>
      </w:r>
      <w:r w:rsidRPr="00E2189D">
        <w:rPr>
          <w:lang w:val="lv-LV"/>
        </w:rPr>
        <w:t xml:space="preserve"> minētajām investīcijām lielāko daļu jeb 62,8% veido ES fondu finansējums</w:t>
      </w:r>
      <w:r w:rsidRPr="00E2189D">
        <w:rPr>
          <w:rStyle w:val="FootnoteReference"/>
          <w:lang w:val="lv-LV"/>
        </w:rPr>
        <w:footnoteReference w:id="12"/>
      </w:r>
      <w:r w:rsidRPr="00E2189D">
        <w:rPr>
          <w:lang w:val="lv-LV"/>
        </w:rPr>
        <w:t>, savukārt atlikušos 37,2% veido nacionālais finansējums</w:t>
      </w:r>
      <w:r w:rsidRPr="00E2189D">
        <w:rPr>
          <w:rStyle w:val="FootnoteReference"/>
          <w:lang w:val="lv-LV"/>
        </w:rPr>
        <w:footnoteReference w:id="13"/>
      </w:r>
      <w:r w:rsidRPr="00E2189D">
        <w:rPr>
          <w:lang w:val="lv-LV"/>
        </w:rPr>
        <w:t>.</w:t>
      </w:r>
    </w:p>
    <w:p w14:paraId="51FEC5D3" w14:textId="7685F4BA" w:rsidR="00E808BC" w:rsidRPr="00595533" w:rsidRDefault="00A65740" w:rsidP="00EC4FA8">
      <w:pPr>
        <w:rPr>
          <w:lang w:val="lv-LV"/>
        </w:rPr>
      </w:pPr>
      <w:r w:rsidRPr="00595533">
        <w:rPr>
          <w:lang w:val="lv-LV"/>
        </w:rPr>
        <w:lastRenderedPageBreak/>
        <w:t xml:space="preserve">Progresu mērķu sasniegšanā raksturo izmaiņas indikatorrādītājos, taču </w:t>
      </w:r>
      <w:r w:rsidR="005278BD" w:rsidRPr="00595533">
        <w:rPr>
          <w:lang w:val="lv-LV"/>
        </w:rPr>
        <w:t xml:space="preserve">rīcības virzienā </w:t>
      </w:r>
      <w:r w:rsidR="005278BD" w:rsidRPr="00595533">
        <w:rPr>
          <w:i/>
          <w:lang w:val="lv-LV"/>
        </w:rPr>
        <w:t>Augstražīga un eksportspējīga ražošana un starptautiski konkurētspējīgi pakalpojumi</w:t>
      </w:r>
      <w:r w:rsidR="005278BD" w:rsidRPr="00595533">
        <w:rPr>
          <w:lang w:val="lv-LV"/>
        </w:rPr>
        <w:t xml:space="preserve"> iekļautie indikatori pēdējo gadu laikā savu nozīmi ir zaudējuši un liela daļa no tiem netiek vairs aprēķināti. Šo iemeslu dēļ pēc objektīviem</w:t>
      </w:r>
      <w:r w:rsidR="004E0675" w:rsidRPr="00595533">
        <w:rPr>
          <w:lang w:val="lv-LV"/>
        </w:rPr>
        <w:t>, apstiprinātiem</w:t>
      </w:r>
      <w:r w:rsidR="005278BD" w:rsidRPr="00595533">
        <w:rPr>
          <w:lang w:val="lv-LV"/>
        </w:rPr>
        <w:t xml:space="preserve"> kritērijiem novērtēt </w:t>
      </w:r>
      <w:r w:rsidR="004E0675" w:rsidRPr="00595533">
        <w:rPr>
          <w:lang w:val="lv-LV"/>
        </w:rPr>
        <w:t xml:space="preserve">virzību uz eksportspēju un konkurētspēju tautsaimniecībā ir sarežģīti. Pieejamie dati liecina, ka NAP2020 </w:t>
      </w:r>
      <w:r w:rsidR="00B259CA" w:rsidRPr="00595533">
        <w:rPr>
          <w:lang w:val="lv-LV"/>
        </w:rPr>
        <w:t>vīzija attīstīt apstrādes rūpniecību, tādā veidā veicinot tautsaimniecības izaugsmi, pagaidām nav realizējusies, jo nefinanšu investīciju apjoms apstrādes rūpniecībā vēl neuzrāda stabilu pieauguma tendenci</w:t>
      </w:r>
      <w:r w:rsidR="009B7CAA" w:rsidRPr="00595533">
        <w:rPr>
          <w:lang w:val="lv-LV"/>
        </w:rPr>
        <w:t xml:space="preserve">, </w:t>
      </w:r>
      <w:r w:rsidR="00B84DD5" w:rsidRPr="00595533">
        <w:rPr>
          <w:lang w:val="lv-LV"/>
        </w:rPr>
        <w:t>bet ārvalstu tiešās investīcijas nozarē gluži pretēji – pēdējo gadu laikā ir būtiski samazinājušās. Tā rezultātā</w:t>
      </w:r>
      <w:r w:rsidR="009B7CAA" w:rsidRPr="00595533">
        <w:rPr>
          <w:lang w:val="lv-LV"/>
        </w:rPr>
        <w:t xml:space="preserve"> apstrādes rūpniecības ieguldījumu īpatsvars iekšzemes kopproduktā kopš 2013.</w:t>
      </w:r>
      <w:r w:rsidR="001D79A6" w:rsidRPr="00595533">
        <w:rPr>
          <w:lang w:val="lv-LV"/>
        </w:rPr>
        <w:t> </w:t>
      </w:r>
      <w:r w:rsidR="009B7CAA" w:rsidRPr="00595533">
        <w:rPr>
          <w:lang w:val="lv-LV"/>
        </w:rPr>
        <w:t>gada praktiski</w:t>
      </w:r>
      <w:r w:rsidR="00171BED" w:rsidRPr="00595533">
        <w:rPr>
          <w:lang w:val="lv-LV"/>
        </w:rPr>
        <w:t xml:space="preserve"> nav mainījies un svārstās 12,3 – </w:t>
      </w:r>
      <w:r w:rsidR="009B7CAA" w:rsidRPr="00595533">
        <w:rPr>
          <w:lang w:val="lv-LV"/>
        </w:rPr>
        <w:t>12,5% robežās.</w:t>
      </w:r>
      <w:r w:rsidR="00157A9D" w:rsidRPr="00595533">
        <w:rPr>
          <w:lang w:val="lv-LV"/>
        </w:rPr>
        <w:t xml:space="preserve"> Līdzīgu tendenci uzrāda arī preču un pakalpojumu eksporta rādītāji. Lai gan tā apjoms pēdējos gados stabili pieaug, eksporta daļa iekšzemes kopproduktā ir salīdzinoši nemainīga un 2016.</w:t>
      </w:r>
      <w:r w:rsidR="00540B3F" w:rsidRPr="00595533">
        <w:rPr>
          <w:lang w:val="lv-LV"/>
        </w:rPr>
        <w:t> </w:t>
      </w:r>
      <w:r w:rsidR="00157A9D" w:rsidRPr="00595533">
        <w:rPr>
          <w:lang w:val="lv-LV"/>
        </w:rPr>
        <w:t>gadā veidoja</w:t>
      </w:r>
      <w:r w:rsidR="00540B3F" w:rsidRPr="00595533">
        <w:rPr>
          <w:lang w:val="lv-LV"/>
        </w:rPr>
        <w:t xml:space="preserve"> 41% no IKP, kas ir par 2</w:t>
      </w:r>
      <w:r w:rsidR="00514F9D" w:rsidRPr="00595533">
        <w:rPr>
          <w:lang w:val="lv-LV"/>
        </w:rPr>
        <w:t>2% mazāk nekā plānots NAP2020. Analizējot datus, secināms, ka e</w:t>
      </w:r>
      <w:r w:rsidR="00540B3F" w:rsidRPr="00595533">
        <w:rPr>
          <w:lang w:val="lv-LV"/>
        </w:rPr>
        <w:t xml:space="preserve">ksporta kāpuma tempu lielā mērā ietekmējis </w:t>
      </w:r>
      <w:r w:rsidR="008D7C9D" w:rsidRPr="00595533">
        <w:rPr>
          <w:lang w:val="lv-LV"/>
        </w:rPr>
        <w:t>pēdējos gados vērojamais</w:t>
      </w:r>
      <w:r w:rsidR="00540B3F" w:rsidRPr="00595533">
        <w:rPr>
          <w:lang w:val="lv-LV"/>
        </w:rPr>
        <w:t xml:space="preserve"> </w:t>
      </w:r>
      <w:r w:rsidR="008D7C9D" w:rsidRPr="00595533">
        <w:rPr>
          <w:lang w:val="lv-LV"/>
        </w:rPr>
        <w:t xml:space="preserve">apgrozījuma samazinājums preču un pakalpojumu eksportam uz NVS valstīm, vienlaikus </w:t>
      </w:r>
      <w:r w:rsidR="00DC1305" w:rsidRPr="00595533">
        <w:rPr>
          <w:lang w:val="lv-LV"/>
        </w:rPr>
        <w:t>neveidojot</w:t>
      </w:r>
      <w:r w:rsidR="00240FDD" w:rsidRPr="00595533">
        <w:rPr>
          <w:lang w:val="lv-LV"/>
        </w:rPr>
        <w:t>ies</w:t>
      </w:r>
      <w:r w:rsidR="00DC1305" w:rsidRPr="00595533">
        <w:rPr>
          <w:lang w:val="lv-LV"/>
        </w:rPr>
        <w:t xml:space="preserve"> jaun</w:t>
      </w:r>
      <w:r w:rsidR="00240FDD" w:rsidRPr="00595533">
        <w:rPr>
          <w:lang w:val="lv-LV"/>
        </w:rPr>
        <w:t>ām</w:t>
      </w:r>
      <w:r w:rsidR="00DC1305" w:rsidRPr="00595533">
        <w:rPr>
          <w:lang w:val="lv-LV"/>
        </w:rPr>
        <w:t xml:space="preserve"> sadarbīb</w:t>
      </w:r>
      <w:r w:rsidR="00240FDD" w:rsidRPr="00595533">
        <w:rPr>
          <w:lang w:val="lv-LV"/>
        </w:rPr>
        <w:t>ām</w:t>
      </w:r>
      <w:r w:rsidR="00DC1305" w:rsidRPr="00595533">
        <w:rPr>
          <w:lang w:val="lv-LV"/>
        </w:rPr>
        <w:t xml:space="preserve"> citos, īpaši straujas izaugsmes tirgos.</w:t>
      </w:r>
    </w:p>
    <w:p w14:paraId="204F5C77" w14:textId="698A1547" w:rsidR="00171BED" w:rsidRPr="00595533" w:rsidRDefault="00EF3D80" w:rsidP="00E946BB">
      <w:pPr>
        <w:pStyle w:val="attelunosaukums"/>
      </w:pPr>
      <w:r>
        <w:t>11</w:t>
      </w:r>
      <w:r w:rsidR="00E946BB" w:rsidRPr="00595533">
        <w:t xml:space="preserve">. attēls.  </w:t>
      </w:r>
      <w:r w:rsidR="00171BED" w:rsidRPr="00595533">
        <w:t>Preču un pakalpojumu eksporta daļa no IKP</w:t>
      </w:r>
    </w:p>
    <w:p w14:paraId="2EB6463A" w14:textId="27E4B508" w:rsidR="00632F1C" w:rsidRPr="00595533" w:rsidRDefault="00D57590" w:rsidP="00EC4FA8">
      <w:pPr>
        <w:rPr>
          <w:lang w:val="lv-LV"/>
        </w:rPr>
      </w:pPr>
      <w:r>
        <w:rPr>
          <w:noProof/>
          <w:lang w:val="lv-LV" w:eastAsia="lv-LV"/>
        </w:rPr>
        <w:drawing>
          <wp:inline distT="0" distB="0" distL="0" distR="0" wp14:anchorId="0C01CA4D" wp14:editId="20DE7354">
            <wp:extent cx="4468633" cy="2496710"/>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6B6611" w14:textId="77777777" w:rsidR="00D57590" w:rsidRDefault="00D57590" w:rsidP="00EC4FA8">
      <w:pPr>
        <w:rPr>
          <w:lang w:val="lv-LV"/>
        </w:rPr>
      </w:pPr>
    </w:p>
    <w:p w14:paraId="18D21F98" w14:textId="564B42D2" w:rsidR="00240FDD" w:rsidRPr="00595533" w:rsidRDefault="00514F9D" w:rsidP="00EC4FA8">
      <w:pPr>
        <w:rPr>
          <w:lang w:val="lv-LV"/>
        </w:rPr>
      </w:pPr>
      <w:r w:rsidRPr="00595533">
        <w:rPr>
          <w:lang w:val="lv-LV"/>
        </w:rPr>
        <w:t>Lai novērtētu tautsaimniecības radīto ietekmi uz vidi, NAP2020 paredz</w:t>
      </w:r>
      <w:r w:rsidR="00B725C2" w:rsidRPr="00595533">
        <w:rPr>
          <w:lang w:val="lv-LV"/>
        </w:rPr>
        <w:t>ēta</w:t>
      </w:r>
      <w:r w:rsidRPr="00595533">
        <w:rPr>
          <w:lang w:val="lv-LV"/>
        </w:rPr>
        <w:t xml:space="preserve"> valsts kopēj</w:t>
      </w:r>
      <w:r w:rsidR="00B725C2" w:rsidRPr="00595533">
        <w:rPr>
          <w:lang w:val="lv-LV"/>
        </w:rPr>
        <w:t>ā</w:t>
      </w:r>
      <w:r w:rsidRPr="00595533">
        <w:rPr>
          <w:lang w:val="lv-LV"/>
        </w:rPr>
        <w:t xml:space="preserve"> </w:t>
      </w:r>
      <w:r w:rsidR="00B725C2" w:rsidRPr="00595533">
        <w:rPr>
          <w:lang w:val="lv-LV"/>
        </w:rPr>
        <w:t>gaisu piesārņojošo vielu emisijas apjoma uzraudzība, perspektīvā samazinot gan slāpekļa oksīda, gan amonjaka, gan gaistošo organisko savienojumu un cieto daļiņu apjomu</w:t>
      </w:r>
      <w:r w:rsidR="00966697" w:rsidRPr="00595533">
        <w:rPr>
          <w:lang w:val="lv-LV"/>
        </w:rPr>
        <w:t xml:space="preserve"> gaisā</w:t>
      </w:r>
      <w:r w:rsidR="00B725C2" w:rsidRPr="00595533">
        <w:rPr>
          <w:lang w:val="lv-LV"/>
        </w:rPr>
        <w:t>.</w:t>
      </w:r>
      <w:r w:rsidR="00966697" w:rsidRPr="00595533">
        <w:rPr>
          <w:lang w:val="lv-LV"/>
        </w:rPr>
        <w:t xml:space="preserve"> Kā liecina dati, gaistošo organisko savienojumu koncentrācija gaisā pēdējo gadu laikā ir </w:t>
      </w:r>
      <w:r w:rsidR="00D44677" w:rsidRPr="00595533">
        <w:rPr>
          <w:lang w:val="lv-LV"/>
        </w:rPr>
        <w:t>ievērojami</w:t>
      </w:r>
      <w:r w:rsidR="00966697" w:rsidRPr="00595533">
        <w:rPr>
          <w:lang w:val="lv-LV"/>
        </w:rPr>
        <w:t xml:space="preserve"> mazinājusies, tomēr vienlaikus par 70% pieaudzis </w:t>
      </w:r>
      <w:r w:rsidR="00A5015F" w:rsidRPr="00595533">
        <w:rPr>
          <w:lang w:val="lv-LV"/>
        </w:rPr>
        <w:t>cieto daļiņu PM</w:t>
      </w:r>
      <w:r w:rsidR="00A5015F" w:rsidRPr="00595533">
        <w:rPr>
          <w:smallCaps/>
          <w:vertAlign w:val="subscript"/>
          <w:lang w:val="lv-LV"/>
        </w:rPr>
        <w:t>2,5</w:t>
      </w:r>
      <w:r w:rsidR="00A5015F" w:rsidRPr="00595533">
        <w:rPr>
          <w:lang w:val="lv-LV"/>
        </w:rPr>
        <w:t xml:space="preserve"> apjoms gaisa sastāvā, būtiski pārsniedzot līdz šim pēdējo piecpadsmit gadu laikā </w:t>
      </w:r>
      <w:r w:rsidR="00D44677" w:rsidRPr="00595533">
        <w:rPr>
          <w:lang w:val="lv-LV"/>
        </w:rPr>
        <w:t>novēroto.</w:t>
      </w:r>
      <w:r w:rsidR="004C7115" w:rsidRPr="00595533">
        <w:rPr>
          <w:lang w:val="lv-LV"/>
        </w:rPr>
        <w:t xml:space="preserve"> Š</w:t>
      </w:r>
      <w:r w:rsidR="00C548E8" w:rsidRPr="00595533">
        <w:rPr>
          <w:lang w:val="lv-LV"/>
        </w:rPr>
        <w:t>īm daļām ir nega</w:t>
      </w:r>
      <w:r w:rsidR="001D4B92" w:rsidRPr="00595533">
        <w:rPr>
          <w:lang w:val="lv-LV"/>
        </w:rPr>
        <w:t>t</w:t>
      </w:r>
      <w:r w:rsidR="00C548E8" w:rsidRPr="00595533">
        <w:rPr>
          <w:lang w:val="lv-LV"/>
        </w:rPr>
        <w:t xml:space="preserve">īva ietekme uz cilvēka veselību un dzīvildzi </w:t>
      </w:r>
      <w:r w:rsidR="001D4B92" w:rsidRPr="00595533">
        <w:rPr>
          <w:lang w:val="lv-LV"/>
        </w:rPr>
        <w:t xml:space="preserve">pat pie nelielām koncentrācijām, un tiek uzskatīts, ka no visām gaisu piesārņojošām vielām </w:t>
      </w:r>
      <w:r w:rsidR="00171BED" w:rsidRPr="00595533">
        <w:rPr>
          <w:lang w:val="lv-LV"/>
        </w:rPr>
        <w:t>cietās daļiņas</w:t>
      </w:r>
      <w:r w:rsidR="001D4B92" w:rsidRPr="00595533">
        <w:rPr>
          <w:lang w:val="lv-LV"/>
        </w:rPr>
        <w:t xml:space="preserve"> nodara vislielāko kaitējumu. </w:t>
      </w:r>
      <w:r w:rsidR="00171BED" w:rsidRPr="00595533">
        <w:rPr>
          <w:lang w:val="lv-LV"/>
        </w:rPr>
        <w:t>To</w:t>
      </w:r>
      <w:r w:rsidR="004C7115" w:rsidRPr="00595533">
        <w:rPr>
          <w:lang w:val="lv-LV"/>
        </w:rPr>
        <w:t xml:space="preserve"> galvenais </w:t>
      </w:r>
      <w:r w:rsidR="00171BED" w:rsidRPr="00595533">
        <w:rPr>
          <w:lang w:val="lv-LV"/>
        </w:rPr>
        <w:t xml:space="preserve">rašanās </w:t>
      </w:r>
      <w:r w:rsidR="004C7115" w:rsidRPr="00595533">
        <w:rPr>
          <w:lang w:val="lv-LV"/>
        </w:rPr>
        <w:t xml:space="preserve">avots ir autotransports, </w:t>
      </w:r>
      <w:r w:rsidR="001D4B92" w:rsidRPr="00595533">
        <w:rPr>
          <w:lang w:val="lv-LV"/>
        </w:rPr>
        <w:t>tāpēc</w:t>
      </w:r>
      <w:r w:rsidR="004C7115" w:rsidRPr="00595533">
        <w:rPr>
          <w:lang w:val="lv-LV"/>
        </w:rPr>
        <w:t xml:space="preserve"> vērojamais pieaugums</w:t>
      </w:r>
      <w:r w:rsidR="006F4C26" w:rsidRPr="00595533">
        <w:rPr>
          <w:lang w:val="lv-LV"/>
        </w:rPr>
        <w:t>,</w:t>
      </w:r>
      <w:r w:rsidR="004C7115" w:rsidRPr="00595533">
        <w:rPr>
          <w:lang w:val="lv-LV"/>
        </w:rPr>
        <w:t xml:space="preserve"> </w:t>
      </w:r>
      <w:r w:rsidR="001D4B92" w:rsidRPr="00595533">
        <w:rPr>
          <w:lang w:val="lv-LV"/>
        </w:rPr>
        <w:t>visticamāk</w:t>
      </w:r>
      <w:r w:rsidR="006F4C26" w:rsidRPr="00595533">
        <w:rPr>
          <w:lang w:val="lv-LV"/>
        </w:rPr>
        <w:t>,</w:t>
      </w:r>
      <w:r w:rsidR="001D4B92" w:rsidRPr="00595533">
        <w:rPr>
          <w:lang w:val="lv-LV"/>
        </w:rPr>
        <w:t xml:space="preserve"> </w:t>
      </w:r>
      <w:r w:rsidR="004C7115" w:rsidRPr="00595533">
        <w:rPr>
          <w:lang w:val="lv-LV"/>
        </w:rPr>
        <w:t>skaidr</w:t>
      </w:r>
      <w:r w:rsidR="001D4B92" w:rsidRPr="00595533">
        <w:rPr>
          <w:lang w:val="lv-LV"/>
        </w:rPr>
        <w:t>ojams ar dīzeļdegvielas un auto</w:t>
      </w:r>
      <w:r w:rsidR="004C7115" w:rsidRPr="00595533">
        <w:rPr>
          <w:lang w:val="lv-LV"/>
        </w:rPr>
        <w:t>gāzes izmantošanas pieaugumu, jo tieši š</w:t>
      </w:r>
      <w:r w:rsidR="00C548E8" w:rsidRPr="00595533">
        <w:rPr>
          <w:lang w:val="lv-LV"/>
        </w:rPr>
        <w:t>o</w:t>
      </w:r>
      <w:r w:rsidR="004C7115" w:rsidRPr="00595533">
        <w:rPr>
          <w:lang w:val="lv-LV"/>
        </w:rPr>
        <w:t xml:space="preserve"> </w:t>
      </w:r>
      <w:r w:rsidR="00C6049E" w:rsidRPr="00595533">
        <w:rPr>
          <w:lang w:val="lv-LV"/>
        </w:rPr>
        <w:t>degvielas veid</w:t>
      </w:r>
      <w:r w:rsidR="00C548E8" w:rsidRPr="00595533">
        <w:rPr>
          <w:lang w:val="lv-LV"/>
        </w:rPr>
        <w:t>u dūmgāzēm kvēpu masas koncentrācija ir ievērojami augstāka nekā benzīnam</w:t>
      </w:r>
      <w:r w:rsidR="00270DA5" w:rsidRPr="00595533">
        <w:rPr>
          <w:lang w:val="lv-LV"/>
        </w:rPr>
        <w:t>.</w:t>
      </w:r>
    </w:p>
    <w:p w14:paraId="40EDD8E0" w14:textId="77777777" w:rsidR="002B6DDB" w:rsidRDefault="002B6DDB">
      <w:pPr>
        <w:spacing w:before="0" w:after="0"/>
        <w:jc w:val="left"/>
        <w:rPr>
          <w:b/>
          <w:color w:val="253356" w:themeColor="accent1" w:themeShade="80"/>
          <w:lang w:val="lv-LV"/>
        </w:rPr>
      </w:pPr>
      <w:r w:rsidRPr="000664FB">
        <w:rPr>
          <w:lang w:val="lv-LV"/>
        </w:rPr>
        <w:br w:type="page"/>
      </w:r>
    </w:p>
    <w:p w14:paraId="09360FBE" w14:textId="53495FD2" w:rsidR="00C85DB9" w:rsidRPr="00595533" w:rsidRDefault="002B6DDB" w:rsidP="00C85DB9">
      <w:pPr>
        <w:pStyle w:val="attelunosaukums"/>
      </w:pPr>
      <w:r>
        <w:lastRenderedPageBreak/>
        <w:t>12</w:t>
      </w:r>
      <w:r w:rsidR="00C85DB9" w:rsidRPr="00595533">
        <w:t>.</w:t>
      </w:r>
      <w:r w:rsidR="00E946BB" w:rsidRPr="00595533">
        <w:t> </w:t>
      </w:r>
      <w:r w:rsidR="00C85DB9" w:rsidRPr="00595533">
        <w:t>attēls.  Cieto daļiņu piesārņojums gaisā</w:t>
      </w:r>
    </w:p>
    <w:p w14:paraId="2CC46E65" w14:textId="224E64D0" w:rsidR="00C85DB9" w:rsidRPr="00595533" w:rsidRDefault="00AE1D77" w:rsidP="00C85DB9">
      <w:pPr>
        <w:rPr>
          <w:lang w:val="lv-LV"/>
        </w:rPr>
      </w:pPr>
      <w:r>
        <w:rPr>
          <w:noProof/>
          <w:lang w:val="lv-LV" w:eastAsia="lv-LV"/>
        </w:rPr>
        <w:drawing>
          <wp:inline distT="0" distB="0" distL="0" distR="0" wp14:anchorId="347E434C" wp14:editId="32CF25E7">
            <wp:extent cx="4770782" cy="2600077"/>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CA7056" w14:textId="77777777" w:rsidR="00AE1D77" w:rsidRDefault="00AE1D77" w:rsidP="00EC4FA8">
      <w:pPr>
        <w:rPr>
          <w:lang w:val="lv-LV"/>
        </w:rPr>
      </w:pPr>
    </w:p>
    <w:p w14:paraId="301FDB32" w14:textId="339EAB9E" w:rsidR="00CE2A36" w:rsidRPr="00595533" w:rsidRDefault="0029021B" w:rsidP="00EC4FA8">
      <w:pPr>
        <w:rPr>
          <w:lang w:val="lv-LV"/>
        </w:rPr>
      </w:pPr>
      <w:r w:rsidRPr="00595533">
        <w:rPr>
          <w:lang w:val="lv-LV"/>
        </w:rPr>
        <w:t xml:space="preserve">Viedokļu līderi kopumā atzinīgi novērtējuši progresu, kas saistīts ar rīcības virziena </w:t>
      </w:r>
      <w:r w:rsidR="006F4C26" w:rsidRPr="00595533">
        <w:rPr>
          <w:i/>
          <w:lang w:val="lv-LV"/>
        </w:rPr>
        <w:t>Augstražīga un eksportspējīga ražošana un starptautiski konkurētspējīgi pakalpojumi</w:t>
      </w:r>
      <w:r w:rsidR="006F4C26" w:rsidRPr="00595533">
        <w:rPr>
          <w:lang w:val="lv-LV"/>
        </w:rPr>
        <w:t xml:space="preserve"> </w:t>
      </w:r>
      <w:r w:rsidRPr="00595533">
        <w:rPr>
          <w:lang w:val="lv-LV"/>
        </w:rPr>
        <w:t>nosprausto mērķu sasniegšanu. Gandrīz puse aptauj</w:t>
      </w:r>
      <w:r w:rsidR="007129FF" w:rsidRPr="00595533">
        <w:rPr>
          <w:lang w:val="lv-LV"/>
        </w:rPr>
        <w:t xml:space="preserve">āto ekspertu uzskata, ka </w:t>
      </w:r>
      <w:r w:rsidR="00325823" w:rsidRPr="00595533">
        <w:rPr>
          <w:lang w:val="lv-LV"/>
        </w:rPr>
        <w:t>progress</w:t>
      </w:r>
      <w:r w:rsidR="007129FF" w:rsidRPr="00595533">
        <w:rPr>
          <w:lang w:val="lv-LV"/>
        </w:rPr>
        <w:t xml:space="preserve"> </w:t>
      </w:r>
      <w:r w:rsidRPr="00595533">
        <w:rPr>
          <w:lang w:val="lv-LV"/>
        </w:rPr>
        <w:t>ar investīciju piesaisti produktīvā kapitāla vei</w:t>
      </w:r>
      <w:r w:rsidR="007129FF" w:rsidRPr="00595533">
        <w:rPr>
          <w:lang w:val="lv-LV"/>
        </w:rPr>
        <w:t>došanai eksportspējīgās nozarēs</w:t>
      </w:r>
      <w:r w:rsidRPr="00595533">
        <w:rPr>
          <w:lang w:val="lv-LV"/>
        </w:rPr>
        <w:t xml:space="preserve"> </w:t>
      </w:r>
      <w:r w:rsidR="00325823" w:rsidRPr="00595533">
        <w:rPr>
          <w:lang w:val="lv-LV"/>
        </w:rPr>
        <w:t>uzskatāms par</w:t>
      </w:r>
      <w:r w:rsidRPr="00595533">
        <w:rPr>
          <w:lang w:val="lv-LV"/>
        </w:rPr>
        <w:t xml:space="preserve"> drīzāk sekmīg</w:t>
      </w:r>
      <w:r w:rsidR="00325823" w:rsidRPr="00595533">
        <w:rPr>
          <w:lang w:val="lv-LV"/>
        </w:rPr>
        <w:t>u</w:t>
      </w:r>
      <w:r w:rsidRPr="00595533">
        <w:rPr>
          <w:lang w:val="lv-LV"/>
        </w:rPr>
        <w:t xml:space="preserve"> vai sekmīg</w:t>
      </w:r>
      <w:r w:rsidR="00325823" w:rsidRPr="00595533">
        <w:rPr>
          <w:lang w:val="lv-LV"/>
        </w:rPr>
        <w:t>u</w:t>
      </w:r>
      <w:r w:rsidRPr="00595533">
        <w:rPr>
          <w:lang w:val="lv-LV"/>
        </w:rPr>
        <w:t xml:space="preserve"> (45%). Līdzīgi tiek </w:t>
      </w:r>
      <w:r w:rsidR="00F819A3" w:rsidRPr="00595533">
        <w:rPr>
          <w:lang w:val="lv-LV"/>
        </w:rPr>
        <w:t>no</w:t>
      </w:r>
      <w:r w:rsidRPr="00595533">
        <w:rPr>
          <w:lang w:val="lv-LV"/>
        </w:rPr>
        <w:t xml:space="preserve">vērtēta arī </w:t>
      </w:r>
      <w:r w:rsidR="00325823" w:rsidRPr="00595533">
        <w:rPr>
          <w:lang w:val="lv-LV"/>
        </w:rPr>
        <w:t>virzība aktivitātē</w:t>
      </w:r>
      <w:r w:rsidRPr="00595533">
        <w:rPr>
          <w:lang w:val="lv-LV"/>
        </w:rPr>
        <w:t>s, lai ierobežotu vidē nonākoš</w:t>
      </w:r>
      <w:r w:rsidR="00F819A3" w:rsidRPr="00595533">
        <w:rPr>
          <w:lang w:val="lv-LV"/>
        </w:rPr>
        <w:t>o</w:t>
      </w:r>
      <w:r w:rsidRPr="00595533">
        <w:rPr>
          <w:lang w:val="lv-LV"/>
        </w:rPr>
        <w:t xml:space="preserve"> piesārņojum</w:t>
      </w:r>
      <w:r w:rsidR="00AB7CCC" w:rsidRPr="00595533">
        <w:rPr>
          <w:lang w:val="lv-LV"/>
        </w:rPr>
        <w:t>u</w:t>
      </w:r>
      <w:r w:rsidRPr="00595533">
        <w:rPr>
          <w:lang w:val="lv-LV"/>
        </w:rPr>
        <w:t xml:space="preserve"> </w:t>
      </w:r>
      <w:r w:rsidR="00AB7CCC" w:rsidRPr="00595533">
        <w:rPr>
          <w:lang w:val="lv-LV"/>
        </w:rPr>
        <w:t>un siltumnīcefekta gāzu apjomu</w:t>
      </w:r>
      <w:r w:rsidR="00F819A3" w:rsidRPr="00595533">
        <w:rPr>
          <w:lang w:val="lv-LV"/>
        </w:rPr>
        <w:t xml:space="preserve"> – šī mērķa īstenošanu par sekmīgu vai drīzāk sekmīgu atzīst 46% viedokļu līderu.</w:t>
      </w:r>
      <w:r w:rsidR="00AB7CCC" w:rsidRPr="00595533">
        <w:rPr>
          <w:lang w:val="lv-LV"/>
        </w:rPr>
        <w:t xml:space="preserve"> </w:t>
      </w:r>
      <w:r w:rsidR="00A00E67" w:rsidRPr="00595533">
        <w:rPr>
          <w:lang w:val="lv-LV"/>
        </w:rPr>
        <w:t>R</w:t>
      </w:r>
      <w:r w:rsidR="00AB7CCC" w:rsidRPr="00595533">
        <w:rPr>
          <w:lang w:val="lv-LV"/>
        </w:rPr>
        <w:t xml:space="preserve">etāk eksperti </w:t>
      </w:r>
      <w:r w:rsidR="00A00E67" w:rsidRPr="00595533">
        <w:rPr>
          <w:lang w:val="lv-LV"/>
        </w:rPr>
        <w:t>atzinīgi novērtējuši</w:t>
      </w:r>
      <w:r w:rsidR="00AB7CCC" w:rsidRPr="00595533">
        <w:rPr>
          <w:lang w:val="lv-LV"/>
        </w:rPr>
        <w:t xml:space="preserve"> progresu, kas saistīts ar ārvalstu tiešo investīciju un eksporta pieaugumu “tirgojamās” nozarēs. Kopumā </w:t>
      </w:r>
      <w:r w:rsidR="00D27D77" w:rsidRPr="00595533">
        <w:rPr>
          <w:lang w:val="lv-LV"/>
        </w:rPr>
        <w:t>43</w:t>
      </w:r>
      <w:r w:rsidR="00AB7CCC" w:rsidRPr="00595533">
        <w:rPr>
          <w:lang w:val="lv-LV"/>
        </w:rPr>
        <w:t xml:space="preserve">% viedokļu līderu </w:t>
      </w:r>
      <w:r w:rsidR="00E36046" w:rsidRPr="00595533">
        <w:rPr>
          <w:lang w:val="lv-LV"/>
        </w:rPr>
        <w:t>virzību</w:t>
      </w:r>
      <w:r w:rsidR="00AB7CCC" w:rsidRPr="00595533">
        <w:rPr>
          <w:lang w:val="lv-LV"/>
        </w:rPr>
        <w:t xml:space="preserve"> šajā mērķ</w:t>
      </w:r>
      <w:r w:rsidR="00F819A3" w:rsidRPr="00595533">
        <w:rPr>
          <w:lang w:val="lv-LV"/>
        </w:rPr>
        <w:t>ī</w:t>
      </w:r>
      <w:r w:rsidR="00AB7CCC" w:rsidRPr="00595533">
        <w:rPr>
          <w:lang w:val="lv-LV"/>
        </w:rPr>
        <w:t xml:space="preserve"> uzskata par drīzāk nesekmīgu</w:t>
      </w:r>
      <w:r w:rsidR="00D27D77" w:rsidRPr="00595533">
        <w:rPr>
          <w:lang w:val="lv-LV"/>
        </w:rPr>
        <w:t xml:space="preserve"> un 10% par nesekmīgu</w:t>
      </w:r>
      <w:r w:rsidR="00A00E67" w:rsidRPr="00595533">
        <w:rPr>
          <w:lang w:val="lv-LV"/>
        </w:rPr>
        <w:t xml:space="preserve">, bet 36% </w:t>
      </w:r>
      <w:r w:rsidR="00471833">
        <w:rPr>
          <w:lang w:val="lv-LV"/>
        </w:rPr>
        <w:t xml:space="preserve">aptaujāto </w:t>
      </w:r>
      <w:r w:rsidR="00D27D77" w:rsidRPr="00595533">
        <w:rPr>
          <w:lang w:val="lv-LV"/>
        </w:rPr>
        <w:t xml:space="preserve">domā, ka </w:t>
      </w:r>
      <w:r w:rsidR="00E36046" w:rsidRPr="00595533">
        <w:rPr>
          <w:lang w:val="lv-LV"/>
        </w:rPr>
        <w:t xml:space="preserve">progress mērķa sasniegšanā ir </w:t>
      </w:r>
      <w:r w:rsidR="00A00E67" w:rsidRPr="00595533">
        <w:rPr>
          <w:lang w:val="lv-LV"/>
        </w:rPr>
        <w:t>sekmīg</w:t>
      </w:r>
      <w:r w:rsidR="00E36046" w:rsidRPr="00595533">
        <w:rPr>
          <w:lang w:val="lv-LV"/>
        </w:rPr>
        <w:t>s vai drīzāk sekmīgs</w:t>
      </w:r>
      <w:r w:rsidR="00A00E67" w:rsidRPr="00595533">
        <w:rPr>
          <w:lang w:val="lv-LV"/>
        </w:rPr>
        <w:t>.</w:t>
      </w:r>
      <w:r w:rsidR="00C149F1" w:rsidRPr="00595533">
        <w:rPr>
          <w:lang w:val="lv-LV"/>
        </w:rPr>
        <w:t xml:space="preserve"> Arī komercializējamo radošo industriju attīstība tiek vērtēta piesardzīgi, proti, nedaudz vairāk </w:t>
      </w:r>
      <w:r w:rsidR="00471833">
        <w:rPr>
          <w:lang w:val="lv-LV"/>
        </w:rPr>
        <w:t>kā</w:t>
      </w:r>
      <w:r w:rsidR="00C149F1" w:rsidRPr="00595533">
        <w:rPr>
          <w:lang w:val="lv-LV"/>
        </w:rPr>
        <w:t xml:space="preserve"> pus</w:t>
      </w:r>
      <w:r w:rsidR="00471833">
        <w:rPr>
          <w:lang w:val="lv-LV"/>
        </w:rPr>
        <w:t>e</w:t>
      </w:r>
      <w:r w:rsidR="00C149F1" w:rsidRPr="00595533">
        <w:rPr>
          <w:lang w:val="lv-LV"/>
        </w:rPr>
        <w:t xml:space="preserve"> ekspertu</w:t>
      </w:r>
      <w:r w:rsidR="00A00E67" w:rsidRPr="00595533">
        <w:rPr>
          <w:lang w:val="lv-LV"/>
        </w:rPr>
        <w:t xml:space="preserve"> </w:t>
      </w:r>
      <w:r w:rsidR="00C149F1" w:rsidRPr="00595533">
        <w:rPr>
          <w:lang w:val="lv-LV"/>
        </w:rPr>
        <w:t>(51%) norādījuši, ka virzība uz mērķa sasniegšanu ir drīzāk nesekmīga vai nesekmīga.</w:t>
      </w:r>
    </w:p>
    <w:p w14:paraId="422D7CB9" w14:textId="3F7DD5B3" w:rsidR="008407E0" w:rsidRPr="00595533" w:rsidRDefault="00231BE8" w:rsidP="00EC4FA8">
      <w:pPr>
        <w:rPr>
          <w:lang w:val="lv-LV"/>
        </w:rPr>
      </w:pPr>
      <w:r w:rsidRPr="00595533">
        <w:rPr>
          <w:lang w:val="lv-LV"/>
        </w:rPr>
        <w:t xml:space="preserve">Komentējot iemeslus, kas kavē investīciju piesaisti eksportspējīgās nozarēs, viedokļu līderi minējuši </w:t>
      </w:r>
      <w:r w:rsidR="00A420BE" w:rsidRPr="00595533">
        <w:rPr>
          <w:lang w:val="lv-LV"/>
        </w:rPr>
        <w:t>četrus</w:t>
      </w:r>
      <w:r w:rsidRPr="00595533">
        <w:rPr>
          <w:lang w:val="lv-LV"/>
        </w:rPr>
        <w:t xml:space="preserve"> argumentus:</w:t>
      </w:r>
    </w:p>
    <w:p w14:paraId="516A8578" w14:textId="51C1F9F5" w:rsidR="00231BE8" w:rsidRPr="00595533" w:rsidRDefault="00E524F2" w:rsidP="00231BE8">
      <w:pPr>
        <w:pStyle w:val="ListParagraph"/>
        <w:numPr>
          <w:ilvl w:val="0"/>
          <w:numId w:val="2"/>
        </w:numPr>
        <w:rPr>
          <w:lang w:val="lv-LV"/>
        </w:rPr>
      </w:pPr>
      <w:r w:rsidRPr="00595533">
        <w:rPr>
          <w:lang w:val="lv-LV"/>
        </w:rPr>
        <w:t xml:space="preserve">Nepietiekami pievilcīga uzņēmējdarbības vide, ar to </w:t>
      </w:r>
      <w:r w:rsidR="00870DD0" w:rsidRPr="00595533">
        <w:rPr>
          <w:lang w:val="lv-LV"/>
        </w:rPr>
        <w:t>saprotot</w:t>
      </w:r>
      <w:r w:rsidRPr="00595533">
        <w:rPr>
          <w:lang w:val="lv-LV"/>
        </w:rPr>
        <w:t xml:space="preserve"> gan nodokļu politiku, gan elektroenerģijas </w:t>
      </w:r>
      <w:r w:rsidR="00870DD0" w:rsidRPr="00595533">
        <w:rPr>
          <w:lang w:val="lv-LV"/>
        </w:rPr>
        <w:t xml:space="preserve">cenas, gan arī </w:t>
      </w:r>
      <w:r w:rsidRPr="00595533">
        <w:rPr>
          <w:lang w:val="lv-LV"/>
        </w:rPr>
        <w:t>valsts pārvaldes bir</w:t>
      </w:r>
      <w:r w:rsidR="00870DD0" w:rsidRPr="00595533">
        <w:rPr>
          <w:lang w:val="lv-LV"/>
        </w:rPr>
        <w:t>okratizāciju un</w:t>
      </w:r>
      <w:r w:rsidRPr="00595533">
        <w:rPr>
          <w:lang w:val="lv-LV"/>
        </w:rPr>
        <w:t xml:space="preserve"> korupciju</w:t>
      </w:r>
      <w:r w:rsidR="00870DD0" w:rsidRPr="00595533">
        <w:rPr>
          <w:lang w:val="lv-LV"/>
        </w:rPr>
        <w:t>, taču visbiežāk kā uzņēmējdarbības vidi negatīvi ietekmējošais faktors tiek minēta tieši nodokļu politika;</w:t>
      </w:r>
    </w:p>
    <w:p w14:paraId="7D4A6E52" w14:textId="23134582" w:rsidR="00A97164" w:rsidRPr="00595533" w:rsidRDefault="007721EB" w:rsidP="00231BE8">
      <w:pPr>
        <w:pStyle w:val="ListParagraph"/>
        <w:numPr>
          <w:ilvl w:val="0"/>
          <w:numId w:val="2"/>
        </w:numPr>
        <w:rPr>
          <w:lang w:val="lv-LV"/>
        </w:rPr>
      </w:pPr>
      <w:r w:rsidRPr="00595533">
        <w:rPr>
          <w:lang w:val="lv-LV"/>
        </w:rPr>
        <w:t>Gan valsts, gan pašvaldību pasī</w:t>
      </w:r>
      <w:r w:rsidR="00A97164" w:rsidRPr="00595533">
        <w:rPr>
          <w:lang w:val="lv-LV"/>
        </w:rPr>
        <w:t>v</w:t>
      </w:r>
      <w:r w:rsidRPr="00595533">
        <w:rPr>
          <w:lang w:val="lv-LV"/>
        </w:rPr>
        <w:t>a līdzdalība</w:t>
      </w:r>
      <w:r w:rsidR="00A97164" w:rsidRPr="00595533">
        <w:rPr>
          <w:lang w:val="lv-LV"/>
        </w:rPr>
        <w:t xml:space="preserve"> investīciju piesaistē</w:t>
      </w:r>
      <w:r w:rsidRPr="00595533">
        <w:rPr>
          <w:lang w:val="lv-LV"/>
        </w:rPr>
        <w:t>. Tāpat tiek norādīts</w:t>
      </w:r>
      <w:r w:rsidR="006F4C26" w:rsidRPr="00595533">
        <w:rPr>
          <w:lang w:val="lv-LV"/>
        </w:rPr>
        <w:t>,</w:t>
      </w:r>
      <w:r w:rsidRPr="00595533">
        <w:rPr>
          <w:lang w:val="lv-LV"/>
        </w:rPr>
        <w:t xml:space="preserve"> ka publiskā pārvalde pietiekami kritiski neizvērtē mērķus, kam no</w:t>
      </w:r>
      <w:r w:rsidR="00CA530F" w:rsidRPr="00595533">
        <w:rPr>
          <w:lang w:val="lv-LV"/>
        </w:rPr>
        <w:t>v</w:t>
      </w:r>
      <w:r w:rsidRPr="00595533">
        <w:rPr>
          <w:lang w:val="lv-LV"/>
        </w:rPr>
        <w:t xml:space="preserve">irzīt </w:t>
      </w:r>
      <w:r w:rsidR="00CA530F" w:rsidRPr="00595533">
        <w:rPr>
          <w:lang w:val="lv-LV"/>
        </w:rPr>
        <w:t>gan</w:t>
      </w:r>
      <w:r w:rsidRPr="00595533">
        <w:rPr>
          <w:lang w:val="lv-LV"/>
        </w:rPr>
        <w:t xml:space="preserve"> ES fondu līdzekļus, gan arī kapitālsabiedrību peļņu:</w:t>
      </w:r>
    </w:p>
    <w:p w14:paraId="2F5669FF" w14:textId="1B852A34" w:rsidR="007721EB" w:rsidRPr="00595533" w:rsidRDefault="00CA530F" w:rsidP="00CA530F">
      <w:pPr>
        <w:ind w:left="720"/>
        <w:rPr>
          <w:i/>
          <w:color w:val="374C80" w:themeColor="accent1" w:themeShade="BF"/>
          <w:lang w:val="lv-LV"/>
        </w:rPr>
      </w:pPr>
      <w:r w:rsidRPr="00595533">
        <w:rPr>
          <w:i/>
          <w:color w:val="374C80" w:themeColor="accent1" w:themeShade="BF"/>
          <w:lang w:val="lv-LV"/>
        </w:rPr>
        <w:t xml:space="preserve">“Salīdzinoši lielu </w:t>
      </w:r>
      <w:r w:rsidR="00FC471A" w:rsidRPr="00595533">
        <w:rPr>
          <w:i/>
          <w:color w:val="374C80" w:themeColor="accent1" w:themeShade="BF"/>
          <w:lang w:val="lv-LV"/>
        </w:rPr>
        <w:t>daļu Latvijas ekonomikas veido valsts un pašvaldību uzņēmumi. Diemžēl valsts un pašvaldības nav uzskatījušas, ka šiem uzņēmumiem nepieciešams investēt produktīva kapitāla veidošanā.  Sportu finansēt, protams, ir daiļi, bet tas nav pietiekoši, lai stimulētu ekonomikas izaugsmi.”</w:t>
      </w:r>
    </w:p>
    <w:p w14:paraId="60EA42C4" w14:textId="6E58C83A" w:rsidR="00462993" w:rsidRPr="00595533" w:rsidRDefault="00A420BE" w:rsidP="00231BE8">
      <w:pPr>
        <w:pStyle w:val="ListParagraph"/>
        <w:numPr>
          <w:ilvl w:val="0"/>
          <w:numId w:val="2"/>
        </w:numPr>
        <w:rPr>
          <w:lang w:val="lv-LV"/>
        </w:rPr>
      </w:pPr>
      <w:r w:rsidRPr="00595533">
        <w:rPr>
          <w:lang w:val="lv-LV"/>
        </w:rPr>
        <w:t>Komercbanku politika</w:t>
      </w:r>
      <w:r w:rsidR="00444EE3" w:rsidRPr="00595533">
        <w:rPr>
          <w:lang w:val="lv-LV"/>
        </w:rPr>
        <w:t xml:space="preserve"> ierobežotā apjomā kreditēt ražošanas attīstību un 2.līmeņa pensiju kapitālu investēt ārpus Latvijas</w:t>
      </w:r>
      <w:r w:rsidR="00387A00" w:rsidRPr="00595533">
        <w:rPr>
          <w:lang w:val="lv-LV"/>
        </w:rPr>
        <w:t xml:space="preserve">. Vienlaikus tiek norādīts, ka arī valsts attīstības finanšu institūcija </w:t>
      </w:r>
      <w:r w:rsidR="00B0623B" w:rsidRPr="00595533">
        <w:rPr>
          <w:lang w:val="lv-LV"/>
        </w:rPr>
        <w:t>ļoti konservatīvi vērtē</w:t>
      </w:r>
      <w:r w:rsidR="00387A00" w:rsidRPr="00595533">
        <w:rPr>
          <w:lang w:val="lv-LV"/>
        </w:rPr>
        <w:t xml:space="preserve"> </w:t>
      </w:r>
      <w:r w:rsidR="000F35A7" w:rsidRPr="00595533">
        <w:rPr>
          <w:lang w:val="lv-LV"/>
        </w:rPr>
        <w:t>uzņēmumu attīstībai nepiecieša</w:t>
      </w:r>
      <w:r w:rsidR="00B0623B" w:rsidRPr="00595533">
        <w:rPr>
          <w:lang w:val="lv-LV"/>
        </w:rPr>
        <w:t>m</w:t>
      </w:r>
      <w:r w:rsidR="000F35A7" w:rsidRPr="00595533">
        <w:rPr>
          <w:lang w:val="lv-LV"/>
        </w:rPr>
        <w:t xml:space="preserve">o </w:t>
      </w:r>
      <w:r w:rsidR="00387A00" w:rsidRPr="00595533">
        <w:rPr>
          <w:lang w:val="lv-LV"/>
        </w:rPr>
        <w:t>aizņ</w:t>
      </w:r>
      <w:r w:rsidR="00B0623B" w:rsidRPr="00595533">
        <w:rPr>
          <w:lang w:val="lv-LV"/>
        </w:rPr>
        <w:t>ēmuma līdzekļu piešķiršanu</w:t>
      </w:r>
      <w:r w:rsidR="000F35A7" w:rsidRPr="00595533">
        <w:rPr>
          <w:lang w:val="lv-LV"/>
        </w:rPr>
        <w:t>, turklāt šo līdzekļu pieejamība saistīta a</w:t>
      </w:r>
      <w:r w:rsidR="00A97164" w:rsidRPr="00595533">
        <w:rPr>
          <w:lang w:val="lv-LV"/>
        </w:rPr>
        <w:t>r ievērojamu birokrātisko slogu</w:t>
      </w:r>
      <w:r w:rsidR="00C91F51" w:rsidRPr="00595533">
        <w:rPr>
          <w:lang w:val="lv-LV"/>
        </w:rPr>
        <w:t>.</w:t>
      </w:r>
      <w:r w:rsidR="00B0623B" w:rsidRPr="00595533">
        <w:rPr>
          <w:lang w:val="lv-LV"/>
        </w:rPr>
        <w:t xml:space="preserve"> </w:t>
      </w:r>
      <w:r w:rsidR="00C91F51" w:rsidRPr="00595533">
        <w:rPr>
          <w:lang w:val="lv-LV"/>
        </w:rPr>
        <w:t xml:space="preserve">Rezultātā </w:t>
      </w:r>
      <w:r w:rsidR="00B0623B" w:rsidRPr="00595533">
        <w:rPr>
          <w:lang w:val="lv-LV"/>
        </w:rPr>
        <w:t>finanšu resursu pieej</w:t>
      </w:r>
      <w:r w:rsidR="00C91F51" w:rsidRPr="00595533">
        <w:rPr>
          <w:lang w:val="lv-LV"/>
        </w:rPr>
        <w:t>amība</w:t>
      </w:r>
      <w:r w:rsidR="00B0623B" w:rsidRPr="00595533">
        <w:rPr>
          <w:lang w:val="lv-LV"/>
        </w:rPr>
        <w:t xml:space="preserve"> </w:t>
      </w:r>
      <w:r w:rsidR="00B0623B" w:rsidRPr="00595533">
        <w:rPr>
          <w:lang w:val="lv-LV"/>
        </w:rPr>
        <w:lastRenderedPageBreak/>
        <w:t>uzņēmējdarbības attīstībai</w:t>
      </w:r>
      <w:r w:rsidR="00C91F51" w:rsidRPr="00595533">
        <w:rPr>
          <w:lang w:val="lv-LV"/>
        </w:rPr>
        <w:t xml:space="preserve"> un eksportspējas palielināšanai kopumā ir ierobežota</w:t>
      </w:r>
      <w:r w:rsidR="00A97164" w:rsidRPr="00595533">
        <w:rPr>
          <w:lang w:val="lv-LV"/>
        </w:rPr>
        <w:t>;</w:t>
      </w:r>
    </w:p>
    <w:p w14:paraId="39176672" w14:textId="6BAA5974" w:rsidR="00870DD0" w:rsidRPr="00595533" w:rsidRDefault="00462993" w:rsidP="00231BE8">
      <w:pPr>
        <w:pStyle w:val="ListParagraph"/>
        <w:numPr>
          <w:ilvl w:val="0"/>
          <w:numId w:val="2"/>
        </w:numPr>
        <w:rPr>
          <w:lang w:val="lv-LV"/>
        </w:rPr>
      </w:pPr>
      <w:r w:rsidRPr="00595533">
        <w:rPr>
          <w:lang w:val="lv-LV"/>
        </w:rPr>
        <w:t>Uzņēmēju nespēja sadarboties, lai nodrošinātu eksportam nepieciešamo</w:t>
      </w:r>
      <w:r w:rsidR="00CA530F" w:rsidRPr="00595533">
        <w:rPr>
          <w:lang w:val="lv-LV"/>
        </w:rPr>
        <w:t xml:space="preserve"> produkcijas apjomu.</w:t>
      </w:r>
    </w:p>
    <w:p w14:paraId="592E98D7" w14:textId="5C58631D" w:rsidR="00CA530F" w:rsidRPr="00595533" w:rsidRDefault="003F1E21" w:rsidP="00CA530F">
      <w:pPr>
        <w:rPr>
          <w:lang w:val="lv-LV"/>
        </w:rPr>
      </w:pPr>
      <w:r w:rsidRPr="00595533">
        <w:rPr>
          <w:lang w:val="lv-LV"/>
        </w:rPr>
        <w:t>Līdzīgi minēti arī argumenti tam, kāpēc nesekmējas ārvalstu tiešo investīciju piesaiste “tirgojamās” nozarēs. Eksperti norādījuši, ka ārvalstu tiešās investīcijas visbiežāk nonāk no</w:t>
      </w:r>
      <w:r w:rsidR="00BC7F02" w:rsidRPr="00595533">
        <w:rPr>
          <w:lang w:val="lv-LV"/>
        </w:rPr>
        <w:t>z</w:t>
      </w:r>
      <w:r w:rsidRPr="00595533">
        <w:rPr>
          <w:lang w:val="lv-LV"/>
        </w:rPr>
        <w:t>arēs bez augstas pievienotās vērtības, piemēram, tirdzniecībā un kokapstrādē</w:t>
      </w:r>
      <w:r w:rsidR="0011662A" w:rsidRPr="00595533">
        <w:rPr>
          <w:lang w:val="lv-LV"/>
        </w:rPr>
        <w:t xml:space="preserve">, taču investīciju pieauguma tempu </w:t>
      </w:r>
      <w:r w:rsidR="00BC7F02" w:rsidRPr="00595533">
        <w:rPr>
          <w:lang w:val="lv-LV"/>
        </w:rPr>
        <w:t xml:space="preserve">ne tikai Latvijā, bet arī citviet </w:t>
      </w:r>
      <w:r w:rsidR="0011662A" w:rsidRPr="00595533">
        <w:rPr>
          <w:lang w:val="lv-LV"/>
        </w:rPr>
        <w:t>ietekmējis tas, ka prognozēt investīciju atdevi visās nozarēs, izņemot informācijas tehnoloģiju jomu, kopš 2010.</w:t>
      </w:r>
      <w:r w:rsidR="00C91F51" w:rsidRPr="00595533">
        <w:rPr>
          <w:lang w:val="lv-LV"/>
        </w:rPr>
        <w:t> </w:t>
      </w:r>
      <w:r w:rsidR="0011662A" w:rsidRPr="00595533">
        <w:rPr>
          <w:lang w:val="lv-LV"/>
        </w:rPr>
        <w:t>gada ir grūti</w:t>
      </w:r>
      <w:r w:rsidR="00BC7F02" w:rsidRPr="00595533">
        <w:rPr>
          <w:lang w:val="lv-LV"/>
        </w:rPr>
        <w:t xml:space="preserve">. Tomēr vienlaikus vairāki viedokļu līderi </w:t>
      </w:r>
      <w:r w:rsidR="00EF3844" w:rsidRPr="00595533">
        <w:rPr>
          <w:lang w:val="lv-LV"/>
        </w:rPr>
        <w:t xml:space="preserve">uzskata, ka </w:t>
      </w:r>
      <w:r w:rsidR="00D54D5C" w:rsidRPr="00595533">
        <w:rPr>
          <w:lang w:val="lv-LV"/>
        </w:rPr>
        <w:t>valsts neizrāda pietiekamu iniciatīvu ārvalstu investīciju piesaistei, turklāt kooperācija un starpsektoru sadarbība gan uzņēmumu, gan organizāciju līmenī šajā jomā vairāku ekspertu vērtējumā uzskatāma par vāju</w:t>
      </w:r>
      <w:r w:rsidR="003F20DA" w:rsidRPr="00595533">
        <w:rPr>
          <w:lang w:val="lv-LV"/>
        </w:rPr>
        <w:t xml:space="preserve">. </w:t>
      </w:r>
      <w:r w:rsidR="0020626F" w:rsidRPr="00595533">
        <w:rPr>
          <w:lang w:val="lv-LV"/>
        </w:rPr>
        <w:t>Tāpat</w:t>
      </w:r>
      <w:r w:rsidR="003F20DA" w:rsidRPr="00595533">
        <w:rPr>
          <w:lang w:val="lv-LV"/>
        </w:rPr>
        <w:t xml:space="preserve"> tiek norādīts, ka negatīvu ietekmi uz ārvalstu investīciju pie</w:t>
      </w:r>
      <w:r w:rsidR="009D2B03" w:rsidRPr="00595533">
        <w:rPr>
          <w:lang w:val="lv-LV"/>
        </w:rPr>
        <w:t>s</w:t>
      </w:r>
      <w:r w:rsidR="003F20DA" w:rsidRPr="00595533">
        <w:rPr>
          <w:lang w:val="lv-LV"/>
        </w:rPr>
        <w:t xml:space="preserve">aisti atstāj arī publiskajā telpā paustās bažas par </w:t>
      </w:r>
      <w:r w:rsidR="009D2B03" w:rsidRPr="00595533">
        <w:rPr>
          <w:lang w:val="lv-LV"/>
        </w:rPr>
        <w:t xml:space="preserve">valsts </w:t>
      </w:r>
      <w:r w:rsidR="003F20DA" w:rsidRPr="00595533">
        <w:rPr>
          <w:lang w:val="lv-LV"/>
        </w:rPr>
        <w:t>ārējo drošību</w:t>
      </w:r>
      <w:r w:rsidR="009D2B03" w:rsidRPr="00595533">
        <w:rPr>
          <w:lang w:val="lv-LV"/>
        </w:rPr>
        <w:t>, kas jo īpaši būtiski ir apstākļos, ja trūkst veiksmīgu investoru piesaistes piemēru.</w:t>
      </w:r>
    </w:p>
    <w:p w14:paraId="33062D58" w14:textId="1EA438D4" w:rsidR="00DA41A6" w:rsidRPr="00595533" w:rsidRDefault="00EB03FC" w:rsidP="00CA530F">
      <w:pPr>
        <w:rPr>
          <w:lang w:val="lv-LV"/>
        </w:rPr>
      </w:pPr>
      <w:r w:rsidRPr="00595533">
        <w:rPr>
          <w:lang w:val="lv-LV"/>
        </w:rPr>
        <w:t>Savukārt komentējot iemeslus, kāpēc pietiekami strauji neattīstās komercializējamās radošās industrijas, viedokļu līderi kā galveno argumentu minēju</w:t>
      </w:r>
      <w:r w:rsidR="00DE36E3" w:rsidRPr="00595533">
        <w:rPr>
          <w:lang w:val="lv-LV"/>
        </w:rPr>
        <w:t>š</w:t>
      </w:r>
      <w:r w:rsidRPr="00595533">
        <w:rPr>
          <w:lang w:val="lv-LV"/>
        </w:rPr>
        <w:t xml:space="preserve">i valsts atbalsta trūkumu </w:t>
      </w:r>
      <w:r w:rsidR="00A52634" w:rsidRPr="00595533">
        <w:rPr>
          <w:lang w:val="lv-LV"/>
        </w:rPr>
        <w:t>kā radošajām industrijām, tā arī inovācijām</w:t>
      </w:r>
      <w:r w:rsidR="0020626F" w:rsidRPr="00595533">
        <w:rPr>
          <w:lang w:val="lv-LV"/>
        </w:rPr>
        <w:t xml:space="preserve">, </w:t>
      </w:r>
      <w:r w:rsidR="008C7D87" w:rsidRPr="00595533">
        <w:rPr>
          <w:lang w:val="lv-LV"/>
        </w:rPr>
        <w:t>kas savā ziņā ir sekas tam, ka</w:t>
      </w:r>
      <w:r w:rsidRPr="00595533">
        <w:rPr>
          <w:lang w:val="lv-LV"/>
        </w:rPr>
        <w:t xml:space="preserve"> </w:t>
      </w:r>
      <w:r w:rsidR="00A52634" w:rsidRPr="00595533">
        <w:rPr>
          <w:lang w:val="lv-LV"/>
        </w:rPr>
        <w:t>vis</w:t>
      </w:r>
      <w:r w:rsidR="0020626F" w:rsidRPr="00595533">
        <w:rPr>
          <w:lang w:val="lv-LV"/>
        </w:rPr>
        <w:t>ām</w:t>
      </w:r>
      <w:r w:rsidR="00A52634" w:rsidRPr="00595533">
        <w:rPr>
          <w:lang w:val="lv-LV"/>
        </w:rPr>
        <w:t xml:space="preserve"> iesaistīt</w:t>
      </w:r>
      <w:r w:rsidR="0020626F" w:rsidRPr="00595533">
        <w:rPr>
          <w:lang w:val="lv-LV"/>
        </w:rPr>
        <w:t>ām</w:t>
      </w:r>
      <w:r w:rsidR="00A52634" w:rsidRPr="00595533">
        <w:rPr>
          <w:lang w:val="lv-LV"/>
        </w:rPr>
        <w:t xml:space="preserve"> </w:t>
      </w:r>
      <w:r w:rsidR="0020626F" w:rsidRPr="00595533">
        <w:rPr>
          <w:lang w:val="lv-LV"/>
        </w:rPr>
        <w:t>pusēm</w:t>
      </w:r>
      <w:r w:rsidR="00A52634" w:rsidRPr="00595533">
        <w:rPr>
          <w:lang w:val="lv-LV"/>
        </w:rPr>
        <w:t xml:space="preserve"> </w:t>
      </w:r>
      <w:r w:rsidR="0020626F" w:rsidRPr="00595533">
        <w:rPr>
          <w:lang w:val="lv-LV"/>
        </w:rPr>
        <w:t xml:space="preserve">trūkst </w:t>
      </w:r>
      <w:r w:rsidR="00DE36E3" w:rsidRPr="00595533">
        <w:rPr>
          <w:lang w:val="lv-LV"/>
        </w:rPr>
        <w:t xml:space="preserve">izpratne </w:t>
      </w:r>
      <w:r w:rsidRPr="00595533">
        <w:rPr>
          <w:lang w:val="lv-LV"/>
        </w:rPr>
        <w:t xml:space="preserve">par radošo industriju </w:t>
      </w:r>
      <w:r w:rsidR="00DE36E3" w:rsidRPr="00595533">
        <w:rPr>
          <w:lang w:val="lv-LV"/>
        </w:rPr>
        <w:t>potenciālu</w:t>
      </w:r>
      <w:r w:rsidR="0058010B" w:rsidRPr="00595533">
        <w:rPr>
          <w:lang w:val="lv-LV"/>
        </w:rPr>
        <w:t xml:space="preserve">. Tāpat norādīts, ka radošās industrijas pārāk fokusējas uz vietējo tirgu, </w:t>
      </w:r>
      <w:r w:rsidR="00665341" w:rsidRPr="00595533">
        <w:rPr>
          <w:lang w:val="lv-LV"/>
        </w:rPr>
        <w:t>kā rezultātā nav redzami</w:t>
      </w:r>
      <w:r w:rsidR="0058010B" w:rsidRPr="00595533">
        <w:rPr>
          <w:lang w:val="lv-LV"/>
        </w:rPr>
        <w:t xml:space="preserve"> veiksmīg</w:t>
      </w:r>
      <w:r w:rsidR="00665341" w:rsidRPr="00595533">
        <w:rPr>
          <w:lang w:val="lv-LV"/>
        </w:rPr>
        <w:t>i</w:t>
      </w:r>
      <w:r w:rsidR="0058010B" w:rsidRPr="00595533">
        <w:rPr>
          <w:lang w:val="lv-LV"/>
        </w:rPr>
        <w:t xml:space="preserve"> eksporta piemēr</w:t>
      </w:r>
      <w:r w:rsidR="00665341" w:rsidRPr="00595533">
        <w:rPr>
          <w:lang w:val="lv-LV"/>
        </w:rPr>
        <w:t>i</w:t>
      </w:r>
      <w:r w:rsidR="0058010B" w:rsidRPr="00595533">
        <w:rPr>
          <w:lang w:val="lv-LV"/>
        </w:rPr>
        <w:t>.</w:t>
      </w:r>
    </w:p>
    <w:p w14:paraId="78D9E4F6" w14:textId="4505FD23" w:rsidR="00952843" w:rsidRPr="00595533" w:rsidRDefault="00510644" w:rsidP="00CA530F">
      <w:pPr>
        <w:rPr>
          <w:lang w:val="lv-LV"/>
        </w:rPr>
      </w:pPr>
      <w:r w:rsidRPr="00595533">
        <w:rPr>
          <w:lang w:val="lv-LV"/>
        </w:rPr>
        <w:t>Runājot par SEG emisiju apjomu</w:t>
      </w:r>
      <w:r w:rsidR="00454F1C" w:rsidRPr="00595533">
        <w:rPr>
          <w:lang w:val="lv-LV"/>
        </w:rPr>
        <w:t xml:space="preserve"> un tautsaimniecības </w:t>
      </w:r>
      <w:r w:rsidR="00952843" w:rsidRPr="00595533">
        <w:rPr>
          <w:lang w:val="lv-LV"/>
        </w:rPr>
        <w:t>izaugsmes</w:t>
      </w:r>
      <w:r w:rsidR="00454F1C" w:rsidRPr="00595533">
        <w:rPr>
          <w:lang w:val="lv-LV"/>
        </w:rPr>
        <w:t xml:space="preserve"> rezultātā radītā kaitējuma mazināšanu</w:t>
      </w:r>
      <w:r w:rsidRPr="00595533">
        <w:rPr>
          <w:lang w:val="lv-LV"/>
        </w:rPr>
        <w:t xml:space="preserve">, viedokļu līderi uzskata, ka pēdējos gados nav veikti nekādi pasākumi, lai ierobežotu </w:t>
      </w:r>
      <w:r w:rsidR="00454F1C" w:rsidRPr="00595533">
        <w:rPr>
          <w:lang w:val="lv-LV"/>
        </w:rPr>
        <w:t xml:space="preserve">vidē nonākošo piesārņojumu. Viņu vērtējumā rīcība </w:t>
      </w:r>
      <w:r w:rsidR="00860C9F">
        <w:rPr>
          <w:lang w:val="lv-LV"/>
        </w:rPr>
        <w:t>bijusi tieš</w:t>
      </w:r>
      <w:r w:rsidR="00454F1C" w:rsidRPr="00595533">
        <w:rPr>
          <w:lang w:val="lv-LV"/>
        </w:rPr>
        <w:t>i pretēja – kontrolējošām vides institūcijām trūkst kapacitātes, kā rezultātā</w:t>
      </w:r>
      <w:r w:rsidR="00704563" w:rsidRPr="00595533">
        <w:rPr>
          <w:lang w:val="lv-LV"/>
        </w:rPr>
        <w:t xml:space="preserve"> attīstās gan legāla, gan nelegāla vidi </w:t>
      </w:r>
      <w:r w:rsidR="00952843" w:rsidRPr="00595533">
        <w:rPr>
          <w:lang w:val="lv-LV"/>
        </w:rPr>
        <w:t>degradējoša</w:t>
      </w:r>
      <w:r w:rsidR="00FC471A" w:rsidRPr="00595533">
        <w:rPr>
          <w:lang w:val="lv-LV"/>
        </w:rPr>
        <w:t xml:space="preserve"> uzņēmējdarbība:</w:t>
      </w:r>
    </w:p>
    <w:p w14:paraId="05131F62" w14:textId="6DFA393E" w:rsidR="00653E23" w:rsidRPr="00595533" w:rsidRDefault="00FC471A" w:rsidP="00FC471A">
      <w:pPr>
        <w:ind w:left="720"/>
        <w:rPr>
          <w:i/>
          <w:color w:val="374C80" w:themeColor="accent1" w:themeShade="BF"/>
          <w:lang w:val="lv-LV"/>
        </w:rPr>
      </w:pPr>
      <w:r w:rsidRPr="00595533">
        <w:rPr>
          <w:i/>
          <w:color w:val="374C80" w:themeColor="accent1" w:themeShade="BF"/>
          <w:lang w:val="lv-LV"/>
        </w:rPr>
        <w:t>“Manā ieskatā nav darīts gandrīz nekas. Būtu steidzami jāizvirza par prioritāti tehnoloģisko procesu modernizācija un jāinvestē līdzekļi šādu tehnoloģiju izstrādē un ieviešanā. Tad vienlaikus tiktu izmantota arī radītā zinātnes infrastruktūra un stimulētas inovācijas.</w:t>
      </w:r>
      <w:r w:rsidR="00653E23" w:rsidRPr="00595533">
        <w:rPr>
          <w:i/>
          <w:color w:val="374C80" w:themeColor="accent1" w:themeShade="BF"/>
          <w:lang w:val="lv-LV"/>
        </w:rPr>
        <w:t>”</w:t>
      </w:r>
    </w:p>
    <w:p w14:paraId="26817811" w14:textId="77777777" w:rsidR="00551F56" w:rsidRPr="00595533" w:rsidRDefault="00551F56" w:rsidP="00CA530F">
      <w:pPr>
        <w:rPr>
          <w:lang w:val="lv-LV"/>
        </w:rPr>
      </w:pPr>
    </w:p>
    <w:p w14:paraId="479124B5" w14:textId="1097C1D9" w:rsidR="00EC4FA8" w:rsidRPr="00595533" w:rsidRDefault="00654F5A" w:rsidP="00EC4FA8">
      <w:pPr>
        <w:pStyle w:val="Heading2"/>
        <w:rPr>
          <w:lang w:val="lv-LV"/>
        </w:rPr>
      </w:pPr>
      <w:bookmarkStart w:id="30" w:name="_Toc498690616"/>
      <w:bookmarkStart w:id="31" w:name="_Toc499025312"/>
      <w:r>
        <w:rPr>
          <w:lang w:val="lv-LV"/>
        </w:rPr>
        <w:t xml:space="preserve">3.2. </w:t>
      </w:r>
      <w:r w:rsidR="00EC4FA8" w:rsidRPr="00595533">
        <w:rPr>
          <w:lang w:val="lv-LV"/>
        </w:rPr>
        <w:t>Izcila uzņēmējdarbības vide</w:t>
      </w:r>
      <w:bookmarkEnd w:id="30"/>
      <w:bookmarkEnd w:id="31"/>
    </w:p>
    <w:p w14:paraId="6327F1A5" w14:textId="14985ED0" w:rsidR="003665BD" w:rsidRPr="00595533" w:rsidRDefault="0023665B" w:rsidP="00EC4FA8">
      <w:pPr>
        <w:rPr>
          <w:lang w:val="lv-LV"/>
        </w:rPr>
      </w:pPr>
      <w:r w:rsidRPr="00595533">
        <w:rPr>
          <w:lang w:val="lv-LV"/>
        </w:rPr>
        <w:t xml:space="preserve">Rīcības virziens </w:t>
      </w:r>
      <w:r w:rsidRPr="00595533">
        <w:rPr>
          <w:i/>
          <w:lang w:val="lv-LV"/>
        </w:rPr>
        <w:t>Izcila uzņēmējdarbības vide</w:t>
      </w:r>
      <w:r w:rsidRPr="00595533">
        <w:rPr>
          <w:lang w:val="lv-LV"/>
        </w:rPr>
        <w:t xml:space="preserve"> ir vērsts uz to, lai uzlabotu tiesisko bāzi, samazinātu administratīvo slogu, korupciju un ēnu ekonomiku tautsaimniecībā, vienlaikus nodrošinot prognozējamu nodokļu politiku un uzlabojot valsts pārvaldes darba efektivitāti</w:t>
      </w:r>
      <w:r w:rsidR="00084BA0" w:rsidRPr="00595533">
        <w:rPr>
          <w:lang w:val="lv-LV"/>
        </w:rPr>
        <w:t>, tādā veidā radot priekšnosacījumus uzņēmējdarbības attīstībai valstī un ekonomiski aktīvu uzņēmumu skaita palielināšanai.</w:t>
      </w:r>
      <w:r w:rsidR="000A0ABD" w:rsidRPr="00595533">
        <w:rPr>
          <w:lang w:val="lv-LV"/>
        </w:rPr>
        <w:t xml:space="preserve"> </w:t>
      </w:r>
      <w:r w:rsidR="00685887" w:rsidRPr="00595533">
        <w:rPr>
          <w:lang w:val="lv-LV"/>
        </w:rPr>
        <w:t xml:space="preserve">Lai uzlabotu tiesisko bāzi, NAP2020 paredzēta procesu </w:t>
      </w:r>
      <w:r w:rsidR="00860C9F">
        <w:rPr>
          <w:lang w:val="lv-LV"/>
        </w:rPr>
        <w:t xml:space="preserve">uzlabošana </w:t>
      </w:r>
      <w:r w:rsidR="00685887" w:rsidRPr="00595533">
        <w:rPr>
          <w:lang w:val="lv-LV"/>
        </w:rPr>
        <w:t xml:space="preserve">un kapacitātes stiprināšana tiesu sistēmā un tiesībsargājošās institūcijās, </w:t>
      </w:r>
      <w:r w:rsidR="0030636A" w:rsidRPr="00595533">
        <w:rPr>
          <w:lang w:val="lv-LV"/>
        </w:rPr>
        <w:t>šķīrējtiesu sistēmas reforma, kā arī intelektuālā īpašuma tiesību aizsardzības sistēmas pilnveidošana. Savukārt administratīvā sloga mazināšanai kā instrumenti piedāvāti vienas pieturas aģentūras principu ieviešana publisko pakalpojumu sektorā</w:t>
      </w:r>
      <w:r w:rsidR="003665BD" w:rsidRPr="00595533">
        <w:rPr>
          <w:lang w:val="lv-LV"/>
        </w:rPr>
        <w:t xml:space="preserve">, kā arī administratīvo prasību vienkāršošana un dublēšanās novēršana. </w:t>
      </w:r>
      <w:r w:rsidR="00E66B2E" w:rsidRPr="00595533">
        <w:rPr>
          <w:lang w:val="lv-LV"/>
        </w:rPr>
        <w:t>Saistībā ar nodokļu politiku rīcības virzienā paredzēta pakāpeniska nodokļu sloga pārnešana no darbaspēka uz patēriņu un iedzīvotāju ienākuma nodokļa samazināšana. Lai mazinātu ēnu ekonomiku uzņēmējdarbībā, NAP2020 paredz kontrolējošo institūciju kapacitātes un sadarbības stiprināšanu</w:t>
      </w:r>
      <w:r w:rsidR="006E6342" w:rsidRPr="00595533">
        <w:rPr>
          <w:lang w:val="lv-LV"/>
        </w:rPr>
        <w:t>, kā arī veidot sabiedrības izpratni par ēnu ekonomikas ietekmi uz dzīves kvalitāti.</w:t>
      </w:r>
    </w:p>
    <w:p w14:paraId="085B092A" w14:textId="5E8F8F9F" w:rsidR="006E6342" w:rsidRPr="00595533" w:rsidRDefault="000A0ABD" w:rsidP="00EC4FA8">
      <w:pPr>
        <w:rPr>
          <w:lang w:val="lv-LV"/>
        </w:rPr>
      </w:pPr>
      <w:r w:rsidRPr="00595533">
        <w:rPr>
          <w:lang w:val="lv-LV"/>
        </w:rPr>
        <w:lastRenderedPageBreak/>
        <w:t xml:space="preserve">Vienlaikus </w:t>
      </w:r>
      <w:r w:rsidR="006E6342" w:rsidRPr="00595533">
        <w:rPr>
          <w:lang w:val="lv-LV"/>
        </w:rPr>
        <w:t xml:space="preserve">otrs </w:t>
      </w:r>
      <w:r w:rsidRPr="00595533">
        <w:rPr>
          <w:lang w:val="lv-LV"/>
        </w:rPr>
        <w:t>rīcības virzien</w:t>
      </w:r>
      <w:r w:rsidR="006E6342" w:rsidRPr="00595533">
        <w:rPr>
          <w:lang w:val="lv-LV"/>
        </w:rPr>
        <w:t xml:space="preserve">a </w:t>
      </w:r>
      <w:r w:rsidR="006E6342" w:rsidRPr="00595533">
        <w:rPr>
          <w:i/>
          <w:lang w:val="lv-LV"/>
        </w:rPr>
        <w:t>Izcila uzņēmējdarbības vide</w:t>
      </w:r>
      <w:r w:rsidR="006E6342" w:rsidRPr="00595533">
        <w:rPr>
          <w:lang w:val="lv-LV"/>
        </w:rPr>
        <w:t xml:space="preserve"> mērķis ir</w:t>
      </w:r>
      <w:r w:rsidRPr="00595533">
        <w:rPr>
          <w:lang w:val="lv-LV"/>
        </w:rPr>
        <w:t xml:space="preserve"> attīstīt transporta un tranzīta </w:t>
      </w:r>
      <w:r w:rsidR="00A737DC" w:rsidRPr="00595533">
        <w:rPr>
          <w:lang w:val="lv-LV"/>
        </w:rPr>
        <w:t>infrastruktūru</w:t>
      </w:r>
      <w:r w:rsidRPr="00595533">
        <w:rPr>
          <w:lang w:val="lv-LV"/>
        </w:rPr>
        <w:t xml:space="preserve">, </w:t>
      </w:r>
      <w:r w:rsidR="00A737DC" w:rsidRPr="00595533">
        <w:rPr>
          <w:lang w:val="lv-LV"/>
        </w:rPr>
        <w:t xml:space="preserve">proti, lielās Latvijas ostas, dzelzceļu un starptautisko lidostu “Rīga”, </w:t>
      </w:r>
      <w:r w:rsidRPr="00595533">
        <w:rPr>
          <w:lang w:val="lv-LV"/>
        </w:rPr>
        <w:t>tā uzlabojot Latvijas starptautisko sasniedzamību.</w:t>
      </w:r>
    </w:p>
    <w:p w14:paraId="60BBB9AE" w14:textId="77777777" w:rsidR="00184FFF" w:rsidRPr="00595533" w:rsidRDefault="00184FFF" w:rsidP="00184FFF">
      <w:pPr>
        <w:pStyle w:val="NoSpacing"/>
        <w:rPr>
          <w:sz w:val="10"/>
          <w:szCs w:val="10"/>
          <w:lang w:val="lv-LV"/>
        </w:rPr>
      </w:pPr>
    </w:p>
    <w:p w14:paraId="1CCF220D" w14:textId="77777777" w:rsidR="00184FFF" w:rsidRPr="00595533" w:rsidRDefault="00184FFF" w:rsidP="00184FFF">
      <w:pPr>
        <w:pStyle w:val="Heading3"/>
        <w:rPr>
          <w:lang w:val="lv-LV"/>
        </w:rPr>
      </w:pPr>
      <w:bookmarkStart w:id="32" w:name="_Toc498690617"/>
      <w:r w:rsidRPr="00595533">
        <w:rPr>
          <w:lang w:val="lv-LV"/>
        </w:rPr>
        <w:t>UZDEVUMU ĪSTENOŠANAS PROGRESS</w:t>
      </w:r>
      <w:bookmarkEnd w:id="32"/>
    </w:p>
    <w:p w14:paraId="45EDE23F" w14:textId="03A905DF" w:rsidR="00C47227" w:rsidRPr="00595533" w:rsidRDefault="00C47227" w:rsidP="00A5201C">
      <w:pPr>
        <w:rPr>
          <w:lang w:val="lv-LV"/>
        </w:rPr>
      </w:pPr>
      <w:r w:rsidRPr="00595533">
        <w:rPr>
          <w:lang w:val="lv-LV"/>
        </w:rPr>
        <w:t xml:space="preserve">Uzņēmējdarbības vides kvalitāte būtiski ietekmē tautsaimniecības konkurētspēju. Valdība kopīgi ar LDDK, LTRK un FICIL ir vienojusies par konkrētu rīcību jomās, kurās ir nepieciešami uzlabojumi, veidojot Latvijas uzņēmējiem un ārvalstu investoriem pievilcīgu un starptautiski konkurētspējīgu uzņēmējdarbības vidi. </w:t>
      </w:r>
      <w:r w:rsidRPr="00595533">
        <w:rPr>
          <w:b/>
          <w:lang w:val="lv-LV"/>
        </w:rPr>
        <w:t>Uzņēmējdarbības vides pilnveidošanas pasākumu plāna</w:t>
      </w:r>
      <w:r w:rsidRPr="00595533">
        <w:rPr>
          <w:lang w:val="lv-LV"/>
        </w:rPr>
        <w:t xml:space="preserve"> ietvaros tiek risināti ar uzņēmējdarbības vides kvalitāti saistītie izaicinājumi un uzņēmēju identificētās problēmas tādās jomās kā uzņēmumu dibināšana, būvniecība un nekustamā īpašuma reģistrēšana, nodokļu administrēšana, e-pārvalde, un uzņēmējdarbības izbeigšana.  Sadarbībā ar uzņēmējiem mērķtiecīgi īstenotās reformas uzņēmējdarbības vides sakārtošanā ir ļāvušas Latvijai 2017. gada </w:t>
      </w:r>
      <w:r w:rsidRPr="00595533">
        <w:rPr>
          <w:i/>
          <w:lang w:val="lv-LV"/>
        </w:rPr>
        <w:t>Doing Business</w:t>
      </w:r>
      <w:r w:rsidRPr="00595533">
        <w:rPr>
          <w:lang w:val="lv-LV"/>
        </w:rPr>
        <w:t xml:space="preserve"> pētījumā 190 valstu konkurencē ierindoties 14. vietā, kas ir līdz šim augstākais sasniegums. Būtiskākās prioritātes turpmākajiem trim gadiem saistītas ar uzņēmējdarbības vides digitalizāciju, “0” birokrātijas ieviešanu, valsts institūciju sniegto pakalpojumu pieejamības nodrošināšanu (valsts pakalpojumi angļu valodā), valsts sniegto pakalpojumu maksas samazināšanu, principa “Konsultē vispirms” ieviešanu valsts pārvaldē.</w:t>
      </w:r>
    </w:p>
    <w:p w14:paraId="366EC234" w14:textId="62B13218" w:rsidR="00F73440" w:rsidRPr="00595533" w:rsidRDefault="00F73440" w:rsidP="00A5201C">
      <w:pPr>
        <w:rPr>
          <w:b/>
          <w:u w:val="single"/>
          <w:lang w:val="lv-LV"/>
        </w:rPr>
      </w:pPr>
      <w:r w:rsidRPr="00595533">
        <w:rPr>
          <w:b/>
          <w:u w:val="single"/>
          <w:lang w:val="lv-LV"/>
        </w:rPr>
        <w:t>Valsts atbalsta un uzraudzības sistēma</w:t>
      </w:r>
    </w:p>
    <w:p w14:paraId="41DD73F5" w14:textId="7F1CFA33" w:rsidR="00E7137B" w:rsidRPr="00595533" w:rsidRDefault="00E7137B" w:rsidP="00E7137B">
      <w:pPr>
        <w:rPr>
          <w:lang w:val="lv-LV"/>
        </w:rPr>
      </w:pPr>
      <w:r w:rsidRPr="00595533">
        <w:rPr>
          <w:lang w:val="lv-LV"/>
        </w:rPr>
        <w:t>Īstenojot pakāpenisku</w:t>
      </w:r>
      <w:r w:rsidRPr="00595533">
        <w:rPr>
          <w:b/>
          <w:lang w:val="lv-LV"/>
        </w:rPr>
        <w:t xml:space="preserve"> nodokļa sloga pārnešanu no darbaspēka uz patēriņu, </w:t>
      </w:r>
      <w:r w:rsidRPr="00595533">
        <w:rPr>
          <w:lang w:val="lv-LV"/>
        </w:rPr>
        <w:t xml:space="preserve">izstrādātas Valsts nodokļu politikas pamatnostādnes 2018. – 2021. gadam, ar kurām tiek veikta Latvijas nodokļu politikas reforma. Reformas rezultātā </w:t>
      </w:r>
      <w:r w:rsidR="00471833">
        <w:rPr>
          <w:lang w:val="lv-LV"/>
        </w:rPr>
        <w:t>plānoti</w:t>
      </w:r>
      <w:r w:rsidRPr="00595533">
        <w:rPr>
          <w:lang w:val="lv-LV"/>
        </w:rPr>
        <w:t xml:space="preserve"> tādi darbaspēka nodokļu slogu samazinoši pasākumi kā samazināta iedzīvotāju ienākumu nodokļa likme mazāku algu saņēmējiem, pakāpeniski paaugstināts diferencētais neapliekamais minimums un pakāpeniski paaugstināts atvieglojums par apgādībā esošām personām. Vienlaikus, attiecībā uz patēriņa nodokļu sloga paaugstināšanu, tiks īstenoti tādi pasākumi kā paaugstināta akcīze tabakas izstrādājumiem, alkoholiskajiem dzērieniem, naftas produktiem, paaugstinātas azartspēļu nodokļa likmes automātiem un spēļu galdiem, ieviesta pievienotās vērtības nodokļa reversā maksāšanas kārtība arī būvmateriālu, metālizstrādājumu  un sadzīves tehnikas piegādēm, kā arī samazināts gada apgrozījuma slieksnis uz 40 000 euro.</w:t>
      </w:r>
    </w:p>
    <w:p w14:paraId="45331A6B" w14:textId="74A37542" w:rsidR="002C4007" w:rsidRPr="00595533" w:rsidRDefault="002C4007" w:rsidP="002C4007">
      <w:pPr>
        <w:rPr>
          <w:lang w:val="lv-LV"/>
        </w:rPr>
      </w:pPr>
      <w:r w:rsidRPr="00595533">
        <w:rPr>
          <w:lang w:val="lv-LV"/>
        </w:rPr>
        <w:t xml:space="preserve">Lai nodrošinātu pārdomātas reformas </w:t>
      </w:r>
      <w:r w:rsidRPr="00595533">
        <w:rPr>
          <w:b/>
          <w:lang w:val="lv-LV"/>
        </w:rPr>
        <w:t>publiskās pārvaldes darbības efektivitātes un kvalitātes uzlabošanai</w:t>
      </w:r>
      <w:r w:rsidRPr="00595533">
        <w:rPr>
          <w:lang w:val="lv-LV"/>
        </w:rPr>
        <w:t>, cilvēkresursu un valsts sniegto pakalpojumu attīstībai, pārskata periodā finansējums ES fondu un jauno politikas iniciatīvu (JPI) ietvaros netika piešķirts. Jāatzīmē, ka saturiskais piedāvājums, līdzīgi kā Lietuvai un Igaunijai, aptvēra pārvaldības procesu optimizēšanu, politikas ietekmes izvērtēšanas uzlabošanu, administratīvā sloga samazināšanu, politikas rezultātu un nākotnes scenāriju monitoringu u.c. aktivitātes, to papildinot ar nepieciešamo kompetenču pilnveidi un cilvēkresursu piesaisti ar mērķi veidot uz rezultātu orientētu valsts pārvaldi.</w:t>
      </w:r>
      <w:r w:rsidR="00C7003A" w:rsidRPr="00595533">
        <w:rPr>
          <w:lang w:val="lv-LV"/>
        </w:rPr>
        <w:t xml:space="preserve"> Ņemot vērā minēto, atsevišķas aktivitātes publiskās pārvaldes darbības uzlabošanai īstenotas, piesaistot līdzekļus, kas paredzēti citu, satura ziņā radniecīgu NAP2020 uzdevumu īstenošanai.</w:t>
      </w:r>
    </w:p>
    <w:p w14:paraId="520D7609" w14:textId="797E6A7C" w:rsidR="00C47227" w:rsidRPr="00595533" w:rsidRDefault="00C47227" w:rsidP="00A5201C">
      <w:pPr>
        <w:rPr>
          <w:color w:val="000000"/>
          <w:shd w:val="clear" w:color="auto" w:fill="FFFFFF"/>
          <w:lang w:val="lv-LV"/>
        </w:rPr>
      </w:pPr>
      <w:r w:rsidRPr="00595533">
        <w:rPr>
          <w:b/>
          <w:lang w:val="lv-LV"/>
        </w:rPr>
        <w:t>Valsts pārvaldes profesionālai pilnveidei</w:t>
      </w:r>
      <w:r w:rsidRPr="00595533">
        <w:rPr>
          <w:lang w:val="lv-LV"/>
        </w:rPr>
        <w:t xml:space="preserve"> labāka tiesiskā regulējuma izstrādē </w:t>
      </w:r>
      <w:r w:rsidR="00471833">
        <w:rPr>
          <w:lang w:val="lv-LV"/>
        </w:rPr>
        <w:t>tiek</w:t>
      </w:r>
      <w:r w:rsidRPr="00595533">
        <w:rPr>
          <w:lang w:val="lv-LV"/>
        </w:rPr>
        <w:t xml:space="preserve"> īsteno</w:t>
      </w:r>
      <w:r w:rsidR="00471833">
        <w:rPr>
          <w:lang w:val="lv-LV"/>
        </w:rPr>
        <w:t>ta</w:t>
      </w:r>
      <w:r w:rsidRPr="00595533">
        <w:rPr>
          <w:lang w:val="lv-LV"/>
        </w:rPr>
        <w:t xml:space="preserve"> Augstākā līmeņa vadītāju attīstības programm</w:t>
      </w:r>
      <w:r w:rsidR="00471833">
        <w:rPr>
          <w:lang w:val="lv-LV"/>
        </w:rPr>
        <w:t>a</w:t>
      </w:r>
      <w:r w:rsidRPr="00595533">
        <w:rPr>
          <w:lang w:val="lv-LV"/>
        </w:rPr>
        <w:t>, kas stiprina valsts iestāžu vadītāju stratēģiskās līderības kompetences arvien dinamiskākā vidē, tādējādi nodrošinot inovatīvas idejas valsts pārvaldē, pārmaiņu vadīšanu un pozitīvi ietekmējot uzņēmējdarbī</w:t>
      </w:r>
      <w:r w:rsidR="00A5201C" w:rsidRPr="00595533">
        <w:rPr>
          <w:lang w:val="lv-LV"/>
        </w:rPr>
        <w:t>bas vides sakārtošanu. Savukārt</w:t>
      </w:r>
      <w:r w:rsidRPr="00595533">
        <w:rPr>
          <w:lang w:val="lv-LV"/>
        </w:rPr>
        <w:t xml:space="preserve"> v</w:t>
      </w:r>
      <w:r w:rsidRPr="00595533">
        <w:rPr>
          <w:color w:val="000000"/>
          <w:shd w:val="clear" w:color="auto" w:fill="FFFFFF"/>
          <w:lang w:val="lv-LV"/>
        </w:rPr>
        <w:t>idējā un zemākā līmeņa vadītājiem, politikas plānotājiem un īstenotājiem</w:t>
      </w:r>
      <w:r w:rsidRPr="00595533">
        <w:rPr>
          <w:lang w:val="lv-LV"/>
        </w:rPr>
        <w:t xml:space="preserve"> izstrādā</w:t>
      </w:r>
      <w:r w:rsidR="00471833">
        <w:rPr>
          <w:lang w:val="lv-LV"/>
        </w:rPr>
        <w:t>ta</w:t>
      </w:r>
      <w:r w:rsidRPr="00595533">
        <w:rPr>
          <w:lang w:val="lv-LV"/>
        </w:rPr>
        <w:t xml:space="preserve"> moduļu sistēmas pieej</w:t>
      </w:r>
      <w:r w:rsidR="00471833">
        <w:rPr>
          <w:lang w:val="lv-LV"/>
        </w:rPr>
        <w:t>a</w:t>
      </w:r>
      <w:r w:rsidRPr="00595533">
        <w:rPr>
          <w:lang w:val="lv-LV"/>
        </w:rPr>
        <w:t xml:space="preserve"> par tādām tēmām kā </w:t>
      </w:r>
      <w:r w:rsidRPr="00595533">
        <w:rPr>
          <w:color w:val="000000"/>
          <w:shd w:val="clear" w:color="auto" w:fill="FFFFFF"/>
          <w:lang w:val="lv-LV"/>
        </w:rPr>
        <w:t xml:space="preserve">tiesiskais regulējums, normatīvisma mazināšana, valsts un privātā sektora </w:t>
      </w:r>
      <w:r w:rsidRPr="00595533">
        <w:rPr>
          <w:color w:val="000000"/>
          <w:shd w:val="clear" w:color="auto" w:fill="FFFFFF"/>
          <w:lang w:val="lv-LV"/>
        </w:rPr>
        <w:lastRenderedPageBreak/>
        <w:t xml:space="preserve">sadarbība, valsts pārvaldes komunikācija ar uzņēmējiem, klientorientēta pārvaldība, publiskie pakalpojumi, uzņēmējdarbības pamati, godīga konkurence un konkurētspējas veicināšana, eksporta veicināšana, inovatīvu mazo un vidējo uzņēmumu atbalsts u.tml. </w:t>
      </w:r>
    </w:p>
    <w:p w14:paraId="022A8C22" w14:textId="01C80C17" w:rsidR="002C4007" w:rsidRPr="00595533" w:rsidRDefault="002C4007" w:rsidP="002C4007">
      <w:pPr>
        <w:rPr>
          <w:color w:val="000000"/>
          <w:shd w:val="clear" w:color="auto" w:fill="FFFFFF"/>
          <w:lang w:val="lv-LV"/>
        </w:rPr>
      </w:pPr>
      <w:r w:rsidRPr="00595533">
        <w:rPr>
          <w:b/>
          <w:color w:val="000000"/>
          <w:shd w:val="clear" w:color="auto" w:fill="FFFFFF"/>
          <w:lang w:val="lv-LV"/>
        </w:rPr>
        <w:t>Vienota</w:t>
      </w:r>
      <w:r w:rsidR="00C7003A" w:rsidRPr="00595533">
        <w:rPr>
          <w:b/>
          <w:color w:val="000000"/>
          <w:shd w:val="clear" w:color="auto" w:fill="FFFFFF"/>
          <w:lang w:val="lv-LV"/>
        </w:rPr>
        <w:t>is</w:t>
      </w:r>
      <w:r w:rsidRPr="00595533">
        <w:rPr>
          <w:b/>
          <w:color w:val="000000"/>
          <w:shd w:val="clear" w:color="auto" w:fill="FFFFFF"/>
          <w:lang w:val="lv-LV"/>
        </w:rPr>
        <w:t xml:space="preserve"> tiesību aktu projekta izstrādes un saskaņošanas </w:t>
      </w:r>
      <w:r w:rsidR="00C7003A" w:rsidRPr="00595533">
        <w:rPr>
          <w:b/>
          <w:color w:val="000000"/>
          <w:shd w:val="clear" w:color="auto" w:fill="FFFFFF"/>
          <w:lang w:val="lv-LV"/>
        </w:rPr>
        <w:t>koplietošanas portāls</w:t>
      </w:r>
      <w:r w:rsidRPr="00595533">
        <w:rPr>
          <w:color w:val="000000"/>
          <w:shd w:val="clear" w:color="auto" w:fill="FFFFFF"/>
          <w:lang w:val="lv-LV"/>
        </w:rPr>
        <w:t xml:space="preserve"> būs instruments, kas samazinās iekšējo administratīvo </w:t>
      </w:r>
      <w:r w:rsidR="00C7003A" w:rsidRPr="00595533">
        <w:rPr>
          <w:color w:val="000000"/>
          <w:shd w:val="clear" w:color="auto" w:fill="FFFFFF"/>
          <w:lang w:val="lv-LV"/>
        </w:rPr>
        <w:t>slogu valsts pārvaldē. T</w:t>
      </w:r>
      <w:r w:rsidRPr="00595533">
        <w:rPr>
          <w:color w:val="000000"/>
          <w:shd w:val="clear" w:color="auto" w:fill="FFFFFF"/>
          <w:lang w:val="lv-LV"/>
        </w:rPr>
        <w:t xml:space="preserve">ajā būs pieejama visa informācija par tiesību akta vai attīstības plānošanas dokumenta dzīves ciklu no lēmuma par tā izstrādi līdz apstiprināšanai vai </w:t>
      </w:r>
      <w:r w:rsidR="00C7003A" w:rsidRPr="00595533">
        <w:rPr>
          <w:color w:val="000000"/>
          <w:shd w:val="clear" w:color="auto" w:fill="FFFFFF"/>
          <w:lang w:val="lv-LV"/>
        </w:rPr>
        <w:t>nodošanai Saeimai, tai skaitā</w:t>
      </w:r>
      <w:r w:rsidRPr="00595533">
        <w:rPr>
          <w:color w:val="000000"/>
          <w:shd w:val="clear" w:color="auto" w:fill="FFFFFF"/>
          <w:lang w:val="lv-LV"/>
        </w:rPr>
        <w:t xml:space="preserve"> nodrošinot iespēju vienuviet apspriest visus sabiedriskajai apspriešanai nodotos tiesību aktu un attīstības plānošanas dokumentu projektus, pieteikties automātisku informatīvu paziņojumu saņemšanai noteiktā jomā vai konkrētas likumdošanas iniciatīvas sakarā.</w:t>
      </w:r>
    </w:p>
    <w:p w14:paraId="048CF9E8" w14:textId="0350B29A" w:rsidR="00CF6CFC" w:rsidRPr="00595533" w:rsidRDefault="00CF6CFC" w:rsidP="00A5201C">
      <w:pPr>
        <w:rPr>
          <w:lang w:val="lv-LV"/>
        </w:rPr>
      </w:pPr>
      <w:r w:rsidRPr="00595533">
        <w:rPr>
          <w:lang w:val="lv-LV"/>
        </w:rPr>
        <w:t xml:space="preserve">Īstenojot valsts politiku </w:t>
      </w:r>
      <w:r w:rsidRPr="00595533">
        <w:rPr>
          <w:b/>
          <w:lang w:val="lv-LV"/>
        </w:rPr>
        <w:t>ēnu ekonomikas ierobežošanā</w:t>
      </w:r>
      <w:r w:rsidRPr="00595533">
        <w:rPr>
          <w:lang w:val="lv-LV"/>
        </w:rPr>
        <w:t>, tai skaitā veicinot iestāžu sadarbību un nostiprinot to Ēnu ekonomikas apkarošanas padomes apstiprinātā Valsts iestāžu darba plānā ēnu ekonomikas ierobežošanai, no 2014. līdz 2016. gadam ēnu ekonomikas īpatsvars Latvijā ir samazinājies par 1,8 procentpunktie</w:t>
      </w:r>
      <w:r w:rsidR="000D10A6">
        <w:rPr>
          <w:lang w:val="lv-LV"/>
        </w:rPr>
        <w:t>m. Būtiskākais paveiktais:</w:t>
      </w:r>
      <w:r w:rsidRPr="00595533">
        <w:rPr>
          <w:lang w:val="lv-LV"/>
        </w:rPr>
        <w:t xml:space="preserve"> </w:t>
      </w:r>
      <w:r w:rsidR="000D10A6">
        <w:rPr>
          <w:lang w:val="lv-LV"/>
        </w:rPr>
        <w:t xml:space="preserve">(a) </w:t>
      </w:r>
      <w:r w:rsidRPr="00595533">
        <w:rPr>
          <w:lang w:val="lv-LV"/>
        </w:rPr>
        <w:t>elektroniskās datu apmaiņas ieviešan</w:t>
      </w:r>
      <w:r w:rsidR="000D10A6">
        <w:rPr>
          <w:lang w:val="lv-LV"/>
        </w:rPr>
        <w:t>a</w:t>
      </w:r>
      <w:r w:rsidRPr="00595533">
        <w:rPr>
          <w:lang w:val="lv-LV"/>
        </w:rPr>
        <w:t xml:space="preserve"> starp kredītiestādēm, </w:t>
      </w:r>
      <w:r w:rsidRPr="000D10A6">
        <w:rPr>
          <w:lang w:val="lv-LV"/>
        </w:rPr>
        <w:t>juridiskā</w:t>
      </w:r>
      <w:r w:rsidR="00823D1D" w:rsidRPr="000D10A6">
        <w:rPr>
          <w:lang w:val="lv-LV"/>
        </w:rPr>
        <w:t>m</w:t>
      </w:r>
      <w:r w:rsidRPr="000D10A6">
        <w:rPr>
          <w:lang w:val="lv-LV"/>
        </w:rPr>
        <w:t xml:space="preserve"> person</w:t>
      </w:r>
      <w:r w:rsidR="00823D1D" w:rsidRPr="000D10A6">
        <w:rPr>
          <w:lang w:val="lv-LV"/>
        </w:rPr>
        <w:t>ām</w:t>
      </w:r>
      <w:r w:rsidRPr="000D10A6">
        <w:rPr>
          <w:lang w:val="lv-LV"/>
        </w:rPr>
        <w:t>, k</w:t>
      </w:r>
      <w:r w:rsidR="00823D1D" w:rsidRPr="000D10A6">
        <w:rPr>
          <w:lang w:val="lv-LV"/>
        </w:rPr>
        <w:t xml:space="preserve">as veic </w:t>
      </w:r>
      <w:r w:rsidRPr="000D10A6">
        <w:rPr>
          <w:lang w:val="lv-LV"/>
        </w:rPr>
        <w:t>bezskaidras naudas maksājumu</w:t>
      </w:r>
      <w:r w:rsidR="00823D1D" w:rsidRPr="000D10A6">
        <w:rPr>
          <w:lang w:val="lv-LV"/>
        </w:rPr>
        <w:t>s,</w:t>
      </w:r>
      <w:r w:rsidRPr="000D10A6">
        <w:rPr>
          <w:lang w:val="lv-LV"/>
        </w:rPr>
        <w:t xml:space="preserve"> un VID, </w:t>
      </w:r>
      <w:r w:rsidR="000D10A6" w:rsidRPr="000D10A6">
        <w:rPr>
          <w:lang w:val="lv-LV"/>
        </w:rPr>
        <w:t xml:space="preserve">(b) </w:t>
      </w:r>
      <w:r w:rsidRPr="000D10A6">
        <w:rPr>
          <w:lang w:val="lv-LV"/>
        </w:rPr>
        <w:t>paplašinātas VID tiesības piemērot prasījuma nodrošināšanas līdzekļus vienlaikus ar</w:t>
      </w:r>
      <w:r w:rsidRPr="00595533">
        <w:rPr>
          <w:lang w:val="lv-LV"/>
        </w:rPr>
        <w:t xml:space="preserve"> lēmuma par audita vai datu atbilstības pārbaudes rezultātu pieņemšanu</w:t>
      </w:r>
      <w:r w:rsidR="00E7137B" w:rsidRPr="00595533">
        <w:rPr>
          <w:lang w:val="lv-LV"/>
        </w:rPr>
        <w:t>, kā arī</w:t>
      </w:r>
      <w:r w:rsidRPr="00595533">
        <w:rPr>
          <w:lang w:val="lv-LV"/>
        </w:rPr>
        <w:t xml:space="preserve"> </w:t>
      </w:r>
      <w:r w:rsidR="000D10A6">
        <w:rPr>
          <w:lang w:val="lv-LV"/>
        </w:rPr>
        <w:t xml:space="preserve">(c) </w:t>
      </w:r>
      <w:r w:rsidRPr="00595533">
        <w:rPr>
          <w:lang w:val="lv-LV"/>
        </w:rPr>
        <w:t>elektroniskā</w:t>
      </w:r>
      <w:r w:rsidR="000D10A6">
        <w:rPr>
          <w:lang w:val="lv-LV"/>
        </w:rPr>
        <w:t>s</w:t>
      </w:r>
      <w:r w:rsidRPr="00595533">
        <w:rPr>
          <w:lang w:val="lv-LV"/>
        </w:rPr>
        <w:t xml:space="preserve"> darba laika uzskaite</w:t>
      </w:r>
      <w:r w:rsidR="000D10A6">
        <w:rPr>
          <w:lang w:val="lv-LV"/>
        </w:rPr>
        <w:t>s ievieša</w:t>
      </w:r>
      <w:r w:rsidR="00DE5F2B">
        <w:rPr>
          <w:lang w:val="lv-LV"/>
        </w:rPr>
        <w:t>n</w:t>
      </w:r>
      <w:r w:rsidR="000D10A6">
        <w:rPr>
          <w:lang w:val="lv-LV"/>
        </w:rPr>
        <w:t>a</w:t>
      </w:r>
      <w:r w:rsidRPr="00595533">
        <w:rPr>
          <w:lang w:val="lv-LV"/>
        </w:rPr>
        <w:t xml:space="preserve"> būvlaukumos. Tuvākajos gados prioritātes ēnu ekonomikas apkarošanas jomā ietver transfertcenu tiesiskā regulējuma pārskatīšanu un e-komercijas, paredzot VID plašākas iespējas kotrolei un saimnieciskās darbības apturēšanai digitālajā vidē.</w:t>
      </w:r>
    </w:p>
    <w:p w14:paraId="02BBDE3A" w14:textId="5DBB6864" w:rsidR="00757004" w:rsidRPr="00595533" w:rsidRDefault="00097862" w:rsidP="00A5201C">
      <w:pPr>
        <w:rPr>
          <w:b/>
          <w:u w:val="single"/>
          <w:lang w:val="lv-LV"/>
        </w:rPr>
      </w:pPr>
      <w:r w:rsidRPr="00595533">
        <w:rPr>
          <w:b/>
          <w:u w:val="single"/>
          <w:lang w:val="lv-LV"/>
        </w:rPr>
        <w:t>Tiesiskā vide</w:t>
      </w:r>
    </w:p>
    <w:p w14:paraId="7C490A18" w14:textId="305A482D" w:rsidR="00757004" w:rsidRPr="00595533" w:rsidRDefault="00A5201C" w:rsidP="00A5201C">
      <w:pPr>
        <w:rPr>
          <w:lang w:val="lv-LV"/>
        </w:rPr>
      </w:pPr>
      <w:r w:rsidRPr="00595533">
        <w:rPr>
          <w:lang w:val="lv-LV"/>
        </w:rPr>
        <w:t xml:space="preserve">Lai nodrošinātu </w:t>
      </w:r>
      <w:r w:rsidRPr="00595533">
        <w:rPr>
          <w:b/>
          <w:lang w:val="lv-LV"/>
        </w:rPr>
        <w:t>tiesu sistēmas darbības un procesu uzlabošanu</w:t>
      </w:r>
      <w:r w:rsidRPr="00595533">
        <w:rPr>
          <w:lang w:val="lv-LV"/>
        </w:rPr>
        <w:t>, NAP2020 u</w:t>
      </w:r>
      <w:r w:rsidR="00757004" w:rsidRPr="00595533">
        <w:rPr>
          <w:lang w:val="lv-LV"/>
        </w:rPr>
        <w:t>zdevuma īstenošana turpinās divos galvenos rīcības virzienos - t</w:t>
      </w:r>
      <w:r w:rsidR="00757004" w:rsidRPr="00595533">
        <w:rPr>
          <w:rFonts w:eastAsia="Calibri"/>
          <w:bCs/>
          <w:lang w:val="lv-LV"/>
        </w:rPr>
        <w:t>iesu teritoriju reformas un profesionālas apmācības tiesu varai piederīgaj</w:t>
      </w:r>
      <w:r w:rsidRPr="00595533">
        <w:rPr>
          <w:rFonts w:eastAsia="Calibri"/>
          <w:bCs/>
          <w:lang w:val="lv-LV"/>
        </w:rPr>
        <w:t xml:space="preserve">ām profesijām. Tādā veidā </w:t>
      </w:r>
      <w:r w:rsidR="00757004" w:rsidRPr="00595533">
        <w:rPr>
          <w:rFonts w:eastAsia="Calibri"/>
          <w:bCs/>
          <w:lang w:val="lv-LV"/>
        </w:rPr>
        <w:t>pamazām un pakāpeniski izlīdzinās tiesu noslodze un uzlabojas tiesu darba organizācija, par ko liecina s</w:t>
      </w:r>
      <w:r w:rsidR="00757004" w:rsidRPr="00595533">
        <w:rPr>
          <w:rFonts w:eastAsia="Times New Roman"/>
          <w:lang w:val="lv-LV" w:eastAsia="lv-LV"/>
        </w:rPr>
        <w:t>ākotnējie tiesu teritoriālās reformas rezultāti Rīgas un Latgales reģionā (izlīdzinās lietu izskatīšanas vidējie termiņi, samazinās tiesām piekritīgo civillietu un krimināllietu uzkrājums, izlīdzinās tiesnešu noslodze un  tiek ievērots tiesnešu specializācijas un nejaušības princips lietu sadalē</w:t>
      </w:r>
      <w:r w:rsidRPr="00595533">
        <w:rPr>
          <w:rFonts w:eastAsia="Times New Roman"/>
          <w:lang w:val="lv-LV" w:eastAsia="lv-LV"/>
        </w:rPr>
        <w:t>). P</w:t>
      </w:r>
      <w:r w:rsidR="00757004" w:rsidRPr="00595533">
        <w:rPr>
          <w:rFonts w:eastAsia="Times New Roman"/>
          <w:lang w:val="lv-LV" w:eastAsia="lv-LV"/>
        </w:rPr>
        <w:t xml:space="preserve">ārejot </w:t>
      </w:r>
      <w:r w:rsidR="00757004" w:rsidRPr="00595533">
        <w:rPr>
          <w:rFonts w:eastAsia="Calibri"/>
          <w:lang w:val="lv-LV"/>
        </w:rPr>
        <w:t xml:space="preserve">uz tīro tiesu instanču sistēmu civillietās un krimināllietās, </w:t>
      </w:r>
      <w:r w:rsidR="00757004" w:rsidRPr="00595533">
        <w:rPr>
          <w:lang w:val="lv-LV"/>
        </w:rPr>
        <w:t xml:space="preserve">kas nosaka rajona (pilsētas) tiesu visos gadījumos kā pirmo tiesas instanci, tiesu iekārta kļūst funkcionāli skaidrāka un caurskatāmāka, kā rezultātā lietu izskatīšana ir efektīvāka un kvalitatīvāka, arī </w:t>
      </w:r>
      <w:r w:rsidR="00757004" w:rsidRPr="00595533">
        <w:rPr>
          <w:rFonts w:eastAsia="Times New Roman"/>
          <w:lang w:val="lv-LV" w:eastAsia="lv-LV"/>
        </w:rPr>
        <w:t xml:space="preserve">tiesu </w:t>
      </w:r>
      <w:r w:rsidR="00757004" w:rsidRPr="00595533">
        <w:rPr>
          <w:lang w:val="lv-LV"/>
        </w:rPr>
        <w:t xml:space="preserve">prakse vienveidīgāka. </w:t>
      </w:r>
      <w:r w:rsidR="00757004" w:rsidRPr="00595533">
        <w:rPr>
          <w:rFonts w:eastAsia="Times New Roman"/>
          <w:lang w:val="lv-LV" w:eastAsia="lv-LV"/>
        </w:rPr>
        <w:t>Ietaupītie valsts budžeta līdzekļi novirzīti tiesas da</w:t>
      </w:r>
      <w:r w:rsidR="00860C9F">
        <w:rPr>
          <w:rFonts w:eastAsia="Times New Roman"/>
          <w:lang w:val="lv-LV" w:eastAsia="lv-LV"/>
        </w:rPr>
        <w:t>rbinieku atlīdzībai</w:t>
      </w:r>
      <w:r w:rsidR="00757004" w:rsidRPr="00595533">
        <w:rPr>
          <w:rFonts w:eastAsia="Times New Roman"/>
          <w:lang w:val="lv-LV" w:eastAsia="lv-LV"/>
        </w:rPr>
        <w:t>.</w:t>
      </w:r>
    </w:p>
    <w:p w14:paraId="19152F50" w14:textId="6C995193" w:rsidR="00757004" w:rsidRPr="00595533" w:rsidRDefault="00757004" w:rsidP="00A5201C">
      <w:pPr>
        <w:rPr>
          <w:rFonts w:ascii="Cambria" w:hAnsi="Cambria" w:cs="Times New Roman"/>
          <w:i/>
          <w:iCs/>
          <w:lang w:val="lv-LV"/>
        </w:rPr>
      </w:pPr>
      <w:r w:rsidRPr="00595533">
        <w:rPr>
          <w:rFonts w:ascii="Cambria" w:hAnsi="Cambria" w:cs="Times New Roman"/>
          <w:lang w:val="lv-LV"/>
        </w:rPr>
        <w:t xml:space="preserve">2016. gadā uzsākts īstenot projektu “Justīcija attīstībai”, kas </w:t>
      </w:r>
      <w:r w:rsidR="00A5201C" w:rsidRPr="00595533">
        <w:rPr>
          <w:rFonts w:ascii="Cambria" w:hAnsi="Cambria" w:cs="Times New Roman"/>
          <w:lang w:val="lv-LV"/>
        </w:rPr>
        <w:t>paredz</w:t>
      </w:r>
      <w:r w:rsidRPr="00595533">
        <w:rPr>
          <w:rFonts w:ascii="Cambria" w:hAnsi="Cambria" w:cs="Times New Roman"/>
          <w:lang w:val="lv-LV"/>
        </w:rPr>
        <w:t xml:space="preserve"> </w:t>
      </w:r>
      <w:r w:rsidRPr="00595533">
        <w:rPr>
          <w:rFonts w:ascii="Cambria" w:hAnsi="Cambria" w:cs="Times New Roman"/>
          <w:bCs/>
          <w:lang w:val="lv-LV"/>
        </w:rPr>
        <w:t>tiesu un tiesībsargājošo institūciju personāla kompetences paaugstināšanu. K</w:t>
      </w:r>
      <w:r w:rsidRPr="00595533">
        <w:rPr>
          <w:rFonts w:ascii="Cambria" w:hAnsi="Cambria" w:cs="Times New Roman"/>
          <w:lang w:val="lv-LV"/>
        </w:rPr>
        <w:t xml:space="preserve">opumā plānots apmācīt 11 433 personas, nodrošināt </w:t>
      </w:r>
      <w:r w:rsidRPr="00595533">
        <w:rPr>
          <w:rFonts w:ascii="Cambria" w:hAnsi="Cambria" w:cs="Times New Roman"/>
          <w:bCs/>
          <w:lang w:val="lv-LV"/>
        </w:rPr>
        <w:t xml:space="preserve">iespējas stažēties un iegūt labāko praksi ārvalstīs, izstrādāt rokasgrāmatas, vadlīnijas un judikatūras apkopojumus, kā arī, </w:t>
      </w:r>
      <w:r w:rsidRPr="00595533">
        <w:rPr>
          <w:rFonts w:ascii="Cambria" w:hAnsi="Cambria" w:cs="Times New Roman"/>
          <w:lang w:val="lv-LV"/>
        </w:rPr>
        <w:t xml:space="preserve">piesaistot ārvalstu ekspertus, kas darbojas starptautisko organizāciju ietvaros, iecerēts veikt </w:t>
      </w:r>
      <w:r w:rsidRPr="00595533">
        <w:rPr>
          <w:rFonts w:ascii="Cambria" w:hAnsi="Cambria" w:cs="Times New Roman"/>
          <w:bCs/>
          <w:lang w:val="lv-LV"/>
        </w:rPr>
        <w:t>Latvijas tieslietu sistēmas visaptverošo novērtējumu</w:t>
      </w:r>
      <w:r w:rsidRPr="00595533">
        <w:rPr>
          <w:rFonts w:ascii="Cambria" w:hAnsi="Cambria" w:cs="Times New Roman"/>
          <w:lang w:val="lv-LV"/>
        </w:rPr>
        <w:t>. Projekta pasākumi ir īstenojami līdz 2022.gada 31.decembrim un to kopējās izmaksas veido 10 474 822  </w:t>
      </w:r>
      <w:r w:rsidRPr="00595533">
        <w:rPr>
          <w:rFonts w:ascii="Cambria" w:hAnsi="Cambria" w:cs="Times New Roman"/>
          <w:i/>
          <w:iCs/>
          <w:lang w:val="lv-LV"/>
        </w:rPr>
        <w:t>euro.</w:t>
      </w:r>
    </w:p>
    <w:p w14:paraId="6A6443E0" w14:textId="5B1FAB95" w:rsidR="00757004" w:rsidRPr="00595533" w:rsidRDefault="00471833" w:rsidP="003C09A5">
      <w:pPr>
        <w:rPr>
          <w:lang w:val="lv-LV"/>
        </w:rPr>
      </w:pPr>
      <w:r>
        <w:rPr>
          <w:lang w:val="lv-LV"/>
        </w:rPr>
        <w:t>S</w:t>
      </w:r>
      <w:r w:rsidR="00757004" w:rsidRPr="00595533">
        <w:rPr>
          <w:lang w:val="lv-LV"/>
        </w:rPr>
        <w:t>tājoties spēkā Šķīrējtiesu likumam</w:t>
      </w:r>
      <w:r>
        <w:rPr>
          <w:lang w:val="lv-LV"/>
        </w:rPr>
        <w:t xml:space="preserve">, </w:t>
      </w:r>
      <w:r w:rsidRPr="00595533">
        <w:rPr>
          <w:lang w:val="lv-LV"/>
        </w:rPr>
        <w:t>2015. gada 1. Janvārī</w:t>
      </w:r>
      <w:r>
        <w:rPr>
          <w:lang w:val="lv-LV"/>
        </w:rPr>
        <w:t xml:space="preserve"> </w:t>
      </w:r>
      <w:r w:rsidR="00757004" w:rsidRPr="00595533">
        <w:rPr>
          <w:lang w:val="lv-LV"/>
        </w:rPr>
        <w:t xml:space="preserve">noteiktas </w:t>
      </w:r>
      <w:r w:rsidR="00757004" w:rsidRPr="00595533">
        <w:rPr>
          <w:b/>
          <w:lang w:val="lv-LV"/>
        </w:rPr>
        <w:t>jaunas prasības pastāvīgās šķīrējtiesas darbības organizācijai</w:t>
      </w:r>
      <w:r w:rsidR="00757004" w:rsidRPr="00595533">
        <w:rPr>
          <w:lang w:val="lv-LV"/>
        </w:rPr>
        <w:t xml:space="preserve"> un reglamentā norādāmajām ziņām, paredzot pastāvīgās šķīrējtiesas dibinātājam nodrošināt atsevišķas, šķīrējtiesas darbībai piemērotas telpas, lietvedībai un apmeklētāju pieņemšanai nepieciešamo personālu, uzturēt interneta mājaslapu. </w:t>
      </w:r>
      <w:r>
        <w:rPr>
          <w:lang w:val="lv-LV"/>
        </w:rPr>
        <w:t>N</w:t>
      </w:r>
      <w:r w:rsidR="00757004" w:rsidRPr="00595533">
        <w:rPr>
          <w:lang w:val="lv-LV"/>
        </w:rPr>
        <w:t>oteikts arī šķīrējtiesnešu saraksta obligātums un noteikta pastāvīgo šķīrējtiesu pārreģistrācija. Nodrošinot šķīrējtiesu kā efektīva un populār</w:t>
      </w:r>
      <w:r w:rsidR="003C09A5" w:rsidRPr="00595533">
        <w:rPr>
          <w:lang w:val="lv-LV"/>
        </w:rPr>
        <w:t>a</w:t>
      </w:r>
      <w:r w:rsidR="00757004" w:rsidRPr="00595533">
        <w:rPr>
          <w:lang w:val="lv-LV"/>
        </w:rPr>
        <w:t xml:space="preserve"> ārpustiesas strīdu risināšanas veida attīstību, stiprināts uzraudzības mehānisms, tajā skaitā izslēdzot no pastāvīgo šķīrējtiesu vidus tās šķīrējtiesas, kuru darbība neatbilst likuma prasībām un atstāj negatīvu iespaidu uz šķīrējtiesu institūtu kopumā </w:t>
      </w:r>
      <w:r w:rsidR="00757004" w:rsidRPr="00595533">
        <w:rPr>
          <w:lang w:val="lv-LV"/>
        </w:rPr>
        <w:lastRenderedPageBreak/>
        <w:t xml:space="preserve">(06.10.2016. grozījumi Šķīrējtiesu likumā). </w:t>
      </w:r>
      <w:r w:rsidR="003C09A5" w:rsidRPr="00595533">
        <w:rPr>
          <w:lang w:val="lv-LV"/>
        </w:rPr>
        <w:t>Ar 2017. gada 1. </w:t>
      </w:r>
      <w:r w:rsidR="00757004" w:rsidRPr="00595533">
        <w:rPr>
          <w:lang w:val="lv-LV"/>
        </w:rPr>
        <w:t>martu ziņas par pastāvīgās šķīrējtiesas tiesnešiem ir šķīrējtiesu reģistra ieraks</w:t>
      </w:r>
      <w:r w:rsidR="003C09A5" w:rsidRPr="00595533">
        <w:rPr>
          <w:lang w:val="lv-LV"/>
        </w:rPr>
        <w:t xml:space="preserve">tos ierakstāmās ziņas. Tādējādi </w:t>
      </w:r>
      <w:r w:rsidR="00757004" w:rsidRPr="00595533">
        <w:rPr>
          <w:lang w:val="lv-LV"/>
        </w:rPr>
        <w:t>Uzņēmumu reģistram ir iespēja kontrolēt šķīrējtiesnešu piederību ne vairāk kā trim šķīrējtiesām, kā arī uzlabot informācijas apmaiņu starp iestādēm, piemēram, ar izmeklēšanas iestādēm. Tāpat, ja šķīrējtiesas dibinātājs nav aktualizējis šķīrējtiesnešu sarakstu likumā noteiktajā termiņā, šķīrējtiesnesis jebkurā l</w:t>
      </w:r>
      <w:r w:rsidR="003C09A5" w:rsidRPr="00595533">
        <w:rPr>
          <w:lang w:val="lv-LV"/>
        </w:rPr>
        <w:t>aikā var iesniegt pieteikumu</w:t>
      </w:r>
      <w:r w:rsidR="00757004" w:rsidRPr="00595533">
        <w:rPr>
          <w:lang w:val="lv-LV"/>
        </w:rPr>
        <w:t xml:space="preserve"> Uzņēmumu reģistram un tas būs pamats šķīrējtiesas izslēgšanai no reģistra.</w:t>
      </w:r>
    </w:p>
    <w:p w14:paraId="238CDF83" w14:textId="319B5994" w:rsidR="00757004" w:rsidRPr="00595533" w:rsidRDefault="003C09A5" w:rsidP="003C09A5">
      <w:pPr>
        <w:rPr>
          <w:lang w:val="lv-LV"/>
        </w:rPr>
      </w:pPr>
      <w:r w:rsidRPr="00595533">
        <w:rPr>
          <w:lang w:val="lv-LV"/>
        </w:rPr>
        <w:t>Taču n</w:t>
      </w:r>
      <w:r w:rsidR="00757004" w:rsidRPr="00595533">
        <w:rPr>
          <w:lang w:val="lv-LV"/>
        </w:rPr>
        <w:t xml:space="preserve">eskatoties uz normatīvo regulējuma pilnveidi, </w:t>
      </w:r>
      <w:r w:rsidRPr="00595533">
        <w:rPr>
          <w:lang w:val="lv-LV"/>
        </w:rPr>
        <w:t>efektīvs</w:t>
      </w:r>
      <w:r w:rsidR="00757004" w:rsidRPr="00595533">
        <w:rPr>
          <w:lang w:val="lv-LV"/>
        </w:rPr>
        <w:t xml:space="preserve"> saimniecisko strīdu risināšanas mehānisms Latvijā nav īstenojies </w:t>
      </w:r>
      <w:r w:rsidRPr="00595533">
        <w:rPr>
          <w:lang w:val="lv-LV"/>
        </w:rPr>
        <w:t>–</w:t>
      </w:r>
      <w:r w:rsidR="00757004" w:rsidRPr="00595533">
        <w:rPr>
          <w:lang w:val="lv-LV"/>
        </w:rPr>
        <w:t xml:space="preserve"> </w:t>
      </w:r>
      <w:r w:rsidRPr="00595533">
        <w:rPr>
          <w:lang w:val="lv-LV"/>
        </w:rPr>
        <w:t>j</w:t>
      </w:r>
      <w:r w:rsidR="00757004" w:rsidRPr="00595533">
        <w:rPr>
          <w:lang w:val="lv-LV"/>
        </w:rPr>
        <w:t xml:space="preserve">oprojām darbojas </w:t>
      </w:r>
      <w:r w:rsidRPr="00595533">
        <w:rPr>
          <w:lang w:val="lv-LV"/>
        </w:rPr>
        <w:t>liels skaits Šķītrējtiesu (atbilstoši datiem no Uzņēmumu</w:t>
      </w:r>
      <w:r w:rsidR="00757004" w:rsidRPr="00595533">
        <w:rPr>
          <w:lang w:val="lv-LV"/>
        </w:rPr>
        <w:t xml:space="preserve"> reģistra </w:t>
      </w:r>
      <w:r w:rsidRPr="00595533">
        <w:rPr>
          <w:lang w:val="lv-LV"/>
        </w:rPr>
        <w:t xml:space="preserve">– </w:t>
      </w:r>
      <w:r w:rsidR="00757004" w:rsidRPr="00595533">
        <w:rPr>
          <w:lang w:val="lv-LV"/>
        </w:rPr>
        <w:t>u</w:t>
      </w:r>
      <w:r w:rsidRPr="00595533">
        <w:rPr>
          <w:lang w:val="lv-LV"/>
        </w:rPr>
        <w:t xml:space="preserve">z </w:t>
      </w:r>
      <w:r w:rsidR="00757004" w:rsidRPr="00595533">
        <w:rPr>
          <w:lang w:val="lv-LV"/>
        </w:rPr>
        <w:t>2017</w:t>
      </w:r>
      <w:r w:rsidRPr="00595533">
        <w:rPr>
          <w:lang w:val="lv-LV"/>
        </w:rPr>
        <w:t>. </w:t>
      </w:r>
      <w:r w:rsidR="00471833">
        <w:rPr>
          <w:lang w:val="lv-LV"/>
        </w:rPr>
        <w:t>g</w:t>
      </w:r>
      <w:r w:rsidRPr="00595533">
        <w:rPr>
          <w:lang w:val="lv-LV"/>
        </w:rPr>
        <w:t>ada 5. oktobri 69 šķīrējtiesas</w:t>
      </w:r>
      <w:r w:rsidR="00757004" w:rsidRPr="00595533">
        <w:rPr>
          <w:lang w:val="lv-LV"/>
        </w:rPr>
        <w:t xml:space="preserve">) un nav attīstīta un nostiprināta tiesu palīdzība šķīrējtiesu procesā, </w:t>
      </w:r>
      <w:r w:rsidRPr="00595533">
        <w:rPr>
          <w:lang w:val="lv-LV"/>
        </w:rPr>
        <w:t xml:space="preserve">kā rezultātā joprojām </w:t>
      </w:r>
      <w:r w:rsidR="00757004" w:rsidRPr="00595533">
        <w:rPr>
          <w:lang w:val="lv-LV"/>
        </w:rPr>
        <w:t xml:space="preserve">nav iespēja apstrīdēt vai pārsūdzēt šķīrējtiesu lēmumu tiesā. </w:t>
      </w:r>
    </w:p>
    <w:p w14:paraId="6BF563D5" w14:textId="65BD3F52" w:rsidR="00F17175" w:rsidRPr="00595533" w:rsidRDefault="00F17175" w:rsidP="00A87B6E">
      <w:pPr>
        <w:rPr>
          <w:lang w:val="lv-LV"/>
        </w:rPr>
      </w:pPr>
      <w:r w:rsidRPr="00595533">
        <w:rPr>
          <w:lang w:val="lv-LV"/>
        </w:rPr>
        <w:t>Intelektuālā īpašuma tiesību aizsardzības un nodrošināšanas pamatnostādnēs 2015.</w:t>
      </w:r>
      <w:r w:rsidR="003C09A5" w:rsidRPr="00595533">
        <w:rPr>
          <w:lang w:val="lv-LV"/>
        </w:rPr>
        <w:t> – </w:t>
      </w:r>
      <w:r w:rsidRPr="00595533">
        <w:rPr>
          <w:lang w:val="lv-LV"/>
        </w:rPr>
        <w:t>2</w:t>
      </w:r>
      <w:r w:rsidR="003C09A5" w:rsidRPr="00595533">
        <w:rPr>
          <w:lang w:val="lv-LV"/>
        </w:rPr>
        <w:t>020. </w:t>
      </w:r>
      <w:r w:rsidRPr="00595533">
        <w:rPr>
          <w:lang w:val="lv-LV"/>
        </w:rPr>
        <w:t xml:space="preserve">gadam kā problēma ir konstatēta apgrūtināta iespēja veidot skaidru, </w:t>
      </w:r>
      <w:r w:rsidRPr="00595533">
        <w:rPr>
          <w:b/>
          <w:lang w:val="lv-LV"/>
        </w:rPr>
        <w:t>vienotu un progresīvu politiku intelektuālā īpašuma tiesību jomā</w:t>
      </w:r>
      <w:r w:rsidRPr="00595533">
        <w:rPr>
          <w:lang w:val="lv-LV"/>
        </w:rPr>
        <w:t xml:space="preserve">. Par intelektuālā īpašuma tiesību aizsardzību Latvijā atbild vairākas valsts pārvaldes iestādes, tādējādi veidojot fragmentāru intelektuālā īpašuma aizsardzību un pārvaldību. Risinot minēto problēmu, konceptuālā ziņojuma </w:t>
      </w:r>
      <w:r w:rsidRPr="00595533">
        <w:rPr>
          <w:rFonts w:eastAsia="Calibri"/>
          <w:lang w:val="lv-LV"/>
        </w:rPr>
        <w:t xml:space="preserve">„Par intelektuālā īpašuma aizsardzības un pārvaldības sistēmu Latvijas Republikā” </w:t>
      </w:r>
      <w:r w:rsidRPr="00595533">
        <w:rPr>
          <w:shd w:val="clear" w:color="auto" w:fill="FFFFFF"/>
          <w:lang w:val="lv-LV"/>
        </w:rPr>
        <w:t>ietvaros noteikti</w:t>
      </w:r>
      <w:r w:rsidRPr="00595533">
        <w:rPr>
          <w:rFonts w:eastAsia="Calibri"/>
          <w:lang w:val="lv-LV"/>
        </w:rPr>
        <w:t xml:space="preserve"> pasākumi iestāžu sadarbībai un izpratnei par intelektuālā īpašuma tiesību aizsardzības jautājumiem un to nozīmīgumu ekonomikas izaugsmei un inovāciju radīšanai. </w:t>
      </w:r>
      <w:r w:rsidRPr="00595533">
        <w:rPr>
          <w:lang w:val="lv-LV"/>
        </w:rPr>
        <w:t xml:space="preserve">Piedāvātie pasākumi vērsti </w:t>
      </w:r>
      <w:r w:rsidR="00A87B6E" w:rsidRPr="00595533">
        <w:rPr>
          <w:lang w:val="lv-LV"/>
        </w:rPr>
        <w:t>uz Latvijas konkurētspējas stirināšanu</w:t>
      </w:r>
      <w:r w:rsidRPr="00595533">
        <w:rPr>
          <w:lang w:val="lv-LV"/>
        </w:rPr>
        <w:t xml:space="preserve"> </w:t>
      </w:r>
      <w:r w:rsidR="00A87B6E" w:rsidRPr="00595533">
        <w:rPr>
          <w:lang w:val="lv-LV"/>
        </w:rPr>
        <w:t>–</w:t>
      </w:r>
      <w:r w:rsidRPr="00595533">
        <w:rPr>
          <w:lang w:val="lv-LV"/>
        </w:rPr>
        <w:t xml:space="preserve"> tai jākļūst par vienu no līderēm ES inovatīvu un eksportējamu uzņēmumu attīstīšanā, ko var sasniegt</w:t>
      </w:r>
      <w:r w:rsidR="00A87B6E" w:rsidRPr="00595533">
        <w:rPr>
          <w:lang w:val="lv-LV"/>
        </w:rPr>
        <w:t>,</w:t>
      </w:r>
      <w:r w:rsidRPr="00595533">
        <w:rPr>
          <w:lang w:val="lv-LV"/>
        </w:rPr>
        <w:t xml:space="preserve"> pārvēršot personu intelektuālo un radošo potenciālu inovatīvas un konkurētspējīgas ekonomikas izaugsmē, uzņēmējdarbību atbalstošās iniciatīvās un vidē, kas atbalsta jaunu ideju radīšanu un to komercializēšanu, zināšanu pārnesi un uz lietotājiem vērstu izpēti. Stiprinot sasaisti starp intelektuālā īpašuma tiesību jomu un inovāciju attīstības politiku, iecerēts l</w:t>
      </w:r>
      <w:r w:rsidRPr="00595533">
        <w:rPr>
          <w:bCs/>
          <w:lang w:val="lv-LV"/>
        </w:rPr>
        <w:t xml:space="preserve">ikvidēt Intelektuālā īpašuma padomi un reorganizēt ekspertu grupu intelektuālā īpašuma jomā, paredzot attiecīgo jomu ekspertus iesaistīt Latvijas pētniecības un inovācijas stratēģiskās padomes darbā. </w:t>
      </w:r>
      <w:r w:rsidRPr="00595533">
        <w:rPr>
          <w:lang w:val="lv-LV"/>
        </w:rPr>
        <w:t xml:space="preserve"> Lai informētu sabiedrību par intelektuālo īpašumu, tā saikni ar ekonomiku un jaunu uzņēmumu radīšanu un intelektuālā īpašuma pārkāpumu negatīvo ietekmi, plānotas organizētas kampaņas, intelektuālā īpašuma tiesību iekļaušana izglītības standartā skolās, īpašu apmācību materiālu skolotājiem izstrāde, kā arī augstskolu programmās ietverot informāciju par intelektuālo īpašumu un tā aizsardzību, lai to saņemtu studenti, kas studē dažādas tehniskās zinātnes, mākslu, grafisko dizainu un apgūst citas radošas profesijas, tādējādi jau laicīgi informējot par viņu veiktā darba vērtību un potenciālajām iespējām nodrošināt izņēmuma tiesības ieguldītā darba un resursu aizsardzībai. Tādējādi augstākās izglītības iestādēs saņemtā izglītība atbilstu mūsdienu standartiem un starptautiskajai praksei, kā arī to studenti būtu labāk sagatavoti mūsdienu darba tirgus prasībām un globālajām tirgus prasībām. Plānots stiprināt iesaistīto institūciju sadarbību sistēmiskai un efektīvai plaģiātisma novēršanai augstākajā izglītībā, tai skaitā izstrādājot risinājumus augstākās izglītības noslēguma darbu komercializācijas ierobežošanai. Plānots i</w:t>
      </w:r>
      <w:r w:rsidRPr="00595533">
        <w:rPr>
          <w:bCs/>
          <w:lang w:val="lv-LV"/>
        </w:rPr>
        <w:t>zveidot vienotu Intelektuālā īpašuma informācijas centru,</w:t>
      </w:r>
      <w:r w:rsidRPr="00595533">
        <w:rPr>
          <w:lang w:val="lv-LV"/>
        </w:rPr>
        <w:t xml:space="preserve"> kas sniegtu sākotnējo informāciju par visiem intelektuālā īpašuma objektiem </w:t>
      </w:r>
      <w:r w:rsidR="00A87B6E" w:rsidRPr="00595533">
        <w:rPr>
          <w:lang w:val="lv-LV"/>
        </w:rPr>
        <w:t>–</w:t>
      </w:r>
      <w:r w:rsidRPr="00595533">
        <w:rPr>
          <w:lang w:val="lv-LV"/>
        </w:rPr>
        <w:t xml:space="preserve"> patentiem, preču zīmēm, dizainparaugiem, autortiesībām un blakustiesībām, ģeogrāfiskās izcelsmes norādēm, tādējādi sekmējot iespēju valstiskā mērogā vienuviet saņemt vienotu sākotnējo informāciju par intelektuālā īpašuma jomu. </w:t>
      </w:r>
      <w:r w:rsidRPr="00595533">
        <w:rPr>
          <w:bCs/>
          <w:lang w:val="lv-LV"/>
        </w:rPr>
        <w:t xml:space="preserve">Stiprinot saikni starp inovācijām un intelektuālo īpašumu, nodrošinot abu sfēru savstarpēju koordināciju, </w:t>
      </w:r>
      <w:r w:rsidRPr="00595533">
        <w:rPr>
          <w:lang w:val="lv-LV"/>
        </w:rPr>
        <w:t xml:space="preserve">plānots stiprināt sadarbību starp LRPV un LIAA inovāciju un rūpnieciskā īpašuma politikas ieviešanā, lai pasākumos un izdales materiālos tiktu sniegta informācija gan par intelektuālā īpašuma sniegtajām priekšrocībām, gan pieejamo atbalstu novatoriem un uzņēmējiem. Tāpat arī nepieciešams pārskatīt komercializācijas sistēmas pārraudzību un to reglamentējošos normatīvos aktus, nodrošinot efektīvu </w:t>
      </w:r>
      <w:r w:rsidRPr="00595533">
        <w:rPr>
          <w:lang w:val="lv-LV"/>
        </w:rPr>
        <w:lastRenderedPageBreak/>
        <w:t xml:space="preserve">komercializācijas sistēmu un vienotu pieeju ar tehnoloģijas pārnesi saistītajos jautājumos, kā arī nepieciešams izvērtēt iespēju pielīdzināt patentu, kuram ir veikts patentmeklējums un par kuru ir saņemts rakstisks eksperta atzinums par izgudrojuma atbilstību patentspējas kritērijiem (izgudrojuma līmenis, novitāte, rūpnieciskā izmantošana) zinātniskajai publikācijai. Iecerēts nodrošināt pētniecisko izstrādņu autoru no vienas puses un potenciālo pētniecisko izstrādņu komercializētāju (komersantu, privāto, tradicionālo un riska investoru) no otras puses, kā arī citu ieinteresēto pušu (tehnoloģiju pārneses ekspertu, attīstības un finanšu institūciju pārstāvju, studentu u.c.) tīklošanās pasākumus, kuru ietvaros varētu pārrunāt aktuālākos jautājumus zināšanu un tehnoloģiju pārneses, tostarp rūpnieciskā </w:t>
      </w:r>
      <w:r w:rsidR="00A87B6E" w:rsidRPr="00595533">
        <w:rPr>
          <w:lang w:val="lv-LV"/>
        </w:rPr>
        <w:t>īpašuma tiesību un aizsardzības</w:t>
      </w:r>
      <w:r w:rsidRPr="00595533">
        <w:rPr>
          <w:lang w:val="lv-LV"/>
        </w:rPr>
        <w:t xml:space="preserve"> jomā, apmainīties ar idejām un informāciju, mācīties, kā arī identificēt esošos vai apspriest nākotnes sadarbības projektus. Šo pasākumu ietvaros nepieciešams arī veicināt informācijas un ideju apmaiņas (tīklošanās) iespējas individuālajiem izgudrotājiem, kuri nav piesaistīti zinātniskajiem institūtiem vai augstākās izglītības iestādēm. Šādi tīklošanās pasākumi nodrošinātu arī citu valstu tehnoloģiju pārneses modeļu, rūpnieciskā īpašuma pārvaldības u.c. labās prakses piemēru apzināšanu, sniedzot ieguldījumu tehnoloģiju pārneses ietvara pilnveidošanai Latvijā.  Tāpat arī plānots izveidot platformu, kurā būtu pieejama informācija par izgudrotāju radītajiem inovāciju projektiem, kas ir pieejami komercializācijai, un komersantiem nepieciešamajiem tehnoloģiskajiem risinājumiem, kuru īstenošanā būtu nepieciešams izgudrotāju atbalsts. </w:t>
      </w:r>
    </w:p>
    <w:p w14:paraId="4003C0DD" w14:textId="42BE5BE3" w:rsidR="00F17175" w:rsidRPr="00595533" w:rsidRDefault="00F17175" w:rsidP="00A87B6E">
      <w:pPr>
        <w:rPr>
          <w:rFonts w:ascii="Times New Roman" w:hAnsi="Times New Roman" w:cs="Times New Roman"/>
          <w:lang w:val="lv-LV"/>
        </w:rPr>
      </w:pPr>
      <w:r w:rsidRPr="00595533">
        <w:rPr>
          <w:rFonts w:ascii="Times New Roman" w:hAnsi="Times New Roman" w:cs="Times New Roman"/>
          <w:bCs/>
          <w:lang w:val="lv-LV"/>
        </w:rPr>
        <w:t>Lai gan attiecīgās jomas dokumenti ir pieņemti, veicams nopietns darbs nākamajos trīs gados, kā arī pēc 2020.</w:t>
      </w:r>
      <w:r w:rsidR="00A87B6E" w:rsidRPr="00595533">
        <w:rPr>
          <w:rFonts w:ascii="Times New Roman" w:hAnsi="Times New Roman" w:cs="Times New Roman"/>
          <w:bCs/>
          <w:lang w:val="lv-LV"/>
        </w:rPr>
        <w:t> </w:t>
      </w:r>
      <w:r w:rsidRPr="00595533">
        <w:rPr>
          <w:rFonts w:ascii="Times New Roman" w:hAnsi="Times New Roman" w:cs="Times New Roman"/>
          <w:bCs/>
          <w:lang w:val="lv-LV"/>
        </w:rPr>
        <w:t>gada, iesaistot visas iesaistītās institūcijas intelektuālā īpašuma komercializācijas nodrošināšanai,</w:t>
      </w:r>
      <w:r w:rsidRPr="00595533">
        <w:rPr>
          <w:rFonts w:ascii="Times New Roman" w:hAnsi="Times New Roman" w:cs="Times New Roman"/>
          <w:lang w:val="lv-LV"/>
        </w:rPr>
        <w:t xml:space="preserve"> zināšanu un tehnoloģiju pārnesei, kas prasīs ievērojamu resursu koncentrēšanos un sadarbspēju ne tika</w:t>
      </w:r>
      <w:r w:rsidR="00A87B6E" w:rsidRPr="00595533">
        <w:rPr>
          <w:rFonts w:ascii="Times New Roman" w:hAnsi="Times New Roman" w:cs="Times New Roman"/>
          <w:lang w:val="lv-LV"/>
        </w:rPr>
        <w:t>i</w:t>
      </w:r>
      <w:r w:rsidRPr="00595533">
        <w:rPr>
          <w:rFonts w:ascii="Times New Roman" w:hAnsi="Times New Roman" w:cs="Times New Roman"/>
          <w:lang w:val="lv-LV"/>
        </w:rPr>
        <w:t xml:space="preserve"> valsts pārvaldes, bet </w:t>
      </w:r>
      <w:r w:rsidR="00A87B6E" w:rsidRPr="00595533">
        <w:rPr>
          <w:rFonts w:ascii="Times New Roman" w:hAnsi="Times New Roman" w:cs="Times New Roman"/>
          <w:lang w:val="lv-LV"/>
        </w:rPr>
        <w:t xml:space="preserve">arī </w:t>
      </w:r>
      <w:r w:rsidRPr="00595533">
        <w:rPr>
          <w:rFonts w:ascii="Times New Roman" w:hAnsi="Times New Roman" w:cs="Times New Roman"/>
          <w:lang w:val="lv-LV"/>
        </w:rPr>
        <w:t>zinātnieku, uzņēmēju un mācībspēku starpā</w:t>
      </w:r>
      <w:r w:rsidRPr="00595533">
        <w:rPr>
          <w:rFonts w:ascii="Times New Roman" w:hAnsi="Times New Roman" w:cs="Times New Roman"/>
          <w:bCs/>
          <w:lang w:val="lv-LV"/>
        </w:rPr>
        <w:t xml:space="preserve">. </w:t>
      </w:r>
    </w:p>
    <w:p w14:paraId="46768009" w14:textId="31673EE7" w:rsidR="00757004" w:rsidRPr="00595533" w:rsidRDefault="00A87B6E" w:rsidP="00C47227">
      <w:pPr>
        <w:rPr>
          <w:b/>
          <w:u w:val="single"/>
          <w:lang w:val="lv-LV"/>
        </w:rPr>
      </w:pPr>
      <w:r w:rsidRPr="00595533">
        <w:rPr>
          <w:b/>
          <w:u w:val="single"/>
          <w:lang w:val="lv-LV"/>
        </w:rPr>
        <w:t>Transporta un tr</w:t>
      </w:r>
      <w:r w:rsidR="00B104AA" w:rsidRPr="00595533">
        <w:rPr>
          <w:b/>
          <w:u w:val="single"/>
          <w:lang w:val="lv-LV"/>
        </w:rPr>
        <w:t>anzīta infrastruktūra</w:t>
      </w:r>
    </w:p>
    <w:p w14:paraId="4C7D4B77" w14:textId="2255F593" w:rsidR="00757004" w:rsidRPr="00595533" w:rsidRDefault="00757004" w:rsidP="00E7137B">
      <w:pPr>
        <w:rPr>
          <w:szCs w:val="22"/>
          <w:lang w:val="lv-LV" w:eastAsia="lv-LV"/>
        </w:rPr>
      </w:pPr>
      <w:r w:rsidRPr="00595533">
        <w:rPr>
          <w:lang w:val="lv-LV"/>
        </w:rPr>
        <w:t xml:space="preserve">Pārskata periodā tikuši īstenoti vairāki nozīmīgi </w:t>
      </w:r>
      <w:r w:rsidR="003303DC" w:rsidRPr="00595533">
        <w:rPr>
          <w:b/>
          <w:lang w:val="lv-LV"/>
        </w:rPr>
        <w:t xml:space="preserve">lielo </w:t>
      </w:r>
      <w:r w:rsidRPr="00595533">
        <w:rPr>
          <w:b/>
          <w:lang w:val="lv-LV"/>
        </w:rPr>
        <w:t>ostu attīstības projekti</w:t>
      </w:r>
      <w:r w:rsidRPr="00595533">
        <w:rPr>
          <w:lang w:val="lv-LV"/>
        </w:rPr>
        <w:t>, tādi kā infrastruktūras attīstība Krievu salā ostas aktivitāšu pārcelšanai no pilsētas centra, Ventspils brīvostas infrastruktūras attīstība, Liepājas ostas padziļināšana. Vairāku šajā plānošanas periodā plānoto projektu realizācija ir aizkavējusie</w:t>
      </w:r>
      <w:r w:rsidR="00E7137B" w:rsidRPr="00595533">
        <w:rPr>
          <w:lang w:val="lv-LV"/>
        </w:rPr>
        <w:t>s, turklāt ostās 2014. un 2015. </w:t>
      </w:r>
      <w:r w:rsidRPr="00595533">
        <w:rPr>
          <w:lang w:val="lv-LV"/>
        </w:rPr>
        <w:t>gadā</w:t>
      </w:r>
      <w:r w:rsidR="00E7137B" w:rsidRPr="00595533">
        <w:rPr>
          <w:lang w:val="lv-LV"/>
        </w:rPr>
        <w:t xml:space="preserve"> vēl tika pabeigti iepriekšējā</w:t>
      </w:r>
      <w:r w:rsidRPr="00595533">
        <w:rPr>
          <w:lang w:val="lv-LV"/>
        </w:rPr>
        <w:t xml:space="preserve"> 2007.</w:t>
      </w:r>
      <w:r w:rsidR="00E7137B" w:rsidRPr="00595533">
        <w:rPr>
          <w:lang w:val="lv-LV"/>
        </w:rPr>
        <w:t> – </w:t>
      </w:r>
      <w:r w:rsidRPr="00595533">
        <w:rPr>
          <w:lang w:val="lv-LV"/>
        </w:rPr>
        <w:t>2</w:t>
      </w:r>
      <w:r w:rsidR="00E7137B" w:rsidRPr="00595533">
        <w:rPr>
          <w:lang w:val="lv-LV"/>
        </w:rPr>
        <w:t>013. </w:t>
      </w:r>
      <w:r w:rsidRPr="00595533">
        <w:rPr>
          <w:lang w:val="lv-LV"/>
        </w:rPr>
        <w:t>gada periodā uzsāktie projekti. Projekti nozīmīgāko transporta koridoru infrastruktūras attīstībai, izmantojot 2014.</w:t>
      </w:r>
      <w:r w:rsidR="00E7137B" w:rsidRPr="00595533">
        <w:rPr>
          <w:lang w:val="lv-LV"/>
        </w:rPr>
        <w:t> – </w:t>
      </w:r>
      <w:r w:rsidRPr="00595533">
        <w:rPr>
          <w:lang w:val="lv-LV"/>
        </w:rPr>
        <w:t>2020</w:t>
      </w:r>
      <w:r w:rsidRPr="004622CA">
        <w:rPr>
          <w:lang w:val="lv-LV"/>
        </w:rPr>
        <w:t>.</w:t>
      </w:r>
      <w:r w:rsidR="00E7137B" w:rsidRPr="004622CA">
        <w:rPr>
          <w:lang w:val="lv-LV"/>
        </w:rPr>
        <w:t> </w:t>
      </w:r>
      <w:r w:rsidRPr="004622CA">
        <w:rPr>
          <w:lang w:val="lv-LV"/>
        </w:rPr>
        <w:t>gada ES fondu līdzfinansējumu, vairumā gadījumu notiek saskaņā ar plānoto, tomēr vairāki plānotie projekti ir atlikti sakarā ar publiskā finansējuma trūkumu. Neraugoties uz veiktajām investīcijām ostu infrastruktūrā, ostu kravu apgrozījums i</w:t>
      </w:r>
      <w:r w:rsidR="00E7137B" w:rsidRPr="004622CA">
        <w:rPr>
          <w:lang w:val="lv-LV"/>
        </w:rPr>
        <w:t xml:space="preserve">r samazinājies no 74,2 </w:t>
      </w:r>
      <w:r w:rsidR="00486B18" w:rsidRPr="004622CA">
        <w:rPr>
          <w:lang w:val="lv-LV"/>
        </w:rPr>
        <w:t>mlj</w:t>
      </w:r>
      <w:r w:rsidR="00E7137B" w:rsidRPr="004622CA">
        <w:rPr>
          <w:lang w:val="lv-LV"/>
        </w:rPr>
        <w:t xml:space="preserve"> tonnu līdz 63,1 </w:t>
      </w:r>
      <w:r w:rsidR="00486B18" w:rsidRPr="004622CA">
        <w:rPr>
          <w:lang w:val="lv-LV"/>
        </w:rPr>
        <w:t>mlj</w:t>
      </w:r>
      <w:r w:rsidRPr="004622CA">
        <w:rPr>
          <w:lang w:val="lv-LV"/>
        </w:rPr>
        <w:t xml:space="preserve"> tonnu 2016.</w:t>
      </w:r>
      <w:r w:rsidR="00E7137B" w:rsidRPr="004622CA">
        <w:rPr>
          <w:lang w:val="lv-LV"/>
        </w:rPr>
        <w:t> gadā</w:t>
      </w:r>
      <w:r w:rsidRPr="004622CA">
        <w:rPr>
          <w:lang w:val="lv-LV"/>
        </w:rPr>
        <w:t xml:space="preserve"> jeb par aptuveni</w:t>
      </w:r>
      <w:r w:rsidRPr="00595533">
        <w:rPr>
          <w:lang w:val="lv-LV"/>
        </w:rPr>
        <w:t xml:space="preserve"> 15%. Tas acīmredzami norāda uz to, ka ieguldījumi ostu infrastruktūrā paši par sevi atsevišķi nevar sniegt plānoto efektu, jo kravu piesaisti būtiski ietekmē virkne citu faktoru, tādi kā ģeopolitiskā situācija, kaimiņvalstu politiskā ietekme uz tranzīta un loģistikas sektoru, ostās strādājošo uzņēmumu aktivitātes kravu piesaistē, kā arī ar ostu saistītās infrastruktūras kvalitāte, pieejamība un izmantošanas izmaksas. Virkne tranzīta nozares un ekonomikas ekspertu norādījuši, ka kravu apjoms Latvijas ostās turpinās sarukt, Krievijas Federācijai un tajā reģistrētiem eksporta kravas ražojošiem uzņēmumiem pārorientējoties uz Krievijas Federācijas ostu intensīvāku izmantošanu un attīstību. Līdz ar to Latvijas tranzīta nozares uzņēmumiem pēc iespējas jācenšas noturēt esošās kravu plūsmas, kā arī piesaistīt jaunas kravas no citām valstīm, lai publisko resursu ieguldījumi ostās un saistītajā infrastruktūrā būtu attaisnojušies no ekonomiskās atdeves viedokļa, kā arī kritiski un objektīvi jāizvērtē turpmāko ieguldījumu ekonomiskais pamatojums un iespējamo valsts ieguvumu pietiekamība pret ieguldītajiem publiskajiem finanšu resursiem.</w:t>
      </w:r>
    </w:p>
    <w:p w14:paraId="468ABC48" w14:textId="4810D72F" w:rsidR="00757004" w:rsidRPr="00595533" w:rsidRDefault="00757004" w:rsidP="003303DC">
      <w:pPr>
        <w:rPr>
          <w:lang w:val="lv-LV"/>
        </w:rPr>
      </w:pPr>
      <w:r w:rsidRPr="00595533">
        <w:rPr>
          <w:b/>
          <w:szCs w:val="22"/>
          <w:lang w:val="lv-LV" w:eastAsia="lv-LV"/>
        </w:rPr>
        <w:lastRenderedPageBreak/>
        <w:t>Rail Baltica</w:t>
      </w:r>
      <w:r w:rsidRPr="00595533">
        <w:rPr>
          <w:szCs w:val="22"/>
          <w:lang w:val="lv-LV" w:eastAsia="lv-LV"/>
        </w:rPr>
        <w:t xml:space="preserve"> </w:t>
      </w:r>
      <w:r w:rsidRPr="00595533">
        <w:rPr>
          <w:lang w:val="lv-LV"/>
        </w:rPr>
        <w:t xml:space="preserve">projekts paredz izveidot </w:t>
      </w:r>
      <w:r w:rsidR="000C5AE1">
        <w:rPr>
          <w:lang w:val="lv-LV"/>
        </w:rPr>
        <w:t>Ei</w:t>
      </w:r>
      <w:r w:rsidR="00595533" w:rsidRPr="00595533">
        <w:rPr>
          <w:lang w:val="lv-LV"/>
        </w:rPr>
        <w:t>ro</w:t>
      </w:r>
      <w:r w:rsidRPr="00595533">
        <w:rPr>
          <w:lang w:val="lv-LV"/>
        </w:rPr>
        <w:t>pas standarta sliežu platuma dzelzceļa līniju no Tallinas līdz Lietuvas un Polijas robežai, lai tālāk ar dzelzceļu Baltijas valstis būtu iespējams sa</w:t>
      </w:r>
      <w:r w:rsidR="00E7137B" w:rsidRPr="00595533">
        <w:rPr>
          <w:lang w:val="lv-LV"/>
        </w:rPr>
        <w:t xml:space="preserve">vienot ar citām </w:t>
      </w:r>
      <w:r w:rsidR="000C5AE1">
        <w:rPr>
          <w:lang w:val="lv-LV"/>
        </w:rPr>
        <w:t>Ei</w:t>
      </w:r>
      <w:r w:rsidR="00595533" w:rsidRPr="00595533">
        <w:rPr>
          <w:lang w:val="lv-LV"/>
        </w:rPr>
        <w:t>ro</w:t>
      </w:r>
      <w:r w:rsidR="00E7137B" w:rsidRPr="00595533">
        <w:rPr>
          <w:lang w:val="lv-LV"/>
        </w:rPr>
        <w:t>pas valstīm. P</w:t>
      </w:r>
      <w:r w:rsidRPr="00595533">
        <w:rPr>
          <w:lang w:val="lv-LV"/>
        </w:rPr>
        <w:t>lānots, ka pa jauno dzelzceļa līniju pasažieru vilcienu ātrums varēs sasniegt 240 kilomet</w:t>
      </w:r>
      <w:r w:rsidR="00E7137B" w:rsidRPr="00595533">
        <w:rPr>
          <w:lang w:val="lv-LV"/>
        </w:rPr>
        <w:t>rus stundā, bet kravas vilcienu  – </w:t>
      </w:r>
      <w:r w:rsidRPr="00595533">
        <w:rPr>
          <w:lang w:val="lv-LV"/>
        </w:rPr>
        <w:t>120 kilometrus stundā</w:t>
      </w:r>
      <w:r w:rsidR="00E7137B" w:rsidRPr="00595533">
        <w:rPr>
          <w:lang w:val="lv-LV"/>
        </w:rPr>
        <w:t>.</w:t>
      </w:r>
      <w:r w:rsidRPr="00595533">
        <w:rPr>
          <w:lang w:val="lv-LV"/>
        </w:rPr>
        <w:t xml:space="preserve"> 2016.gadā noslēdzās izpētes veikšanas un sa</w:t>
      </w:r>
      <w:r w:rsidR="003303DC" w:rsidRPr="00595533">
        <w:rPr>
          <w:lang w:val="lv-LV"/>
        </w:rPr>
        <w:t>biedriskās apspriešanas process</w:t>
      </w:r>
      <w:r w:rsidRPr="00595533">
        <w:rPr>
          <w:lang w:val="lv-LV"/>
        </w:rPr>
        <w:t xml:space="preserve"> </w:t>
      </w:r>
      <w:r w:rsidRPr="00595533">
        <w:rPr>
          <w:szCs w:val="22"/>
          <w:lang w:val="lv-LV" w:eastAsia="lv-LV"/>
        </w:rPr>
        <w:t>Rail Baltica Latvijas posma trases novietojuma izstrādei un 2016.</w:t>
      </w:r>
      <w:r w:rsidR="003303DC" w:rsidRPr="00595533">
        <w:rPr>
          <w:szCs w:val="22"/>
          <w:lang w:val="lv-LV" w:eastAsia="lv-LV"/>
        </w:rPr>
        <w:t> </w:t>
      </w:r>
      <w:r w:rsidRPr="00595533">
        <w:rPr>
          <w:szCs w:val="22"/>
          <w:lang w:val="lv-LV" w:eastAsia="lv-LV"/>
        </w:rPr>
        <w:t xml:space="preserve">gada </w:t>
      </w:r>
      <w:r w:rsidRPr="00595533">
        <w:rPr>
          <w:lang w:val="lv-LV"/>
        </w:rPr>
        <w:t>24.</w:t>
      </w:r>
      <w:r w:rsidR="003303DC" w:rsidRPr="00595533">
        <w:rPr>
          <w:lang w:val="lv-LV"/>
        </w:rPr>
        <w:t> </w:t>
      </w:r>
      <w:r w:rsidRPr="00595533">
        <w:rPr>
          <w:lang w:val="lv-LV"/>
        </w:rPr>
        <w:t xml:space="preserve">augustā  stājās spēkā MK rīkojums Nr. 467 "Par </w:t>
      </w:r>
      <w:r w:rsidR="000C5AE1">
        <w:rPr>
          <w:lang w:val="lv-LV"/>
        </w:rPr>
        <w:t>Ei</w:t>
      </w:r>
      <w:r w:rsidR="00595533" w:rsidRPr="00595533">
        <w:rPr>
          <w:lang w:val="lv-LV"/>
        </w:rPr>
        <w:t>ro</w:t>
      </w:r>
      <w:r w:rsidRPr="00595533">
        <w:rPr>
          <w:lang w:val="lv-LV"/>
        </w:rPr>
        <w:t xml:space="preserve">pas standarta platuma publiskās lietošanas dzelzceļa infrastruktūras līnijas Rail Baltica būvniecībai paredzētās darbības akceptu", ar kuru noteikts Rail Baltica trases novietojums Latvijā, un rīkojums Nr. 468 "Par nacionālo interešu objekta statusa noteikšanu </w:t>
      </w:r>
      <w:r w:rsidR="000C5AE1">
        <w:rPr>
          <w:lang w:val="lv-LV"/>
        </w:rPr>
        <w:t>Ei</w:t>
      </w:r>
      <w:r w:rsidR="00595533" w:rsidRPr="00595533">
        <w:rPr>
          <w:lang w:val="lv-LV"/>
        </w:rPr>
        <w:t>ro</w:t>
      </w:r>
      <w:r w:rsidRPr="00595533">
        <w:rPr>
          <w:lang w:val="lv-LV"/>
        </w:rPr>
        <w:t xml:space="preserve">pas standarta platuma publiskās lietošanas dzelzceļa infrastruktūrai Rail Baltica". </w:t>
      </w:r>
    </w:p>
    <w:p w14:paraId="5365DF96" w14:textId="3A2B447B" w:rsidR="00757004" w:rsidRPr="00595533" w:rsidRDefault="00757004" w:rsidP="003303DC">
      <w:pPr>
        <w:rPr>
          <w:lang w:val="lv-LV"/>
        </w:rPr>
      </w:pPr>
      <w:r w:rsidRPr="00595533">
        <w:rPr>
          <w:lang w:val="lv-LV"/>
        </w:rPr>
        <w:t>Līdz 2017.</w:t>
      </w:r>
      <w:r w:rsidR="003303DC" w:rsidRPr="00595533">
        <w:rPr>
          <w:lang w:val="lv-LV"/>
        </w:rPr>
        <w:t> </w:t>
      </w:r>
      <w:r w:rsidRPr="00595533">
        <w:rPr>
          <w:lang w:val="lv-LV"/>
        </w:rPr>
        <w:t>gada vidum veiktas virkne aktivitāšu: izstrādāts Nekustamo īpašuma atsavināšanas plāns; izsludināti vairāki projekta īstenošanai nepieciešamie iepirkumi, pabeigts starptautiskais metu konkurss “Rail Baltica Rīgas dzelzceļa tilta un Rīgas centrālā multimodālā sabiedriskā transporta mezgla kompleksas apbūves iecere”.</w:t>
      </w:r>
    </w:p>
    <w:p w14:paraId="063F57A3" w14:textId="5969A2FF" w:rsidR="00757004" w:rsidRPr="00595533" w:rsidRDefault="003303DC" w:rsidP="003303DC">
      <w:pPr>
        <w:rPr>
          <w:lang w:val="lv-LV"/>
        </w:rPr>
      </w:pPr>
      <w:r w:rsidRPr="00595533">
        <w:rPr>
          <w:lang w:val="lv-LV"/>
        </w:rPr>
        <w:t xml:space="preserve">2017.gada </w:t>
      </w:r>
      <w:r w:rsidR="00757004" w:rsidRPr="00595533">
        <w:rPr>
          <w:lang w:val="lv-LV"/>
        </w:rPr>
        <w:t>oktobrī Lietuv</w:t>
      </w:r>
      <w:r w:rsidRPr="00595533">
        <w:rPr>
          <w:lang w:val="lv-LV"/>
        </w:rPr>
        <w:t>as Seims</w:t>
      </w:r>
      <w:r w:rsidR="00757004" w:rsidRPr="00595533">
        <w:rPr>
          <w:lang w:val="lv-LV"/>
        </w:rPr>
        <w:t xml:space="preserve"> ratificēja Latvijas, Lietuvas un Igaunijas valdību līgumu par "Rail Baltica" dzelzceļa savienojuma izveidi, </w:t>
      </w:r>
      <w:r w:rsidRPr="00595533">
        <w:rPr>
          <w:lang w:val="lv-LV"/>
        </w:rPr>
        <w:t xml:space="preserve">savukārt </w:t>
      </w:r>
      <w:r w:rsidR="00757004" w:rsidRPr="00595533">
        <w:rPr>
          <w:lang w:val="lv-LV"/>
        </w:rPr>
        <w:t>Latvijas un Igaunijas valstu parlamenti ratificēja šo līgumu jau 2017.</w:t>
      </w:r>
      <w:r w:rsidRPr="00595533">
        <w:rPr>
          <w:lang w:val="lv-LV"/>
        </w:rPr>
        <w:t> </w:t>
      </w:r>
      <w:r w:rsidR="00757004" w:rsidRPr="00595533">
        <w:rPr>
          <w:lang w:val="lv-LV"/>
        </w:rPr>
        <w:t>gada jūnijā. Līgums regulē būvējamās dzelzceļa infrastruktūras un zemes īpašumtiesības, būvniecības finansēšanas apstākļus, kā arī nodrošina piekļuvi "Rail Baltica" infrastruktūrai un sniedz vispārējas vadlīnijas projekta vadībai, lai noteiktu infrastruktūras operatoru. Rail Baltica izbūvi plānots sākt ar Rail Baltica līnijas Latvijas Centrālās daļas Tehnisko projektu, Rīgas Centrālās stacijas un saistītās infrastruktūras pārbūvi, Rail Baltica stacijas Starptautiskajā lidostā ”Rīga” izbūvi, kā arī plānots uzsākt savienojuma būvniecību starp Rīgas centrālo dzelzceļa staciju un Starptautis</w:t>
      </w:r>
      <w:r w:rsidRPr="00595533">
        <w:rPr>
          <w:lang w:val="lv-LV"/>
        </w:rPr>
        <w:t>ko lidostu ”Rīga”. Rail Baltica</w:t>
      </w:r>
      <w:r w:rsidR="00757004" w:rsidRPr="00595533">
        <w:rPr>
          <w:lang w:val="lv-LV"/>
        </w:rPr>
        <w:t xml:space="preserve"> dzelzceļa trasi pilnībā izbūvēt plānots līdz 2025.</w:t>
      </w:r>
      <w:r w:rsidRPr="00595533">
        <w:rPr>
          <w:lang w:val="lv-LV"/>
        </w:rPr>
        <w:t> </w:t>
      </w:r>
      <w:r w:rsidR="00757004" w:rsidRPr="00595533">
        <w:rPr>
          <w:lang w:val="lv-LV"/>
        </w:rPr>
        <w:t>gadam, provizoriski projekta iz</w:t>
      </w:r>
      <w:r w:rsidRPr="00595533">
        <w:rPr>
          <w:lang w:val="lv-LV"/>
        </w:rPr>
        <w:t xml:space="preserve">maksas sasniegs 5,8 </w:t>
      </w:r>
      <w:r w:rsidR="00486B18" w:rsidRPr="00595533">
        <w:rPr>
          <w:lang w:val="lv-LV"/>
        </w:rPr>
        <w:t>mlj</w:t>
      </w:r>
      <w:r w:rsidRPr="00595533">
        <w:rPr>
          <w:lang w:val="lv-LV"/>
        </w:rPr>
        <w:t>ardus euro. Šobrīd n</w:t>
      </w:r>
      <w:r w:rsidR="00757004" w:rsidRPr="00595533">
        <w:rPr>
          <w:lang w:val="lv-LV"/>
        </w:rPr>
        <w:t xml:space="preserve">oslēgusies pieteikumu iesniegšana </w:t>
      </w:r>
      <w:r w:rsidR="00757004" w:rsidRPr="00595533">
        <w:rPr>
          <w:bCs/>
          <w:lang w:val="lv-LV"/>
        </w:rPr>
        <w:t>starptautiskā publiskā iepirkuma „</w:t>
      </w:r>
      <w:r w:rsidR="00757004" w:rsidRPr="00595533">
        <w:rPr>
          <w:bCs/>
          <w:i/>
          <w:iCs/>
          <w:lang w:val="lv-LV"/>
        </w:rPr>
        <w:t>Rail Baltica</w:t>
      </w:r>
      <w:r w:rsidR="00757004" w:rsidRPr="00595533">
        <w:rPr>
          <w:bCs/>
          <w:lang w:val="lv-LV"/>
        </w:rPr>
        <w:t> Rīgas dzelzceļa tilta, uzbēruma un stacijas kompleksās apbūves būvpro</w:t>
      </w:r>
      <w:r w:rsidRPr="00595533">
        <w:rPr>
          <w:bCs/>
          <w:lang w:val="lv-LV"/>
        </w:rPr>
        <w:t>jekta izstrāde un būvdarbi” 1. k</w:t>
      </w:r>
      <w:r w:rsidR="00757004" w:rsidRPr="00595533">
        <w:rPr>
          <w:bCs/>
          <w:lang w:val="lv-LV"/>
        </w:rPr>
        <w:t>ārtai un tiek uzsākta to izvērtēšana.</w:t>
      </w:r>
      <w:r w:rsidR="00757004" w:rsidRPr="00595533">
        <w:rPr>
          <w:b/>
          <w:bCs/>
          <w:lang w:val="lv-LV"/>
        </w:rPr>
        <w:t xml:space="preserve"> </w:t>
      </w:r>
    </w:p>
    <w:p w14:paraId="3C814666" w14:textId="232B12BD" w:rsidR="00757004" w:rsidRPr="00595533" w:rsidRDefault="00757004" w:rsidP="00B115CE">
      <w:pPr>
        <w:rPr>
          <w:lang w:val="lv-LV"/>
        </w:rPr>
      </w:pPr>
      <w:r w:rsidRPr="00595533">
        <w:rPr>
          <w:b/>
          <w:lang w:val="lv-LV"/>
        </w:rPr>
        <w:t>Austrumu-rietumu dzelzceļa infrastruktūras</w:t>
      </w:r>
      <w:r w:rsidRPr="00595533">
        <w:rPr>
          <w:lang w:val="lv-LV"/>
        </w:rPr>
        <w:t xml:space="preserve"> atjaunošana un mod</w:t>
      </w:r>
      <w:r w:rsidR="003303DC" w:rsidRPr="00595533">
        <w:rPr>
          <w:lang w:val="lv-LV"/>
        </w:rPr>
        <w:t>ernizācija (TEN-T) ir ļoti būtiska</w:t>
      </w:r>
      <w:r w:rsidRPr="00595533">
        <w:rPr>
          <w:lang w:val="lv-LV"/>
        </w:rPr>
        <w:t xml:space="preserve"> Latvijas transporta sistēmas un starptautiskās sasniedzamības nodrošināšanai, kas ir viens no NAP2020 mērķiem, tomēr jāuzsver, ka VAS “Latvijas dzelzceļš” projekti Rīgas un Daugavpils dzelzceļa mezglos šī uzdevuma ietvaros šobrīd ir ieviešanas stadijā, un to gala rezu</w:t>
      </w:r>
      <w:r w:rsidR="003303DC" w:rsidRPr="00595533">
        <w:rPr>
          <w:lang w:val="lv-LV"/>
        </w:rPr>
        <w:t>ltāti tiks sasniegti laika periodā pēc 2020. gada. V</w:t>
      </w:r>
      <w:r w:rsidRPr="00595533">
        <w:rPr>
          <w:lang w:val="lv-LV"/>
        </w:rPr>
        <w:t>ienlai</w:t>
      </w:r>
      <w:r w:rsidR="003303DC" w:rsidRPr="00595533">
        <w:rPr>
          <w:lang w:val="lv-LV"/>
        </w:rPr>
        <w:t>kus jānorāda, ka šie projekti</w:t>
      </w:r>
      <w:r w:rsidRPr="00595533">
        <w:rPr>
          <w:lang w:val="lv-LV"/>
        </w:rPr>
        <w:t xml:space="preserve"> pamatā </w:t>
      </w:r>
      <w:r w:rsidR="003303DC" w:rsidRPr="00595533">
        <w:rPr>
          <w:lang w:val="lv-LV"/>
        </w:rPr>
        <w:t xml:space="preserve">ir </w:t>
      </w:r>
      <w:r w:rsidRPr="00595533">
        <w:rPr>
          <w:lang w:val="lv-LV"/>
        </w:rPr>
        <w:t>vērsti uz kravu pārvadājumiem. Lai arī NAP2020 pašlaik nav definēts mērķis attiecībā uz dzelzceļa kravu pārvadājumiem, tomēr jāņem vērā, ka pa dzelzceļu pārvadātās kravas pamatā tiek vestas uz ostām, tādēļ investīcijas dzelzceļa infrastruktūrā cieši saistāmas ar kravu apgrozījuma tendencēm un perspektīvām. Rīgas un Daugavpils dzelzceļa mezglu projektu īstenošanas rezultātā tiks paaugstināta kravu pārstrādes efektivitāte un ātrums, tādējādi sekmējot visa Latvijas tranzīta koridora konkurētspēju un efektivitāti. Vienlaikus jānorāda, ka kravu pārvad</w:t>
      </w:r>
      <w:r w:rsidR="003303DC" w:rsidRPr="00595533">
        <w:rPr>
          <w:lang w:val="lv-LV"/>
        </w:rPr>
        <w:t>ājumi pa dzelzceļu kopš 2012. </w:t>
      </w:r>
      <w:r w:rsidRPr="00595533">
        <w:rPr>
          <w:lang w:val="lv-LV"/>
        </w:rPr>
        <w:t>gada ir sama</w:t>
      </w:r>
      <w:r w:rsidR="003303DC" w:rsidRPr="00595533">
        <w:rPr>
          <w:lang w:val="lv-LV"/>
        </w:rPr>
        <w:t xml:space="preserve">zinājušies un 2016. gadā veidoja 47,8 </w:t>
      </w:r>
      <w:r w:rsidR="00486B18" w:rsidRPr="00595533">
        <w:rPr>
          <w:lang w:val="lv-LV"/>
        </w:rPr>
        <w:t>mlj</w:t>
      </w:r>
      <w:r w:rsidRPr="00595533">
        <w:rPr>
          <w:lang w:val="lv-LV"/>
        </w:rPr>
        <w:t xml:space="preserve"> tonnu, kas </w:t>
      </w:r>
      <w:r w:rsidR="003303DC" w:rsidRPr="00595533">
        <w:rPr>
          <w:lang w:val="lv-LV"/>
        </w:rPr>
        <w:t>ir zemākais rādītājs kopš 2002. gada. T</w:t>
      </w:r>
      <w:r w:rsidRPr="00595533">
        <w:rPr>
          <w:lang w:val="lv-LV"/>
        </w:rPr>
        <w:t>urklāt samazinās arī pa dzelzceļu pārvadāto kravu īpatsvars no vis</w:t>
      </w:r>
      <w:r w:rsidR="003303DC" w:rsidRPr="00595533">
        <w:rPr>
          <w:lang w:val="lv-LV"/>
        </w:rPr>
        <w:t>iem kravu pārvadājumiem – 2010. </w:t>
      </w:r>
      <w:r w:rsidRPr="00595533">
        <w:rPr>
          <w:lang w:val="lv-LV"/>
        </w:rPr>
        <w:t>gadā pa dzelzceļu ti</w:t>
      </w:r>
      <w:r w:rsidR="003303DC" w:rsidRPr="00595533">
        <w:rPr>
          <w:lang w:val="lv-LV"/>
        </w:rPr>
        <w:t>ka pārvadāts 51,2% kravu, tad 2016. </w:t>
      </w:r>
      <w:r w:rsidRPr="00595533">
        <w:rPr>
          <w:lang w:val="lv-LV"/>
        </w:rPr>
        <w:t>gadā vairs tikai 43% kr</w:t>
      </w:r>
      <w:r w:rsidR="003303DC" w:rsidRPr="00595533">
        <w:rPr>
          <w:lang w:val="lv-LV"/>
        </w:rPr>
        <w:t>avu</w:t>
      </w:r>
      <w:r w:rsidRPr="00595533">
        <w:rPr>
          <w:lang w:val="lv-LV"/>
        </w:rPr>
        <w:t xml:space="preserve">. Tas norāda uz kravu pārvadājumu ilgtspējas mazināšanos un būtiskāku ietekmi uz vides kvalitāti, bet no ekonomiskās attīstības viedokļa </w:t>
      </w:r>
      <w:r w:rsidR="003303DC" w:rsidRPr="00595533">
        <w:rPr>
          <w:lang w:val="lv-LV"/>
        </w:rPr>
        <w:t xml:space="preserve">– </w:t>
      </w:r>
      <w:r w:rsidRPr="00595533">
        <w:rPr>
          <w:lang w:val="lv-LV"/>
        </w:rPr>
        <w:t xml:space="preserve">uz nepieciešamību pietiekami izsvērti izvērtēt turpmākas investīcijas un to potenciālo atdevi dzelzceļa infrastruktūrā, skatot to kontekstā ar kravu apgrozījuma tendencēm, investīciju ietekmi uz Latvijas tranzīta koridoru kopumā un iespējām piesaistīt jaunus kravu apjomus, kā arī iespējām samazināt dzelzceļa infrastruktūras uzturēšanas izmaksas. Tāpat nepieciešams </w:t>
      </w:r>
      <w:r w:rsidR="003303DC" w:rsidRPr="00595533">
        <w:rPr>
          <w:lang w:val="lv-LV"/>
        </w:rPr>
        <w:t>izvērtēt</w:t>
      </w:r>
      <w:r w:rsidRPr="00595533">
        <w:rPr>
          <w:lang w:val="lv-LV"/>
        </w:rPr>
        <w:t xml:space="preserve"> </w:t>
      </w:r>
      <w:r w:rsidRPr="00595533">
        <w:rPr>
          <w:lang w:val="lv-LV"/>
        </w:rPr>
        <w:lastRenderedPageBreak/>
        <w:t>videi draudzīgu r</w:t>
      </w:r>
      <w:r w:rsidR="003303DC" w:rsidRPr="00595533">
        <w:rPr>
          <w:lang w:val="lv-LV"/>
        </w:rPr>
        <w:t>isinājumu un inovāciju ieviešanas iespējas</w:t>
      </w:r>
      <w:r w:rsidR="00B115CE" w:rsidRPr="00595533">
        <w:rPr>
          <w:lang w:val="lv-LV"/>
        </w:rPr>
        <w:t xml:space="preserve"> dzelzceļa nozarē, kā arī vērtēt</w:t>
      </w:r>
      <w:r w:rsidRPr="00595533">
        <w:rPr>
          <w:lang w:val="lv-LV"/>
        </w:rPr>
        <w:t xml:space="preserve"> pasažieru apkalpošan</w:t>
      </w:r>
      <w:r w:rsidR="00B115CE" w:rsidRPr="00595533">
        <w:rPr>
          <w:lang w:val="lv-LV"/>
        </w:rPr>
        <w:t>as infrastruktūras modernizācijas un drošības risinājumus</w:t>
      </w:r>
      <w:r w:rsidRPr="00595533">
        <w:rPr>
          <w:lang w:val="lv-LV"/>
        </w:rPr>
        <w:t>.</w:t>
      </w:r>
    </w:p>
    <w:p w14:paraId="0704B473" w14:textId="745FF6B1" w:rsidR="00B8063B" w:rsidRPr="00595533" w:rsidRDefault="00B8063B" w:rsidP="00B8063B">
      <w:pPr>
        <w:rPr>
          <w:rFonts w:ascii="Times New Roman" w:hAnsi="Times New Roman"/>
          <w:lang w:val="lv-LV"/>
        </w:rPr>
      </w:pPr>
      <w:r w:rsidRPr="00595533">
        <w:rPr>
          <w:b/>
          <w:lang w:val="lv-LV"/>
        </w:rPr>
        <w:t>Starptautiskajā lidostā “Rīga”</w:t>
      </w:r>
      <w:r w:rsidRPr="00595533">
        <w:rPr>
          <w:lang w:val="lv-LV"/>
        </w:rPr>
        <w:t xml:space="preserve"> paveikti un tiek plānoti nozīmīgi infrastruktūras </w:t>
      </w:r>
      <w:r w:rsidRPr="00F2488C">
        <w:rPr>
          <w:lang w:val="lv-LV"/>
        </w:rPr>
        <w:t>rekonstrukcijas darbi. 2013. un 2014. gadā projekta ietvaros veikta skrejceļa segas virskārtas renovācija, skrejceļa lidjoslas pastiprināšana, papildus manevrēšanas ceļu E un D izbūve, gaismu sistēmas izbūve, lietus notekūdeņu novadsistēmas un lidlauka drenāžas izbūve u.c. Tā rezultātā paaugstināta lidojumu drošība, uzlaboti vides apstākļi un palielināta lidlauka kapacitāte. Vienlaikus 2016. gada nogalē noslēgts līgums par Kohēzijas fonda līdzekļu piesaisti lidostas attīstības projekta īstenošanai, paredzot būtisku aviācijas drošības un nozares darbības ietekmes uz vidi kaitējumu mazinošu pasākumu īstenošanu. Ņemot vērā, ka Kohēzijas fonda līdzekļi lidostu infrastruktūras attīstībai vairs netiek piešķirti lidostu kapacitātes palielināšanai, starptautiskā lidosta “Rīga” termināla attīstības 5. kārtu īstenoja savas saimnieciskās darbības ietvaros, finansējot to no saviem līdzekļiem un piesaistot kredītlīdzekļus.</w:t>
      </w:r>
    </w:p>
    <w:p w14:paraId="6E417894" w14:textId="52DF1E0C" w:rsidR="00184FFF" w:rsidRPr="00F2488C" w:rsidRDefault="00B8063B" w:rsidP="00F2488C">
      <w:pPr>
        <w:rPr>
          <w:lang w:val="lv-LV" w:eastAsia="lv-LV"/>
        </w:rPr>
      </w:pPr>
      <w:r w:rsidRPr="00F2488C">
        <w:rPr>
          <w:lang w:val="lv-LV"/>
        </w:rPr>
        <w:t>Starptautiskajā lidostā “Rīga” turpina pieaugt apkalpoto pasažieru skaits, 2017. gada deviņos mēnešos tas pieauga par 11.4% salīdzinājumā ar attiecīgo periodu 2016. gadā. Jānorāda, ka pieaug arī tranzīta pasažieru skaits, norādot uz lidostas kā aviācijas savienojošā mezgla lomas pieaugumu. Šo panākumu pamatā bijusi arī veiksmīga VAS “</w:t>
      </w:r>
      <w:r w:rsidRPr="00F2488C">
        <w:rPr>
          <w:lang w:val="lv-LV" w:eastAsia="lv-LV"/>
        </w:rPr>
        <w:t xml:space="preserve">Starptautiskā lidosta "Rīga"” </w:t>
      </w:r>
      <w:r w:rsidRPr="00F2488C">
        <w:rPr>
          <w:lang w:val="lv-LV"/>
        </w:rPr>
        <w:t xml:space="preserve">sadarbība ar aviopārvadājumu uzņēmumiem, tai skaitā, piesaistot lidostai jaunus šo pakalpojumu sniedzējus. Ņemot vērā Latvijas periferālo ģeogrāfisko novietojumu visas </w:t>
      </w:r>
      <w:r w:rsidR="000C5AE1" w:rsidRPr="00F2488C">
        <w:rPr>
          <w:lang w:val="lv-LV"/>
        </w:rPr>
        <w:t>Ei</w:t>
      </w:r>
      <w:r w:rsidR="00595533" w:rsidRPr="00F2488C">
        <w:rPr>
          <w:lang w:val="lv-LV"/>
        </w:rPr>
        <w:t>ro</w:t>
      </w:r>
      <w:r w:rsidRPr="00F2488C">
        <w:rPr>
          <w:lang w:val="lv-LV"/>
        </w:rPr>
        <w:t xml:space="preserve">pas Savienības kontekstā, starptautiskajai lidostai “Rīga” kā aviopārvadājumu mezglam un tās attīstībai ir ļoti būtiska nozīme Latvijas starptautiskās sasniedzamības kontekstā, sekmējot valsts ekonomisko izaugsmi un iekļaušanos globālajā biznesa un sadarbības vidē.   </w:t>
      </w:r>
    </w:p>
    <w:p w14:paraId="22059F05" w14:textId="77777777" w:rsidR="00384533" w:rsidRPr="00595533" w:rsidRDefault="00384533" w:rsidP="00384533">
      <w:pPr>
        <w:pStyle w:val="NoSpacing"/>
        <w:rPr>
          <w:sz w:val="10"/>
          <w:szCs w:val="10"/>
          <w:lang w:val="lv-LV"/>
        </w:rPr>
      </w:pPr>
    </w:p>
    <w:p w14:paraId="4B18918E" w14:textId="77777777" w:rsidR="00B21C7B" w:rsidRPr="00595533" w:rsidRDefault="00B21C7B" w:rsidP="00B21C7B">
      <w:pPr>
        <w:pStyle w:val="Heading3"/>
        <w:rPr>
          <w:lang w:val="lv-LV"/>
        </w:rPr>
      </w:pPr>
      <w:bookmarkStart w:id="33" w:name="_Toc498690618"/>
      <w:r w:rsidRPr="00595533">
        <w:rPr>
          <w:lang w:val="lv-LV"/>
        </w:rPr>
        <w:t>PROGRESA NOVĒRTĒJUMS</w:t>
      </w:r>
      <w:bookmarkEnd w:id="33"/>
    </w:p>
    <w:p w14:paraId="2C7303D5" w14:textId="152657FA" w:rsidR="00E2189D" w:rsidRDefault="00E2189D" w:rsidP="00EC4FA8">
      <w:pPr>
        <w:rPr>
          <w:lang w:val="lv-LV"/>
        </w:rPr>
      </w:pPr>
      <w:r w:rsidRPr="00E2189D">
        <w:rPr>
          <w:lang w:val="lv-LV"/>
        </w:rPr>
        <w:t xml:space="preserve">Rīcības virziena </w:t>
      </w:r>
      <w:r w:rsidRPr="00E2189D">
        <w:rPr>
          <w:i/>
          <w:lang w:val="lv-LV"/>
        </w:rPr>
        <w:t>Izcila uzņēmējdarbības vide</w:t>
      </w:r>
      <w:r w:rsidRPr="00E2189D">
        <w:rPr>
          <w:lang w:val="lv-LV"/>
        </w:rPr>
        <w:t xml:space="preserve"> mērķu sasniegšanai sākotnēji tika plānots investēt kopumā 1,8 mljrd euro. Uz starpposma izvērtējuma brīdi rīcības virziena uzdevumu īstenošanai ir apzinātas kopējās investīcijas 923,6 mlj euro apmērā jeb 52,5% no sākotnēji plānotā. No minētajām investīcijām lielāko daļu jeb 61,1% veido ES fondu finansējums, savukārt nacionālais finansējums sastāda 38%, bet cits ārvalstu finansējums</w:t>
      </w:r>
      <w:r w:rsidRPr="00E2189D">
        <w:rPr>
          <w:rStyle w:val="FootnoteReference"/>
          <w:lang w:val="lv-LV"/>
        </w:rPr>
        <w:footnoteReference w:id="14"/>
      </w:r>
      <w:r w:rsidRPr="00E2189D">
        <w:rPr>
          <w:lang w:val="lv-LV"/>
        </w:rPr>
        <w:t xml:space="preserve"> – vien 0,8%.</w:t>
      </w:r>
    </w:p>
    <w:p w14:paraId="2104FDDB" w14:textId="5F238D2D" w:rsidR="00F127C4" w:rsidRDefault="00F127C4" w:rsidP="00EC4FA8">
      <w:pPr>
        <w:rPr>
          <w:lang w:val="lv-LV"/>
        </w:rPr>
      </w:pPr>
      <w:r w:rsidRPr="00595533">
        <w:rPr>
          <w:lang w:val="lv-LV"/>
        </w:rPr>
        <w:t xml:space="preserve">Uzņēmējdarbības vides izmaiņu novērtējumam NAP2020 kā indikatorrādītāji </w:t>
      </w:r>
      <w:r w:rsidR="00154EF3" w:rsidRPr="00595533">
        <w:rPr>
          <w:lang w:val="lv-LV"/>
        </w:rPr>
        <w:t xml:space="preserve">pamatā </w:t>
      </w:r>
      <w:r w:rsidRPr="00595533">
        <w:rPr>
          <w:lang w:val="lv-LV"/>
        </w:rPr>
        <w:t>paredzēti vairāki starptautisk</w:t>
      </w:r>
      <w:r w:rsidR="005C3701" w:rsidRPr="00595533">
        <w:rPr>
          <w:lang w:val="lv-LV"/>
        </w:rPr>
        <w:t>u institūciju</w:t>
      </w:r>
      <w:r w:rsidRPr="00595533">
        <w:rPr>
          <w:lang w:val="lv-LV"/>
        </w:rPr>
        <w:t xml:space="preserve"> </w:t>
      </w:r>
      <w:r w:rsidR="005C3701" w:rsidRPr="00595533">
        <w:rPr>
          <w:lang w:val="lv-LV"/>
        </w:rPr>
        <w:t>izstrādāti</w:t>
      </w:r>
      <w:r w:rsidRPr="00595533">
        <w:rPr>
          <w:lang w:val="lv-LV"/>
        </w:rPr>
        <w:t xml:space="preserve"> </w:t>
      </w:r>
      <w:r w:rsidR="00154EF3" w:rsidRPr="00595533">
        <w:rPr>
          <w:lang w:val="lv-LV"/>
        </w:rPr>
        <w:t xml:space="preserve">uzņēmējdarbību, konkurētspēju, publisko pārvaldi un korupciju raksturojoši </w:t>
      </w:r>
      <w:r w:rsidRPr="00595533">
        <w:rPr>
          <w:lang w:val="lv-LV"/>
        </w:rPr>
        <w:t>indeksi</w:t>
      </w:r>
      <w:r w:rsidR="00154EF3" w:rsidRPr="00595533">
        <w:rPr>
          <w:lang w:val="lv-LV"/>
        </w:rPr>
        <w:t xml:space="preserve">. </w:t>
      </w:r>
      <w:r w:rsidR="002E32D0" w:rsidRPr="00595533">
        <w:rPr>
          <w:lang w:val="lv-LV"/>
        </w:rPr>
        <w:t xml:space="preserve">Rādītāju analīze liecina par kopumā pozitīvām izmaiņām un uzņēmējdarbības vides uzlabošanos, jo </w:t>
      </w:r>
      <w:r w:rsidR="00245A19" w:rsidRPr="00595533">
        <w:rPr>
          <w:lang w:val="lv-LV"/>
        </w:rPr>
        <w:t xml:space="preserve">Latvijas vieta </w:t>
      </w:r>
      <w:r w:rsidR="002E32D0" w:rsidRPr="00595533">
        <w:rPr>
          <w:lang w:val="lv-LV"/>
        </w:rPr>
        <w:t>gan “Doing Business” indeks</w:t>
      </w:r>
      <w:r w:rsidR="00245A19" w:rsidRPr="00595533">
        <w:rPr>
          <w:lang w:val="lv-LV"/>
        </w:rPr>
        <w:t>ā</w:t>
      </w:r>
      <w:r w:rsidR="002E32D0" w:rsidRPr="00595533">
        <w:rPr>
          <w:lang w:val="lv-LV"/>
        </w:rPr>
        <w:t xml:space="preserve">, kas atspoguļo to, cik vienkārši ir uzsākt un turpināt uzņēmējdarbību valstī, gan arī Globālās konkurētspējas </w:t>
      </w:r>
      <w:r w:rsidR="00245A19" w:rsidRPr="00595533">
        <w:rPr>
          <w:lang w:val="lv-LV"/>
        </w:rPr>
        <w:t>indeksā, Valsts pārvaldes darbības efektivitātes indeksā un Korupcijas uztv</w:t>
      </w:r>
      <w:r w:rsidR="00477FDD" w:rsidRPr="00595533">
        <w:rPr>
          <w:lang w:val="lv-LV"/>
        </w:rPr>
        <w:t xml:space="preserve">eres indeksā ir augusi, apsteidzot NAP2020 prognozes 2017. gadam. </w:t>
      </w:r>
      <w:r w:rsidR="007252A5" w:rsidRPr="00595533">
        <w:rPr>
          <w:lang w:val="lv-LV"/>
        </w:rPr>
        <w:t>Tāpat pozitīvas, NAP2020 pr</w:t>
      </w:r>
      <w:r w:rsidR="001F7DB8" w:rsidRPr="00595533">
        <w:rPr>
          <w:lang w:val="lv-LV"/>
        </w:rPr>
        <w:t>o</w:t>
      </w:r>
      <w:r w:rsidR="007252A5" w:rsidRPr="00595533">
        <w:rPr>
          <w:lang w:val="lv-LV"/>
        </w:rPr>
        <w:t>gnozēm atbilstošas izmaiņas vērojamas arī rādītājā par civillietu izskatīšanas ilgumu pirmās instances tiesās</w:t>
      </w:r>
      <w:r w:rsidR="001F7DB8" w:rsidRPr="00595533">
        <w:rPr>
          <w:lang w:val="lv-LV"/>
        </w:rPr>
        <w:t xml:space="preserve">. Tomēr </w:t>
      </w:r>
      <w:r w:rsidR="007252A5" w:rsidRPr="00595533">
        <w:rPr>
          <w:lang w:val="lv-LV"/>
        </w:rPr>
        <w:t xml:space="preserve">jāatzīmē, ka </w:t>
      </w:r>
      <w:r w:rsidR="001F7DB8" w:rsidRPr="00595533">
        <w:rPr>
          <w:lang w:val="lv-LV"/>
        </w:rPr>
        <w:t>Latvijas rangs</w:t>
      </w:r>
      <w:r w:rsidR="007252A5" w:rsidRPr="00595533">
        <w:rPr>
          <w:lang w:val="lv-LV"/>
        </w:rPr>
        <w:t xml:space="preserve"> Globālās konkurētspējas indeksā </w:t>
      </w:r>
      <w:r w:rsidR="001F7DB8" w:rsidRPr="00595533">
        <w:rPr>
          <w:lang w:val="lv-LV"/>
        </w:rPr>
        <w:t xml:space="preserve">pēdējo divu gadu laikā nav bijis stabils un </w:t>
      </w:r>
      <w:r w:rsidR="00EF6D29" w:rsidRPr="00595533">
        <w:rPr>
          <w:lang w:val="lv-LV"/>
        </w:rPr>
        <w:t xml:space="preserve">atšķirībā no Igaunijas un Lietuvas tajā ir vērojams samazinājums par septiņām vietām. </w:t>
      </w:r>
      <w:r w:rsidR="00D233F4" w:rsidRPr="00595533">
        <w:rPr>
          <w:lang w:val="lv-LV"/>
        </w:rPr>
        <w:t>Samazinājumu lielā mērā ietekmējis uzņēmēju vērtējums par tiesiskā regulējuma efektivitāti</w:t>
      </w:r>
      <w:r w:rsidR="0074153E" w:rsidRPr="00595533">
        <w:rPr>
          <w:lang w:val="lv-LV"/>
        </w:rPr>
        <w:t xml:space="preserve"> valstī, ceļu kvalitāti</w:t>
      </w:r>
      <w:r w:rsidR="00D233F4" w:rsidRPr="00595533">
        <w:rPr>
          <w:lang w:val="lv-LV"/>
        </w:rPr>
        <w:t>, zinātnieku un inženieru pieejamību, augsto tehnoloģiju produktu iepirkumu no valsts puses</w:t>
      </w:r>
      <w:r w:rsidR="00012BD6" w:rsidRPr="00595533">
        <w:rPr>
          <w:lang w:val="lv-LV"/>
        </w:rPr>
        <w:t>, kā arī valsts spēja piesaistīt un noturēt talantus un ar nodokļu sistēmas palīdzību motivēt strādājošos.</w:t>
      </w:r>
    </w:p>
    <w:p w14:paraId="6797F097" w14:textId="77777777" w:rsidR="00401F68" w:rsidRPr="00595533" w:rsidRDefault="00401F68" w:rsidP="00EC4FA8">
      <w:pPr>
        <w:rPr>
          <w:lang w:val="lv-LV"/>
        </w:rPr>
      </w:pPr>
    </w:p>
    <w:p w14:paraId="3D4322FC" w14:textId="6EDDA6B2" w:rsidR="00097862" w:rsidRPr="00595533" w:rsidRDefault="002B6DDB" w:rsidP="00097862">
      <w:pPr>
        <w:pStyle w:val="attelunosaukums"/>
      </w:pPr>
      <w:r>
        <w:lastRenderedPageBreak/>
        <w:t>13</w:t>
      </w:r>
      <w:r w:rsidR="00097862" w:rsidRPr="00595533">
        <w:t xml:space="preserve">. attēls.  Globālās konkurētspējas indekss </w:t>
      </w:r>
    </w:p>
    <w:p w14:paraId="4EC21886" w14:textId="7B1D1EA1" w:rsidR="00632F1C" w:rsidRPr="00595533" w:rsidRDefault="00AE1D77" w:rsidP="00EC4FA8">
      <w:pPr>
        <w:rPr>
          <w:lang w:val="lv-LV"/>
        </w:rPr>
      </w:pPr>
      <w:r>
        <w:rPr>
          <w:noProof/>
          <w:lang w:val="lv-LV" w:eastAsia="lv-LV"/>
        </w:rPr>
        <w:drawing>
          <wp:inline distT="0" distB="0" distL="0" distR="0" wp14:anchorId="272D11DB" wp14:editId="08BA83C5">
            <wp:extent cx="4269850" cy="236948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4A33E0" w14:textId="77777777" w:rsidR="0080629C" w:rsidRDefault="0080629C" w:rsidP="002B6DDB">
      <w:pPr>
        <w:pStyle w:val="Piezme"/>
      </w:pPr>
    </w:p>
    <w:p w14:paraId="7DC57344" w14:textId="2C434BD9" w:rsidR="00157E0D" w:rsidRPr="00595533" w:rsidRDefault="00A359BF" w:rsidP="00EC4FA8">
      <w:pPr>
        <w:rPr>
          <w:lang w:val="lv-LV"/>
        </w:rPr>
      </w:pPr>
      <w:r w:rsidRPr="00595533">
        <w:rPr>
          <w:lang w:val="lv-LV"/>
        </w:rPr>
        <w:t>Turpretim v</w:t>
      </w:r>
      <w:r w:rsidR="006D42E1" w:rsidRPr="00595533">
        <w:rPr>
          <w:lang w:val="lv-LV"/>
        </w:rPr>
        <w:t>ērtējot transporta un tranzīta infrastruktūras attīstību pēdējo gadu laikā, kā arī Latvijas starpt</w:t>
      </w:r>
      <w:r w:rsidR="00F35AE9" w:rsidRPr="00595533">
        <w:rPr>
          <w:lang w:val="lv-LV"/>
        </w:rPr>
        <w:t xml:space="preserve">autisko sasniedzamību, jāatzīmē, ka pretēji plānotajam pasažieru skaits starptautiskajā dzelzceļa transportā un apkalpoto pasažieru skaits Rīgas ostā pēdējo gadu laikā ir būtiski samazinājies. Ja </w:t>
      </w:r>
      <w:r w:rsidR="00CC139E" w:rsidRPr="00595533">
        <w:rPr>
          <w:lang w:val="lv-LV"/>
        </w:rPr>
        <w:t>2013.</w:t>
      </w:r>
      <w:r w:rsidR="002F57D8" w:rsidRPr="00595533">
        <w:rPr>
          <w:lang w:val="lv-LV"/>
        </w:rPr>
        <w:t> </w:t>
      </w:r>
      <w:r w:rsidR="00CC139E" w:rsidRPr="00595533">
        <w:rPr>
          <w:lang w:val="lv-LV"/>
        </w:rPr>
        <w:t>gadā starptautiskais dzelzceļš apkalpoja 360 tūkstošus pasažieru, tad 2016.</w:t>
      </w:r>
      <w:r w:rsidR="002F57D8" w:rsidRPr="00595533">
        <w:rPr>
          <w:lang w:val="lv-LV"/>
        </w:rPr>
        <w:t> </w:t>
      </w:r>
      <w:r w:rsidR="00CC139E" w:rsidRPr="00595533">
        <w:rPr>
          <w:lang w:val="lv-LV"/>
        </w:rPr>
        <w:t>gadā šis skaits ir uz pusi mazāks, proti, 157,1 tūkstoši.</w:t>
      </w:r>
      <w:r w:rsidR="00731B25" w:rsidRPr="00595533">
        <w:rPr>
          <w:lang w:val="lv-LV"/>
        </w:rPr>
        <w:t xml:space="preserve"> Savukārt pasažieru skaits Rīgas ostā pēdējo trīs gadu laikā samazinājies par trešdaļu – no 838 tūkstošiem apkalpotu pasažieru 2013.</w:t>
      </w:r>
      <w:r w:rsidR="00CA2CBA" w:rsidRPr="00595533">
        <w:rPr>
          <w:lang w:val="lv-LV"/>
        </w:rPr>
        <w:t> </w:t>
      </w:r>
      <w:r w:rsidR="00731B25" w:rsidRPr="00595533">
        <w:rPr>
          <w:lang w:val="lv-LV"/>
        </w:rPr>
        <w:t>gadā līdz 582 tūkstošiem 2016.</w:t>
      </w:r>
      <w:r w:rsidR="00CA2CBA" w:rsidRPr="00595533">
        <w:rPr>
          <w:lang w:val="lv-LV"/>
        </w:rPr>
        <w:t> </w:t>
      </w:r>
      <w:r w:rsidR="00731B25" w:rsidRPr="00595533">
        <w:rPr>
          <w:lang w:val="lv-LV"/>
        </w:rPr>
        <w:t>gadā. Tiesa, šajā periodā nedaudz ir audzis ar kruīza kuģiem iebra</w:t>
      </w:r>
      <w:r w:rsidR="00860C9F">
        <w:rPr>
          <w:lang w:val="lv-LV"/>
        </w:rPr>
        <w:t>ukušo pasažieru skaits, tomēr ši</w:t>
      </w:r>
      <w:r w:rsidR="00731B25" w:rsidRPr="00595533">
        <w:rPr>
          <w:lang w:val="lv-LV"/>
        </w:rPr>
        <w:t xml:space="preserve">s pieaugums ir nebūtisks salīdzinājumā ar </w:t>
      </w:r>
      <w:r w:rsidR="006B0C02" w:rsidRPr="00595533">
        <w:rPr>
          <w:lang w:val="lv-LV"/>
        </w:rPr>
        <w:t>pasažieru plūs</w:t>
      </w:r>
      <w:r w:rsidR="00157E0D" w:rsidRPr="00595533">
        <w:rPr>
          <w:lang w:val="lv-LV"/>
        </w:rPr>
        <w:t>mas samazinājumu prāmju līnijā.</w:t>
      </w:r>
    </w:p>
    <w:p w14:paraId="7303DCE0" w14:textId="09A994A9" w:rsidR="00097862" w:rsidRPr="00595533" w:rsidRDefault="002B6DDB" w:rsidP="00097862">
      <w:pPr>
        <w:pStyle w:val="attelunosaukums"/>
      </w:pPr>
      <w:r>
        <w:t>14</w:t>
      </w:r>
      <w:r w:rsidR="00097862" w:rsidRPr="00595533">
        <w:t>. attēls.  Kravu apgrozījuma tendences Latvijas ostās</w:t>
      </w:r>
    </w:p>
    <w:p w14:paraId="6BB50A6A" w14:textId="37051CF4" w:rsidR="0080629C" w:rsidRDefault="0080629C" w:rsidP="00EC4FA8">
      <w:pPr>
        <w:rPr>
          <w:lang w:val="lv-LV"/>
        </w:rPr>
      </w:pPr>
      <w:r>
        <w:rPr>
          <w:noProof/>
          <w:lang w:val="lv-LV" w:eastAsia="lv-LV"/>
        </w:rPr>
        <w:drawing>
          <wp:inline distT="0" distB="0" distL="0" distR="0" wp14:anchorId="5A347D74" wp14:editId="6D9FBB43">
            <wp:extent cx="4659464" cy="2409245"/>
            <wp:effectExtent l="0" t="0" r="825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56B79E" w14:textId="77777777" w:rsidR="0080629C" w:rsidRDefault="0080629C" w:rsidP="00EC4FA8">
      <w:pPr>
        <w:rPr>
          <w:lang w:val="lv-LV"/>
        </w:rPr>
      </w:pPr>
    </w:p>
    <w:p w14:paraId="3D0C75D6" w14:textId="23057B3F" w:rsidR="00157E0D" w:rsidRPr="00595533" w:rsidRDefault="00157E0D" w:rsidP="00EC4FA8">
      <w:pPr>
        <w:rPr>
          <w:lang w:val="lv-LV"/>
        </w:rPr>
      </w:pPr>
      <w:r w:rsidRPr="00595533">
        <w:rPr>
          <w:lang w:val="lv-LV"/>
        </w:rPr>
        <w:t xml:space="preserve">Tāpat </w:t>
      </w:r>
      <w:r w:rsidR="00415198" w:rsidRPr="00595533">
        <w:rPr>
          <w:lang w:val="lv-LV"/>
        </w:rPr>
        <w:t>kopš 2014.</w:t>
      </w:r>
      <w:r w:rsidR="00942F64" w:rsidRPr="00595533">
        <w:rPr>
          <w:lang w:val="lv-LV"/>
        </w:rPr>
        <w:t> </w:t>
      </w:r>
      <w:r w:rsidR="00415198" w:rsidRPr="00595533">
        <w:rPr>
          <w:lang w:val="lv-LV"/>
        </w:rPr>
        <w:t>gada pretēji prognozēm par 15% samazinājies kravu apgrozījums Latvij</w:t>
      </w:r>
      <w:r w:rsidR="00981C8F" w:rsidRPr="00595533">
        <w:rPr>
          <w:lang w:val="lv-LV"/>
        </w:rPr>
        <w:t xml:space="preserve">as ostās, kas visticamāk liegs sasniegt NAP2020 nospraustos mērķus. Šīs izmaiņas lielā mērā skaidrojamas ar nosūtīto kravu apjoma </w:t>
      </w:r>
      <w:r w:rsidR="0033372B" w:rsidRPr="00595533">
        <w:rPr>
          <w:lang w:val="lv-LV"/>
        </w:rPr>
        <w:t>samazinājumu</w:t>
      </w:r>
      <w:r w:rsidR="0024352B" w:rsidRPr="00595533">
        <w:rPr>
          <w:lang w:val="lv-LV"/>
        </w:rPr>
        <w:t xml:space="preserve"> Ventspils ostā</w:t>
      </w:r>
      <w:r w:rsidR="0033372B" w:rsidRPr="00595533">
        <w:rPr>
          <w:lang w:val="lv-LV"/>
        </w:rPr>
        <w:t>, proti, no šīs ostas nosūtīto kravu apjoms 2016. gadā ir samazinājies par 28% attiecībā pret 2014.</w:t>
      </w:r>
      <w:r w:rsidR="00942F64" w:rsidRPr="00595533">
        <w:rPr>
          <w:lang w:val="lv-LV"/>
        </w:rPr>
        <w:t> </w:t>
      </w:r>
      <w:r w:rsidR="0033372B" w:rsidRPr="00595533">
        <w:rPr>
          <w:lang w:val="lv-LV"/>
        </w:rPr>
        <w:t xml:space="preserve">gadu. </w:t>
      </w:r>
      <w:r w:rsidR="003F4EDF" w:rsidRPr="00595533">
        <w:rPr>
          <w:lang w:val="lv-LV"/>
        </w:rPr>
        <w:t>Samazinājums</w:t>
      </w:r>
      <w:r w:rsidR="0033372B" w:rsidRPr="00595533">
        <w:rPr>
          <w:lang w:val="lv-LV"/>
        </w:rPr>
        <w:t xml:space="preserve"> nosūtīt</w:t>
      </w:r>
      <w:r w:rsidR="00CA2CBA" w:rsidRPr="00595533">
        <w:rPr>
          <w:lang w:val="lv-LV"/>
        </w:rPr>
        <w:t>o</w:t>
      </w:r>
      <w:r w:rsidR="0033372B" w:rsidRPr="00595533">
        <w:rPr>
          <w:lang w:val="lv-LV"/>
        </w:rPr>
        <w:t xml:space="preserve"> krav</w:t>
      </w:r>
      <w:r w:rsidR="00CA2CBA" w:rsidRPr="00595533">
        <w:rPr>
          <w:lang w:val="lv-LV"/>
        </w:rPr>
        <w:t>u</w:t>
      </w:r>
      <w:r w:rsidR="0033372B" w:rsidRPr="00595533">
        <w:rPr>
          <w:lang w:val="lv-LV"/>
        </w:rPr>
        <w:t xml:space="preserve"> apjomā vērojamas arī </w:t>
      </w:r>
      <w:r w:rsidR="003F4EDF" w:rsidRPr="00595533">
        <w:rPr>
          <w:lang w:val="lv-LV"/>
        </w:rPr>
        <w:t xml:space="preserve">Rīgas ostā, taču šīs izmaiņas nav tik </w:t>
      </w:r>
      <w:r w:rsidR="00CA2CBA" w:rsidRPr="00595533">
        <w:rPr>
          <w:lang w:val="lv-LV"/>
        </w:rPr>
        <w:t>nozīmīgas</w:t>
      </w:r>
      <w:r w:rsidR="00942F64" w:rsidRPr="00595533">
        <w:rPr>
          <w:lang w:val="lv-LV"/>
        </w:rPr>
        <w:t xml:space="preserve"> un veido astoņus procentus attiecībā pret 2014. gadu.</w:t>
      </w:r>
    </w:p>
    <w:p w14:paraId="380F12B0" w14:textId="72D4D8A8" w:rsidR="0074153E" w:rsidRPr="00595533" w:rsidRDefault="006B0C02" w:rsidP="00EC4FA8">
      <w:pPr>
        <w:rPr>
          <w:lang w:val="lv-LV"/>
        </w:rPr>
      </w:pPr>
      <w:r w:rsidRPr="00595533">
        <w:rPr>
          <w:lang w:val="lv-LV"/>
        </w:rPr>
        <w:lastRenderedPageBreak/>
        <w:t xml:space="preserve">Vienlaikus neliels, bet stabils pieaugums ir vērojams lidostas “Rīga” </w:t>
      </w:r>
      <w:r w:rsidR="00942F64" w:rsidRPr="00595533">
        <w:rPr>
          <w:lang w:val="lv-LV"/>
        </w:rPr>
        <w:t>pasažieru apgrozībā </w:t>
      </w:r>
      <w:r w:rsidR="00157E0D" w:rsidRPr="00595533">
        <w:rPr>
          <w:lang w:val="lv-LV"/>
        </w:rPr>
        <w:t>– pēdējo gadu laikā apkalpoto pasažieru skaits lidostā ir audzis par pieciem līdz septiņiem procentiem attiecībā pret iepriekšējo gadu</w:t>
      </w:r>
      <w:r w:rsidR="00942F64" w:rsidRPr="00595533">
        <w:rPr>
          <w:lang w:val="lv-LV"/>
        </w:rPr>
        <w:t>, taču kontekstā ar pasažieru skaita izmaiņām dzelzceļa transportā un ostā</w:t>
      </w:r>
      <w:r w:rsidR="00A359BF" w:rsidRPr="00595533">
        <w:rPr>
          <w:lang w:val="lv-LV"/>
        </w:rPr>
        <w:t xml:space="preserve"> šis pieaugums nerada pārliecību, ka Latvijas starptautiskā sasniedzamība ir uzlabojusies.</w:t>
      </w:r>
    </w:p>
    <w:p w14:paraId="277B4502" w14:textId="48C5D57C" w:rsidR="006E6342" w:rsidRPr="00595533" w:rsidRDefault="00EE77B5" w:rsidP="00EC4FA8">
      <w:pPr>
        <w:rPr>
          <w:lang w:val="lv-LV"/>
        </w:rPr>
      </w:pPr>
      <w:r w:rsidRPr="00595533">
        <w:rPr>
          <w:lang w:val="lv-LV"/>
        </w:rPr>
        <w:t>Vērtējot progresu rīcības virziena nosprausto mērķu sasniegšanā, vairums viedo</w:t>
      </w:r>
      <w:r w:rsidR="00F54EA4" w:rsidRPr="00595533">
        <w:rPr>
          <w:lang w:val="lv-LV"/>
        </w:rPr>
        <w:t>kļu līderu atzinuši, ka virzība, lai izveidotu izcilu</w:t>
      </w:r>
      <w:r w:rsidRPr="00595533">
        <w:rPr>
          <w:lang w:val="lv-LV"/>
        </w:rPr>
        <w:t xml:space="preserve"> uzņēmējdarbības vid</w:t>
      </w:r>
      <w:r w:rsidR="00F54EA4" w:rsidRPr="00595533">
        <w:rPr>
          <w:lang w:val="lv-LV"/>
        </w:rPr>
        <w:t>i,</w:t>
      </w:r>
      <w:r w:rsidRPr="00595533">
        <w:rPr>
          <w:lang w:val="lv-LV"/>
        </w:rPr>
        <w:t xml:space="preserve"> līdz šim nav sekmējusies, proti, </w:t>
      </w:r>
      <w:r w:rsidR="00F54EA4" w:rsidRPr="00595533">
        <w:rPr>
          <w:lang w:val="lv-LV"/>
        </w:rPr>
        <w:t>trīs ceturtdaļas</w:t>
      </w:r>
      <w:r w:rsidR="001829AD" w:rsidRPr="00595533">
        <w:rPr>
          <w:lang w:val="lv-LV"/>
        </w:rPr>
        <w:t xml:space="preserve"> (</w:t>
      </w:r>
      <w:r w:rsidR="00F54EA4" w:rsidRPr="00595533">
        <w:rPr>
          <w:lang w:val="lv-LV"/>
        </w:rPr>
        <w:t>75</w:t>
      </w:r>
      <w:r w:rsidR="001829AD" w:rsidRPr="00595533">
        <w:rPr>
          <w:lang w:val="lv-LV"/>
        </w:rPr>
        <w:t xml:space="preserve">%) </w:t>
      </w:r>
      <w:r w:rsidR="00F54EA4" w:rsidRPr="00595533">
        <w:rPr>
          <w:lang w:val="lv-LV"/>
        </w:rPr>
        <w:t>uzskata</w:t>
      </w:r>
      <w:r w:rsidR="001829AD" w:rsidRPr="00595533">
        <w:rPr>
          <w:lang w:val="lv-LV"/>
        </w:rPr>
        <w:t xml:space="preserve">, ka progress </w:t>
      </w:r>
      <w:r w:rsidR="00F54EA4" w:rsidRPr="00595533">
        <w:rPr>
          <w:lang w:val="lv-LV"/>
        </w:rPr>
        <w:t>bijis</w:t>
      </w:r>
      <w:r w:rsidR="001829AD" w:rsidRPr="00595533">
        <w:rPr>
          <w:lang w:val="lv-LV"/>
        </w:rPr>
        <w:t xml:space="preserve"> </w:t>
      </w:r>
      <w:r w:rsidR="00F54EA4" w:rsidRPr="00595533">
        <w:rPr>
          <w:lang w:val="lv-LV"/>
        </w:rPr>
        <w:t xml:space="preserve">nesekmīgs vai </w:t>
      </w:r>
      <w:r w:rsidR="00425F23" w:rsidRPr="00595533">
        <w:rPr>
          <w:lang w:val="lv-LV"/>
        </w:rPr>
        <w:t xml:space="preserve">drīzāk </w:t>
      </w:r>
      <w:r w:rsidR="00F54EA4" w:rsidRPr="00595533">
        <w:rPr>
          <w:lang w:val="lv-LV"/>
        </w:rPr>
        <w:t xml:space="preserve">nesekmīgs. Pilnīgi citādi </w:t>
      </w:r>
      <w:r w:rsidR="00FE413C" w:rsidRPr="00595533">
        <w:rPr>
          <w:lang w:val="lv-LV"/>
        </w:rPr>
        <w:t xml:space="preserve">vērtēts otrais rīcības virziena mērķis. Vairums </w:t>
      </w:r>
      <w:r w:rsidR="00CA2CBA" w:rsidRPr="00595533">
        <w:rPr>
          <w:lang w:val="lv-LV"/>
        </w:rPr>
        <w:t>ekspertu</w:t>
      </w:r>
      <w:r w:rsidR="00FE413C" w:rsidRPr="00595533">
        <w:rPr>
          <w:lang w:val="lv-LV"/>
        </w:rPr>
        <w:t xml:space="preserve"> </w:t>
      </w:r>
      <w:r w:rsidR="00425F23" w:rsidRPr="00595533">
        <w:rPr>
          <w:lang w:val="lv-LV"/>
        </w:rPr>
        <w:t>atzinuši</w:t>
      </w:r>
      <w:r w:rsidR="00FE413C" w:rsidRPr="00595533">
        <w:rPr>
          <w:lang w:val="lv-LV"/>
        </w:rPr>
        <w:t>, ka mērķis uzlabot Latvijas starptautisko sasniedza</w:t>
      </w:r>
      <w:r w:rsidR="003D04C0" w:rsidRPr="00595533">
        <w:rPr>
          <w:lang w:val="lv-LV"/>
        </w:rPr>
        <w:t>mību tiek veiksmīgi īstenots</w:t>
      </w:r>
      <w:r w:rsidR="00CA2CBA" w:rsidRPr="00595533">
        <w:rPr>
          <w:lang w:val="lv-LV"/>
        </w:rPr>
        <w:t> </w:t>
      </w:r>
      <w:r w:rsidR="003D04C0" w:rsidRPr="00595533">
        <w:rPr>
          <w:lang w:val="lv-LV"/>
        </w:rPr>
        <w:t xml:space="preserve">– </w:t>
      </w:r>
      <w:r w:rsidR="00FE413C" w:rsidRPr="00595533">
        <w:rPr>
          <w:lang w:val="lv-LV"/>
        </w:rPr>
        <w:t xml:space="preserve">61% aptaujāto progresu </w:t>
      </w:r>
      <w:r w:rsidR="00E04CA9" w:rsidRPr="00595533">
        <w:rPr>
          <w:lang w:val="lv-LV"/>
        </w:rPr>
        <w:t xml:space="preserve">novērtējuši kā sekmīgu vai drīzāk sekmīgu. Kopumā tikai ceturtā daļa viedokļu līderu (26%) domā, ka virzība </w:t>
      </w:r>
      <w:r w:rsidR="003D04C0" w:rsidRPr="00595533">
        <w:rPr>
          <w:lang w:val="lv-LV"/>
        </w:rPr>
        <w:t>šī</w:t>
      </w:r>
      <w:r w:rsidR="00E04CA9" w:rsidRPr="00595533">
        <w:rPr>
          <w:lang w:val="lv-LV"/>
        </w:rPr>
        <w:t xml:space="preserve"> mērķa sasniegšan</w:t>
      </w:r>
      <w:r w:rsidR="003D04C0" w:rsidRPr="00595533">
        <w:rPr>
          <w:lang w:val="lv-LV"/>
        </w:rPr>
        <w:t>ā</w:t>
      </w:r>
      <w:r w:rsidR="00E04CA9" w:rsidRPr="00595533">
        <w:rPr>
          <w:lang w:val="lv-LV"/>
        </w:rPr>
        <w:t xml:space="preserve"> ir drīzāk nesekmīga, bet vēl 6% to raksturo kā nesekmīgu.</w:t>
      </w:r>
    </w:p>
    <w:p w14:paraId="1BF526D5" w14:textId="775DF946" w:rsidR="00E35686" w:rsidRPr="00595533" w:rsidRDefault="00E35686" w:rsidP="00EC4FA8">
      <w:pPr>
        <w:rPr>
          <w:lang w:val="lv-LV"/>
        </w:rPr>
      </w:pPr>
      <w:r w:rsidRPr="00595533">
        <w:rPr>
          <w:lang w:val="lv-LV"/>
        </w:rPr>
        <w:t xml:space="preserve">Kā galvenos </w:t>
      </w:r>
      <w:r w:rsidR="00882730" w:rsidRPr="00595533">
        <w:rPr>
          <w:lang w:val="lv-LV"/>
        </w:rPr>
        <w:t>faktorus, kas negatīvi ietekmē</w:t>
      </w:r>
      <w:r w:rsidRPr="00595533">
        <w:rPr>
          <w:lang w:val="lv-LV"/>
        </w:rPr>
        <w:t xml:space="preserve"> uzņēmējdarbīb</w:t>
      </w:r>
      <w:r w:rsidR="00882730" w:rsidRPr="00595533">
        <w:rPr>
          <w:lang w:val="lv-LV"/>
        </w:rPr>
        <w:t>as vidi</w:t>
      </w:r>
      <w:r w:rsidRPr="00595533">
        <w:rPr>
          <w:lang w:val="lv-LV"/>
        </w:rPr>
        <w:t>, viedokļu līderi nosaukuši</w:t>
      </w:r>
      <w:r w:rsidR="00675145" w:rsidRPr="00595533">
        <w:rPr>
          <w:lang w:val="lv-LV"/>
        </w:rPr>
        <w:t xml:space="preserve"> šādus</w:t>
      </w:r>
      <w:r w:rsidRPr="00595533">
        <w:rPr>
          <w:lang w:val="lv-LV"/>
        </w:rPr>
        <w:t>:</w:t>
      </w:r>
    </w:p>
    <w:p w14:paraId="5A48DDA4" w14:textId="56C6E815" w:rsidR="00E35686" w:rsidRPr="00595533" w:rsidRDefault="00E35686" w:rsidP="00E35686">
      <w:pPr>
        <w:pStyle w:val="ListParagraph"/>
        <w:numPr>
          <w:ilvl w:val="0"/>
          <w:numId w:val="3"/>
        </w:numPr>
        <w:rPr>
          <w:lang w:val="lv-LV"/>
        </w:rPr>
      </w:pPr>
      <w:r w:rsidRPr="00595533">
        <w:rPr>
          <w:lang w:val="lv-LV"/>
        </w:rPr>
        <w:t xml:space="preserve">Nodokļu </w:t>
      </w:r>
      <w:r w:rsidR="00882730" w:rsidRPr="00595533">
        <w:rPr>
          <w:lang w:val="lv-LV"/>
        </w:rPr>
        <w:t>politikas un likumdošanas mainīb</w:t>
      </w:r>
      <w:r w:rsidR="00675145" w:rsidRPr="00595533">
        <w:rPr>
          <w:lang w:val="lv-LV"/>
        </w:rPr>
        <w:t>a</w:t>
      </w:r>
      <w:r w:rsidR="00882730" w:rsidRPr="00595533">
        <w:rPr>
          <w:lang w:val="lv-LV"/>
        </w:rPr>
        <w:t xml:space="preserve">, kā arī </w:t>
      </w:r>
      <w:r w:rsidR="00675145" w:rsidRPr="00595533">
        <w:rPr>
          <w:lang w:val="lv-LV"/>
        </w:rPr>
        <w:t xml:space="preserve">normatīvais, </w:t>
      </w:r>
      <w:r w:rsidR="00882730" w:rsidRPr="00595533">
        <w:rPr>
          <w:lang w:val="lv-LV"/>
        </w:rPr>
        <w:t>birokrātisk</w:t>
      </w:r>
      <w:r w:rsidR="00675145" w:rsidRPr="00595533">
        <w:rPr>
          <w:lang w:val="lv-LV"/>
        </w:rPr>
        <w:t>ais un administratīvais</w:t>
      </w:r>
      <w:r w:rsidR="00882730" w:rsidRPr="00595533">
        <w:rPr>
          <w:lang w:val="lv-LV"/>
        </w:rPr>
        <w:t xml:space="preserve"> slog</w:t>
      </w:r>
      <w:r w:rsidR="00675145" w:rsidRPr="00595533">
        <w:rPr>
          <w:lang w:val="lv-LV"/>
        </w:rPr>
        <w:t>s</w:t>
      </w:r>
      <w:r w:rsidR="006A7DE4" w:rsidRPr="00595533">
        <w:rPr>
          <w:lang w:val="lv-LV"/>
        </w:rPr>
        <w:t xml:space="preserve"> uzņēmējdarbībai;</w:t>
      </w:r>
    </w:p>
    <w:p w14:paraId="3EB34919" w14:textId="141A84A8" w:rsidR="00A95F51" w:rsidRPr="00595533" w:rsidRDefault="00A95F51" w:rsidP="00FC471A">
      <w:pPr>
        <w:ind w:left="720"/>
        <w:rPr>
          <w:i/>
          <w:color w:val="374C80" w:themeColor="accent1" w:themeShade="BF"/>
          <w:lang w:val="lv-LV"/>
        </w:rPr>
      </w:pPr>
      <w:r w:rsidRPr="00595533">
        <w:rPr>
          <w:i/>
          <w:color w:val="374C80" w:themeColor="accent1" w:themeShade="BF"/>
          <w:lang w:val="lv-LV"/>
        </w:rPr>
        <w:t>“</w:t>
      </w:r>
      <w:r w:rsidR="00FC471A" w:rsidRPr="00595533">
        <w:rPr>
          <w:i/>
          <w:color w:val="374C80" w:themeColor="accent1" w:themeShade="BF"/>
          <w:lang w:val="lv-LV"/>
        </w:rPr>
        <w:t>Nemitīgās nodokļu likmju maiņas un jaunu ar nodokļi apliekamo objektu atrašana nekādi nenodrošina izcilu uzņēmējdarbības vidi. Bet pašas lielākās problēmas ir korupcija un tiesu sistēma, uz kuru joprojām nevar paļauties.”</w:t>
      </w:r>
    </w:p>
    <w:p w14:paraId="7BF9B1C2" w14:textId="0146B0E6" w:rsidR="00A95F51" w:rsidRPr="00595533" w:rsidRDefault="00A95F51" w:rsidP="00FC471A">
      <w:pPr>
        <w:ind w:left="720"/>
        <w:rPr>
          <w:i/>
          <w:color w:val="374C80" w:themeColor="accent1" w:themeShade="BF"/>
          <w:lang w:val="lv-LV"/>
        </w:rPr>
      </w:pPr>
      <w:r w:rsidRPr="00595533">
        <w:rPr>
          <w:i/>
          <w:color w:val="374C80" w:themeColor="accent1" w:themeShade="BF"/>
          <w:lang w:val="lv-LV"/>
        </w:rPr>
        <w:t>“</w:t>
      </w:r>
      <w:r w:rsidR="00FC471A" w:rsidRPr="00595533">
        <w:rPr>
          <w:i/>
          <w:color w:val="374C80" w:themeColor="accent1" w:themeShade="BF"/>
          <w:lang w:val="lv-LV"/>
        </w:rPr>
        <w:t>Ar katru gadu normatīvisms šo vidi padara ar vien nepievilcīgāku. Atsevišķi normatīvi pat būtu ierindojami joku slejās...ārpus valsts pārvaldes neizprotamā jomā.”</w:t>
      </w:r>
    </w:p>
    <w:p w14:paraId="64AC87B6" w14:textId="77777777" w:rsidR="00675145" w:rsidRPr="00595533" w:rsidRDefault="00675145" w:rsidP="00E35686">
      <w:pPr>
        <w:pStyle w:val="ListParagraph"/>
        <w:numPr>
          <w:ilvl w:val="0"/>
          <w:numId w:val="3"/>
        </w:numPr>
        <w:rPr>
          <w:lang w:val="lv-LV"/>
        </w:rPr>
      </w:pPr>
      <w:r w:rsidRPr="00595533">
        <w:rPr>
          <w:lang w:val="lv-LV"/>
        </w:rPr>
        <w:t>Ēnu ekonomika, korupcija</w:t>
      </w:r>
      <w:r w:rsidR="006A7DE4" w:rsidRPr="00595533">
        <w:rPr>
          <w:lang w:val="lv-LV"/>
        </w:rPr>
        <w:t xml:space="preserve"> </w:t>
      </w:r>
      <w:r w:rsidRPr="00595533">
        <w:rPr>
          <w:lang w:val="lv-LV"/>
        </w:rPr>
        <w:t>un tiesiskās vides nesakārtotība;</w:t>
      </w:r>
    </w:p>
    <w:p w14:paraId="305B7D83" w14:textId="594B65DF" w:rsidR="00A95F51" w:rsidRPr="00595533" w:rsidRDefault="00A95F51" w:rsidP="00FC471A">
      <w:pPr>
        <w:ind w:left="720"/>
        <w:rPr>
          <w:i/>
          <w:color w:val="374C80" w:themeColor="accent1" w:themeShade="BF"/>
          <w:lang w:val="lv-LV"/>
        </w:rPr>
      </w:pPr>
      <w:r w:rsidRPr="00595533">
        <w:rPr>
          <w:i/>
          <w:color w:val="374C80" w:themeColor="accent1" w:themeShade="BF"/>
          <w:lang w:val="lv-LV"/>
        </w:rPr>
        <w:t>“</w:t>
      </w:r>
      <w:r w:rsidR="00FC471A" w:rsidRPr="00595533">
        <w:rPr>
          <w:i/>
          <w:color w:val="374C80" w:themeColor="accent1" w:themeShade="BF"/>
          <w:lang w:val="lv-LV"/>
        </w:rPr>
        <w:t>Vāja valsts politika ēnu ekonomikas apkarošanas jomā, korupcija un pašu uzņēmēju gatavība biznesa jautājumus risināt ar koruptīvām metodēm.”</w:t>
      </w:r>
    </w:p>
    <w:p w14:paraId="77EDE0D4" w14:textId="0FAEC640" w:rsidR="006A7DE4" w:rsidRPr="00595533" w:rsidRDefault="00653395" w:rsidP="00E35686">
      <w:pPr>
        <w:pStyle w:val="ListParagraph"/>
        <w:numPr>
          <w:ilvl w:val="0"/>
          <w:numId w:val="3"/>
        </w:numPr>
        <w:rPr>
          <w:lang w:val="lv-LV"/>
        </w:rPr>
      </w:pPr>
      <w:r w:rsidRPr="00595533">
        <w:rPr>
          <w:lang w:val="lv-LV"/>
        </w:rPr>
        <w:t>Atbalsta un zināšanu trūkums pašvaldībās sadarbībai ar uzņēmējiem un investoru piesaistei.</w:t>
      </w:r>
    </w:p>
    <w:p w14:paraId="42AA05D6" w14:textId="3246E840" w:rsidR="00653395" w:rsidRPr="00595533" w:rsidRDefault="00A95F51" w:rsidP="00FC471A">
      <w:pPr>
        <w:ind w:left="720"/>
        <w:rPr>
          <w:i/>
          <w:color w:val="374C80" w:themeColor="accent1" w:themeShade="BF"/>
          <w:lang w:val="lv-LV"/>
        </w:rPr>
      </w:pPr>
      <w:r w:rsidRPr="00595533">
        <w:rPr>
          <w:i/>
          <w:color w:val="374C80" w:themeColor="accent1" w:themeShade="BF"/>
          <w:lang w:val="lv-LV"/>
        </w:rPr>
        <w:t>“</w:t>
      </w:r>
      <w:r w:rsidR="00FC471A" w:rsidRPr="00595533">
        <w:rPr>
          <w:i/>
          <w:color w:val="374C80" w:themeColor="accent1" w:themeShade="BF"/>
          <w:lang w:val="lv-LV"/>
        </w:rPr>
        <w:t>Iztrūkst prognozējama un pardomāta nodokļu, nav atbalstošas birokrātijas, nepietiekamas zināšanas un instrumenti pašvaldībās, lai sniegtu atbalstu un piesaistītu investīcijas.”</w:t>
      </w:r>
    </w:p>
    <w:p w14:paraId="7B81951B" w14:textId="01334CFF" w:rsidR="00A95F51" w:rsidRPr="00595533" w:rsidRDefault="0011421D" w:rsidP="00653395">
      <w:pPr>
        <w:rPr>
          <w:lang w:val="lv-LV"/>
        </w:rPr>
      </w:pPr>
      <w:r w:rsidRPr="00595533">
        <w:rPr>
          <w:lang w:val="lv-LV"/>
        </w:rPr>
        <w:t>Savukārt</w:t>
      </w:r>
      <w:r w:rsidR="003B635F" w:rsidRPr="00595533">
        <w:rPr>
          <w:lang w:val="lv-LV"/>
        </w:rPr>
        <w:t>,</w:t>
      </w:r>
      <w:r w:rsidRPr="00595533">
        <w:rPr>
          <w:lang w:val="lv-LV"/>
        </w:rPr>
        <w:t xml:space="preserve"> komentējot Latvijas starptautisko sasniedzamību, daļa viedokļu līderu bija vienisprātis, ka tā uzlabojama</w:t>
      </w:r>
      <w:r w:rsidR="00B077D0" w:rsidRPr="00595533">
        <w:rPr>
          <w:lang w:val="lv-LV"/>
        </w:rPr>
        <w:t>,</w:t>
      </w:r>
      <w:r w:rsidRPr="00595533">
        <w:rPr>
          <w:lang w:val="lv-LV"/>
        </w:rPr>
        <w:t xml:space="preserve"> </w:t>
      </w:r>
      <w:r w:rsidR="003A150A" w:rsidRPr="00595533">
        <w:rPr>
          <w:lang w:val="lv-LV"/>
        </w:rPr>
        <w:t>veiksmīgāk veidojot Latvijas valsts tēlu un reklamējot valsti kā tūrisma mērķi. Vienlaikus tika atzīts, ka nepiecie</w:t>
      </w:r>
      <w:r w:rsidR="00B077D0" w:rsidRPr="00595533">
        <w:rPr>
          <w:lang w:val="lv-LV"/>
        </w:rPr>
        <w:t>šama aktīvāka un uz rezultātu orientēta LIAA un diplomātiskā korpusa darbība, īpaši šobrīd ekonomiski aktīvākajos pasaules reģionos</w:t>
      </w:r>
      <w:r w:rsidR="003B635F" w:rsidRPr="00595533">
        <w:rPr>
          <w:lang w:val="lv-LV"/>
        </w:rPr>
        <w:t xml:space="preserve">. </w:t>
      </w:r>
      <w:r w:rsidR="00535177">
        <w:rPr>
          <w:lang w:val="lv-LV"/>
        </w:rPr>
        <w:t>Jāatzīmē, ka NAP2020 uzdevums, kurš paredz i</w:t>
      </w:r>
      <w:r w:rsidR="00535177" w:rsidRPr="00216012">
        <w:rPr>
          <w:lang w:val="lv-LV"/>
        </w:rPr>
        <w:t xml:space="preserve">zveidot vienotu valsts tēla popularizēšanas sistēmu, novēršot funkciju dublēšanos, nav ticis īstenots, </w:t>
      </w:r>
      <w:r w:rsidR="00535177">
        <w:rPr>
          <w:lang w:val="lv-LV"/>
        </w:rPr>
        <w:t>jo atbildīgās institūcijas par optimālāku risinājumu atzinušas sadarbības pilnveidošanu esošo formātu ietvaros.</w:t>
      </w:r>
    </w:p>
    <w:p w14:paraId="35B49DD7" w14:textId="49A52D01" w:rsidR="00DA2D33" w:rsidRPr="00595533" w:rsidRDefault="00DA2D33" w:rsidP="00DA2D33">
      <w:pPr>
        <w:rPr>
          <w:lang w:val="lv-LV"/>
        </w:rPr>
      </w:pPr>
      <w:r w:rsidRPr="00595533">
        <w:rPr>
          <w:lang w:val="lv-LV"/>
        </w:rPr>
        <w:t>Ļoti reti viedokļu līderi minējuši nepieciešamību uzlabot transporta un tranzīta infrastruktūru</w:t>
      </w:r>
      <w:r w:rsidR="009413DC" w:rsidRPr="00595533">
        <w:rPr>
          <w:lang w:val="lv-LV"/>
        </w:rPr>
        <w:t>, tomēr</w:t>
      </w:r>
      <w:r w:rsidRPr="00595533">
        <w:rPr>
          <w:lang w:val="lv-LV"/>
        </w:rPr>
        <w:t xml:space="preserve"> atsevišķos komentāros </w:t>
      </w:r>
      <w:r w:rsidR="009413DC" w:rsidRPr="00595533">
        <w:rPr>
          <w:lang w:val="lv-LV"/>
        </w:rPr>
        <w:t xml:space="preserve">pausts arī uzskats, ka Latvijas starptautiskās sasniedzamības </w:t>
      </w:r>
      <w:r w:rsidR="002D751E" w:rsidRPr="00595533">
        <w:rPr>
          <w:lang w:val="lv-LV"/>
        </w:rPr>
        <w:t>veicināšanas</w:t>
      </w:r>
      <w:r w:rsidR="009413DC" w:rsidRPr="00595533">
        <w:rPr>
          <w:lang w:val="lv-LV"/>
        </w:rPr>
        <w:t xml:space="preserve"> nolūkos ir </w:t>
      </w:r>
      <w:r w:rsidR="002D751E" w:rsidRPr="00595533">
        <w:rPr>
          <w:lang w:val="lv-LV"/>
        </w:rPr>
        <w:t>jāuzlabo</w:t>
      </w:r>
      <w:r w:rsidR="009413DC" w:rsidRPr="00595533">
        <w:rPr>
          <w:lang w:val="lv-LV"/>
        </w:rPr>
        <w:t xml:space="preserve"> autoceļu </w:t>
      </w:r>
      <w:r w:rsidR="002D751E" w:rsidRPr="00595533">
        <w:rPr>
          <w:lang w:val="lv-LV"/>
        </w:rPr>
        <w:t>stāvoklis</w:t>
      </w:r>
      <w:r w:rsidR="009413DC" w:rsidRPr="00595533">
        <w:rPr>
          <w:lang w:val="lv-LV"/>
        </w:rPr>
        <w:t>.</w:t>
      </w:r>
    </w:p>
    <w:p w14:paraId="1A9D0BC3" w14:textId="77777777" w:rsidR="002D751E" w:rsidRPr="00595533" w:rsidRDefault="002D751E" w:rsidP="00DA2D33">
      <w:pPr>
        <w:rPr>
          <w:lang w:val="lv-LV"/>
        </w:rPr>
      </w:pPr>
    </w:p>
    <w:p w14:paraId="2E4595BD" w14:textId="28F44F64" w:rsidR="00EC4FA8" w:rsidRPr="00595533" w:rsidRDefault="00654F5A" w:rsidP="00EC4FA8">
      <w:pPr>
        <w:pStyle w:val="Heading2"/>
        <w:rPr>
          <w:lang w:val="lv-LV"/>
        </w:rPr>
      </w:pPr>
      <w:bookmarkStart w:id="34" w:name="_Toc498690619"/>
      <w:bookmarkStart w:id="35" w:name="_Toc499025313"/>
      <w:r>
        <w:rPr>
          <w:lang w:val="lv-LV"/>
        </w:rPr>
        <w:t xml:space="preserve">3.3. </w:t>
      </w:r>
      <w:r w:rsidR="00EC4FA8" w:rsidRPr="00595533">
        <w:rPr>
          <w:lang w:val="lv-LV"/>
        </w:rPr>
        <w:t>Attīstīta pētniecība, inovācija un augstākā izglītība</w:t>
      </w:r>
      <w:bookmarkEnd w:id="34"/>
      <w:bookmarkEnd w:id="35"/>
    </w:p>
    <w:p w14:paraId="16FE3B86" w14:textId="1400FD2F" w:rsidR="00CA5AF1" w:rsidRPr="00595533" w:rsidRDefault="00561BE3" w:rsidP="00EC4FA8">
      <w:pPr>
        <w:rPr>
          <w:lang w:val="lv-LV"/>
        </w:rPr>
      </w:pPr>
      <w:r w:rsidRPr="00595533">
        <w:rPr>
          <w:lang w:val="lv-LV"/>
        </w:rPr>
        <w:t xml:space="preserve">Rīcības virziena </w:t>
      </w:r>
      <w:r w:rsidRPr="00595533">
        <w:rPr>
          <w:i/>
          <w:lang w:val="lv-LV"/>
        </w:rPr>
        <w:t>Attīstīta pētniecība, inovācija un augstākā izglītība</w:t>
      </w:r>
      <w:r w:rsidRPr="00595533">
        <w:rPr>
          <w:lang w:val="lv-LV"/>
        </w:rPr>
        <w:t xml:space="preserve"> mērķis ir palielināt kopējos ieguldījumus pētniecībā un attīstībā, lai nodrošinātu cilvēkresursu piesaisti, pētnieciskās infrastruktūras pilnveidi</w:t>
      </w:r>
      <w:r w:rsidR="008C5DD9" w:rsidRPr="00595533">
        <w:rPr>
          <w:lang w:val="lv-LV"/>
        </w:rPr>
        <w:t xml:space="preserve">, kā arī inovāciju izstrādi un pārnesi </w:t>
      </w:r>
      <w:r w:rsidR="008C5DD9" w:rsidRPr="00595533">
        <w:rPr>
          <w:lang w:val="lv-LV"/>
        </w:rPr>
        <w:lastRenderedPageBreak/>
        <w:t xml:space="preserve">uzņēmējdarbībā, </w:t>
      </w:r>
      <w:r w:rsidR="001005D9" w:rsidRPr="00595533">
        <w:rPr>
          <w:lang w:val="lv-LV"/>
        </w:rPr>
        <w:t xml:space="preserve">tādā veidā sekmējot inovatīvu, starptautiski konkurētspējīgu produktu ar augstu pievienoto vērtību radīšanu un ieviešanu ražošanā. </w:t>
      </w:r>
      <w:r w:rsidR="002C3763" w:rsidRPr="00595533">
        <w:rPr>
          <w:lang w:val="lv-LV"/>
        </w:rPr>
        <w:t>V</w:t>
      </w:r>
      <w:r w:rsidR="008C5DD9" w:rsidRPr="00595533">
        <w:rPr>
          <w:lang w:val="lv-LV"/>
        </w:rPr>
        <w:t xml:space="preserve">ienlaikus </w:t>
      </w:r>
      <w:r w:rsidR="002C3763" w:rsidRPr="00595533">
        <w:rPr>
          <w:lang w:val="lv-LV"/>
        </w:rPr>
        <w:t xml:space="preserve">inovāciju izstrāde un pārnese nav iespējama, ja netiek uzlabota </w:t>
      </w:r>
      <w:r w:rsidR="008C5DD9" w:rsidRPr="00595533">
        <w:rPr>
          <w:lang w:val="lv-LV"/>
        </w:rPr>
        <w:t>augstākās izglītības, zinātnes un uzņēmējdarbības sektoru savstarpēj</w:t>
      </w:r>
      <w:r w:rsidR="002C3763" w:rsidRPr="00595533">
        <w:rPr>
          <w:lang w:val="lv-LV"/>
        </w:rPr>
        <w:t>ā</w:t>
      </w:r>
      <w:r w:rsidR="008C5DD9" w:rsidRPr="00595533">
        <w:rPr>
          <w:lang w:val="lv-LV"/>
        </w:rPr>
        <w:t xml:space="preserve"> sadarbīb</w:t>
      </w:r>
      <w:r w:rsidR="002C3763" w:rsidRPr="00595533">
        <w:rPr>
          <w:lang w:val="lv-LV"/>
        </w:rPr>
        <w:t>a</w:t>
      </w:r>
      <w:r w:rsidR="008C5DD9" w:rsidRPr="00595533">
        <w:rPr>
          <w:lang w:val="lv-LV"/>
        </w:rPr>
        <w:t>.</w:t>
      </w:r>
    </w:p>
    <w:p w14:paraId="56477F56" w14:textId="1598E2B8" w:rsidR="0054553A" w:rsidRPr="00595533" w:rsidRDefault="00CC4065" w:rsidP="00EC4FA8">
      <w:pPr>
        <w:rPr>
          <w:lang w:val="lv-LV"/>
        </w:rPr>
      </w:pPr>
      <w:r w:rsidRPr="00595533">
        <w:rPr>
          <w:lang w:val="lv-LV"/>
        </w:rPr>
        <w:t>Lai sasniegtu definēto mērķi, rīcības virziena</w:t>
      </w:r>
      <w:r w:rsidR="003636AB" w:rsidRPr="00595533">
        <w:rPr>
          <w:lang w:val="lv-LV"/>
        </w:rPr>
        <w:t xml:space="preserve"> ietvaros paredzēts </w:t>
      </w:r>
      <w:r w:rsidR="00540A88" w:rsidRPr="00595533">
        <w:rPr>
          <w:lang w:val="lv-LV"/>
        </w:rPr>
        <w:t>attīstīt augstākās izglītības sistēmu, nodrošinot</w:t>
      </w:r>
      <w:r w:rsidRPr="00595533">
        <w:rPr>
          <w:lang w:val="lv-LV"/>
        </w:rPr>
        <w:t xml:space="preserve"> augstākās izglītības pieejamīb</w:t>
      </w:r>
      <w:r w:rsidR="00540A88" w:rsidRPr="00595533">
        <w:rPr>
          <w:lang w:val="lv-LV"/>
        </w:rPr>
        <w:t>u</w:t>
      </w:r>
      <w:r w:rsidRPr="00595533">
        <w:rPr>
          <w:lang w:val="lv-LV"/>
        </w:rPr>
        <w:t xml:space="preserve">, </w:t>
      </w:r>
      <w:r w:rsidR="00540A88" w:rsidRPr="00595533">
        <w:rPr>
          <w:lang w:val="lv-LV"/>
        </w:rPr>
        <w:t xml:space="preserve">atbalstot </w:t>
      </w:r>
      <w:r w:rsidRPr="00595533">
        <w:rPr>
          <w:lang w:val="lv-LV"/>
        </w:rPr>
        <w:t>pasākum</w:t>
      </w:r>
      <w:r w:rsidR="00540A88" w:rsidRPr="00595533">
        <w:rPr>
          <w:lang w:val="lv-LV"/>
        </w:rPr>
        <w:t>us</w:t>
      </w:r>
      <w:r w:rsidRPr="00595533">
        <w:rPr>
          <w:lang w:val="lv-LV"/>
        </w:rPr>
        <w:t xml:space="preserve"> augstākās izglītības eksportam, konsolidācijai un konkurētspējas palielināšanai, a</w:t>
      </w:r>
      <w:r w:rsidR="00280241" w:rsidRPr="00595533">
        <w:rPr>
          <w:lang w:val="lv-LV"/>
        </w:rPr>
        <w:t>ttīstot materiāltehnisko bāzi,</w:t>
      </w:r>
      <w:r w:rsidRPr="00595533">
        <w:rPr>
          <w:lang w:val="lv-LV"/>
        </w:rPr>
        <w:t xml:space="preserve"> pilnveidojot iekšējo kvalitātes sistēmu</w:t>
      </w:r>
      <w:r w:rsidR="00280241" w:rsidRPr="00595533">
        <w:rPr>
          <w:lang w:val="lv-LV"/>
        </w:rPr>
        <w:t xml:space="preserve"> un augstskolu personāla snieguma rādītājus.</w:t>
      </w:r>
      <w:r w:rsidR="003636AB" w:rsidRPr="00595533">
        <w:rPr>
          <w:lang w:val="lv-LV"/>
        </w:rPr>
        <w:t xml:space="preserve"> Sa</w:t>
      </w:r>
      <w:r w:rsidR="00540A88" w:rsidRPr="00595533">
        <w:rPr>
          <w:lang w:val="lv-LV"/>
        </w:rPr>
        <w:t>vukārt attīstot zinātni, paredzēts atbalsts fundamentālu un lietišķu pētījumu īstenošanai</w:t>
      </w:r>
      <w:r w:rsidR="00555DF9" w:rsidRPr="00595533">
        <w:rPr>
          <w:lang w:val="lv-LV"/>
        </w:rPr>
        <w:t xml:space="preserve"> īpaši prioritāros zinātnes virzienos, ar pētniecību saistītās infrastruktūras modernizācija un cilvēkresursu attīstība, tai skaitā gādājot par zinātnes atjaunotni.</w:t>
      </w:r>
      <w:r w:rsidR="00CC09A7" w:rsidRPr="00595533">
        <w:rPr>
          <w:lang w:val="lv-LV"/>
        </w:rPr>
        <w:t xml:space="preserve"> Lai nodrošinātu inovāciju izstrādi un pārnesi, NAP2020 paredzēts privātā sektora, tostarp valsts un pašvaldību kapitālsabiedrību </w:t>
      </w:r>
      <w:r w:rsidR="001E5C1D" w:rsidRPr="00595533">
        <w:rPr>
          <w:lang w:val="lv-LV"/>
        </w:rPr>
        <w:t xml:space="preserve">finansiāls </w:t>
      </w:r>
      <w:r w:rsidR="00CC09A7" w:rsidRPr="00595533">
        <w:rPr>
          <w:lang w:val="lv-LV"/>
        </w:rPr>
        <w:t>atbalsts jaunu, pielietojamu un eksportspējīgu produktu un pakalpojumu radīšanai</w:t>
      </w:r>
      <w:r w:rsidR="00F0638B" w:rsidRPr="00595533">
        <w:rPr>
          <w:lang w:val="lv-LV"/>
        </w:rPr>
        <w:t>. Līdztekus plānots pilnveidot zinātnes un privātā sektora sadarbības formas, kā arī atbalstīt Baltijas valstu augstākās izglītības, zinātnes un privātā sektora sadarbības platformas izveidi</w:t>
      </w:r>
      <w:r w:rsidR="001E5C1D" w:rsidRPr="00595533">
        <w:rPr>
          <w:lang w:val="lv-LV"/>
        </w:rPr>
        <w:t>.</w:t>
      </w:r>
    </w:p>
    <w:p w14:paraId="269A9A0C" w14:textId="77777777" w:rsidR="005D5DAC" w:rsidRPr="00595533" w:rsidRDefault="005D5DAC" w:rsidP="005D5DAC">
      <w:pPr>
        <w:pStyle w:val="NoSpacing"/>
        <w:rPr>
          <w:sz w:val="10"/>
          <w:szCs w:val="10"/>
          <w:lang w:val="lv-LV"/>
        </w:rPr>
      </w:pPr>
    </w:p>
    <w:p w14:paraId="141484FB" w14:textId="77777777" w:rsidR="005D5DAC" w:rsidRPr="00595533" w:rsidRDefault="005D5DAC" w:rsidP="005D5DAC">
      <w:pPr>
        <w:pStyle w:val="Heading3"/>
        <w:rPr>
          <w:lang w:val="lv-LV"/>
        </w:rPr>
      </w:pPr>
      <w:bookmarkStart w:id="36" w:name="_Toc498690620"/>
      <w:r w:rsidRPr="00595533">
        <w:rPr>
          <w:lang w:val="lv-LV"/>
        </w:rPr>
        <w:t>UZDEVUMU ĪSTENOŠANAS PROGRESS</w:t>
      </w:r>
      <w:bookmarkEnd w:id="36"/>
    </w:p>
    <w:p w14:paraId="78AE120A" w14:textId="6E6B5C47" w:rsidR="005200A9" w:rsidRPr="00595533" w:rsidRDefault="005200A9" w:rsidP="005200A9">
      <w:pPr>
        <w:rPr>
          <w:lang w:val="lv-LV"/>
        </w:rPr>
      </w:pPr>
      <w:r w:rsidRPr="00595533">
        <w:rPr>
          <w:lang w:val="lv-LV"/>
        </w:rPr>
        <w:t>Starptautiskās Rekonstrukcijas un attīstības bankas eksperti laika posmā no 2016. līdz 2018. gadam veic vairāku etapu pētījumu augstākās izglītības pārvaldības pilnveidei un augstākās izglītības modernizācijai. Pētījuma rezultāti tiks izmantoti, lai sagatavotu augstākās izglītības attīstības finansējuma programmu saturu un nosacījumus. Pētījuma izmaksas tiek segtas, izmantojot ES fondu investīcijas</w:t>
      </w:r>
      <w:r w:rsidRPr="00595533">
        <w:rPr>
          <w:rStyle w:val="FootnoteReference"/>
          <w:b/>
          <w:lang w:val="lv-LV"/>
        </w:rPr>
        <w:footnoteReference w:id="15"/>
      </w:r>
      <w:r w:rsidRPr="00595533">
        <w:rPr>
          <w:lang w:val="lv-LV"/>
        </w:rPr>
        <w:t xml:space="preserve">. Balstoties uz pirmā pētījuma etapa rezultātiem, tika izstrādāts </w:t>
      </w:r>
      <w:r w:rsidRPr="00595533">
        <w:rPr>
          <w:b/>
          <w:lang w:val="lv-LV"/>
        </w:rPr>
        <w:t>jauns augstākās izglītības finansēšanas modelis</w:t>
      </w:r>
      <w:r w:rsidR="00C119CA">
        <w:rPr>
          <w:lang w:val="lv-LV"/>
        </w:rPr>
        <w:t>, kurš paredz</w:t>
      </w:r>
      <w:r w:rsidRPr="00595533">
        <w:rPr>
          <w:lang w:val="lv-LV"/>
        </w:rPr>
        <w:t xml:space="preserve"> </w:t>
      </w:r>
      <w:r w:rsidR="005F5B7F" w:rsidRPr="00595533">
        <w:rPr>
          <w:lang w:val="lv-LV"/>
        </w:rPr>
        <w:t xml:space="preserve">augstskolās </w:t>
      </w:r>
      <w:r w:rsidRPr="00595533">
        <w:rPr>
          <w:lang w:val="lv-LV"/>
        </w:rPr>
        <w:t xml:space="preserve">ieviest trīs </w:t>
      </w:r>
      <w:r w:rsidR="007D59C4" w:rsidRPr="00595533">
        <w:rPr>
          <w:lang w:val="lv-LV"/>
        </w:rPr>
        <w:t xml:space="preserve">finansēšanas </w:t>
      </w:r>
      <w:r w:rsidRPr="00595533">
        <w:rPr>
          <w:lang w:val="lv-LV"/>
        </w:rPr>
        <w:t>pīlāru</w:t>
      </w:r>
      <w:r w:rsidR="007D59C4" w:rsidRPr="00595533">
        <w:rPr>
          <w:lang w:val="lv-LV"/>
        </w:rPr>
        <w:t xml:space="preserve">s </w:t>
      </w:r>
      <w:r w:rsidR="005F5B7F" w:rsidRPr="00595533">
        <w:rPr>
          <w:lang w:val="lv-LV"/>
        </w:rPr>
        <w:t>–</w:t>
      </w:r>
      <w:r w:rsidR="007D59C4" w:rsidRPr="00595533">
        <w:rPr>
          <w:lang w:val="lv-LV"/>
        </w:rPr>
        <w:t xml:space="preserve"> b</w:t>
      </w:r>
      <w:r w:rsidR="005F5B7F" w:rsidRPr="00595533">
        <w:rPr>
          <w:lang w:val="lv-LV"/>
        </w:rPr>
        <w:t>ā</w:t>
      </w:r>
      <w:r w:rsidR="007D59C4" w:rsidRPr="00595533">
        <w:rPr>
          <w:lang w:val="lv-LV"/>
        </w:rPr>
        <w:t>zes, snieguma un attīstības finansējum</w:t>
      </w:r>
      <w:r w:rsidR="005F5B7F" w:rsidRPr="00595533">
        <w:rPr>
          <w:lang w:val="lv-LV"/>
        </w:rPr>
        <w:t>u.</w:t>
      </w:r>
      <w:r w:rsidRPr="00595533">
        <w:rPr>
          <w:lang w:val="lv-LV"/>
        </w:rPr>
        <w:t xml:space="preserve"> </w:t>
      </w:r>
      <w:r w:rsidR="005F5B7F" w:rsidRPr="00595533">
        <w:rPr>
          <w:lang w:val="lv-LV"/>
        </w:rPr>
        <w:t>Šāds finansēšanas modelis</w:t>
      </w:r>
      <w:r w:rsidRPr="00595533">
        <w:rPr>
          <w:lang w:val="lv-LV"/>
        </w:rPr>
        <w:t xml:space="preserve"> nodrošina kvalitatīvu, pētniecībā balstītu augstākās izglītības saturu un rezultātu pārvaldību augstākās izglītības institūcijās. Modeļa pakāpeniska ieviešana norit kopš 2015.</w:t>
      </w:r>
      <w:r w:rsidR="007D59C4" w:rsidRPr="00595533">
        <w:rPr>
          <w:lang w:val="lv-LV"/>
        </w:rPr>
        <w:t> </w:t>
      </w:r>
      <w:r w:rsidRPr="00595533">
        <w:rPr>
          <w:lang w:val="lv-LV"/>
        </w:rPr>
        <w:t>gada.</w:t>
      </w:r>
    </w:p>
    <w:p w14:paraId="48F71453" w14:textId="4D84B1B8" w:rsidR="005200A9" w:rsidRPr="00595533" w:rsidRDefault="005200A9" w:rsidP="005200A9">
      <w:pPr>
        <w:rPr>
          <w:lang w:val="lv-LV"/>
        </w:rPr>
      </w:pPr>
      <w:r w:rsidRPr="00595533">
        <w:rPr>
          <w:lang w:val="lv-LV"/>
        </w:rPr>
        <w:t>Lai nodrošinātu pieejamu kvalitatīvu augstāko izglītību</w:t>
      </w:r>
      <w:r w:rsidR="005F5B7F" w:rsidRPr="00595533">
        <w:rPr>
          <w:lang w:val="lv-LV"/>
        </w:rPr>
        <w:t>,</w:t>
      </w:r>
      <w:r w:rsidRPr="00595533">
        <w:rPr>
          <w:lang w:val="lv-LV"/>
        </w:rPr>
        <w:t xml:space="preserve"> ar ES fondu atbalstu</w:t>
      </w:r>
      <w:r w:rsidRPr="00595533">
        <w:rPr>
          <w:rStyle w:val="FootnoteReference"/>
          <w:b/>
          <w:lang w:val="lv-LV"/>
        </w:rPr>
        <w:footnoteReference w:id="16"/>
      </w:r>
      <w:r w:rsidRPr="00595533">
        <w:rPr>
          <w:lang w:val="lv-LV"/>
        </w:rPr>
        <w:t xml:space="preserve"> plānots pilnveidot augstskolu </w:t>
      </w:r>
      <w:r w:rsidRPr="00595533">
        <w:rPr>
          <w:b/>
          <w:lang w:val="lv-LV"/>
        </w:rPr>
        <w:t>studiju programmu satura kvalitāti</w:t>
      </w:r>
      <w:r w:rsidR="00DD52D1" w:rsidRPr="00595533">
        <w:rPr>
          <w:lang w:val="lv-LV"/>
        </w:rPr>
        <w:t xml:space="preserve"> un</w:t>
      </w:r>
      <w:r w:rsidRPr="00595533">
        <w:rPr>
          <w:lang w:val="lv-LV"/>
        </w:rPr>
        <w:t xml:space="preserve"> nodrošināt labāku augstskolu pārvaldību, t.sk. administratīvā personāla kompetenču un prasmju paaugstināšanu.</w:t>
      </w:r>
    </w:p>
    <w:p w14:paraId="64B298F3" w14:textId="4C1C8722" w:rsidR="00C736EC" w:rsidRPr="00595533" w:rsidRDefault="00F454E0" w:rsidP="00B24A04">
      <w:pPr>
        <w:rPr>
          <w:lang w:val="lv-LV"/>
        </w:rPr>
      </w:pPr>
      <w:r w:rsidRPr="00595533">
        <w:rPr>
          <w:lang w:val="lv-LV"/>
        </w:rPr>
        <w:t>Lai nodrošinātu zinātnes atjaunotni</w:t>
      </w:r>
      <w:r w:rsidR="001A79EC" w:rsidRPr="00595533">
        <w:rPr>
          <w:lang w:val="lv-LV"/>
        </w:rPr>
        <w:t xml:space="preserve">, pārskata periodā ar dažādu finansiālu stimulu palīdzību sekmēta </w:t>
      </w:r>
      <w:r w:rsidR="001A79EC" w:rsidRPr="00595533">
        <w:rPr>
          <w:b/>
          <w:lang w:val="lv-LV"/>
        </w:rPr>
        <w:t>doktorantu un jauno zinātnieku piesaiste</w:t>
      </w:r>
      <w:r w:rsidR="001A79EC" w:rsidRPr="00595533">
        <w:rPr>
          <w:lang w:val="lv-LV"/>
        </w:rPr>
        <w:t xml:space="preserve"> augstskolām. </w:t>
      </w:r>
      <w:r w:rsidR="00C736EC" w:rsidRPr="00595533">
        <w:rPr>
          <w:lang w:val="lv-LV"/>
        </w:rPr>
        <w:t xml:space="preserve">Jauno zinātnieku iesaiste pētījumos un zinātniskajā darbā ir netieši </w:t>
      </w:r>
      <w:r w:rsidR="00DD52D1" w:rsidRPr="00595533">
        <w:rPr>
          <w:lang w:val="lv-LV"/>
        </w:rPr>
        <w:t>sekmēta ar jaunā</w:t>
      </w:r>
      <w:r w:rsidR="00C736EC" w:rsidRPr="00595533">
        <w:rPr>
          <w:lang w:val="lv-LV"/>
        </w:rPr>
        <w:t xml:space="preserve"> augstākās izglītības finansēšanas modeļa pakāpenisku ieviešanu. Jaunā finansēšanas modeļa otrais pīlārs paredz snieguma finansējumu augstskolām, kam viens no kritērijiem ir augstskolā pētniecībā nodarbināto maģistrantu, doktorantu un jauno doktoru skaits. Izmantojot ES fondu ieguldījumus pēcdoktorantūras atbalstam, tiek stimulēta cilvēkkapitāla attīstība, nodrošinot jaun</w:t>
      </w:r>
      <w:r w:rsidRPr="00595533">
        <w:rPr>
          <w:lang w:val="lv-LV"/>
        </w:rPr>
        <w:t>o</w:t>
      </w:r>
      <w:r w:rsidR="00C736EC" w:rsidRPr="00595533">
        <w:rPr>
          <w:lang w:val="lv-LV"/>
        </w:rPr>
        <w:t xml:space="preserve"> zinātniek</w:t>
      </w:r>
      <w:r w:rsidRPr="00595533">
        <w:rPr>
          <w:lang w:val="lv-LV"/>
        </w:rPr>
        <w:t>u</w:t>
      </w:r>
      <w:r w:rsidR="00C736EC" w:rsidRPr="00595533">
        <w:rPr>
          <w:lang w:val="lv-LV"/>
        </w:rPr>
        <w:t xml:space="preserve"> karjeras uzsākšanas iespējas zinātniskajās institūcijās, augstākās izglītības iestādēs un uzņēmumos, kā arī tiek nodrošināta pētniecības kompetenču pilnveidošana</w:t>
      </w:r>
      <w:r w:rsidR="00C736EC" w:rsidRPr="00595533">
        <w:rPr>
          <w:rStyle w:val="FootnoteReference"/>
          <w:b/>
          <w:lang w:val="lv-LV"/>
        </w:rPr>
        <w:footnoteReference w:id="17"/>
      </w:r>
      <w:r w:rsidR="00C736EC" w:rsidRPr="00595533">
        <w:rPr>
          <w:lang w:val="lv-LV"/>
        </w:rPr>
        <w:t xml:space="preserve">. Papildus tam ES fondu atbalsts tiek izmantots starptautisko sadarbību pētniecības un tehnoloģiju jomā sekmēšanai, lai veicinātu Latvijas dalību </w:t>
      </w:r>
      <w:r w:rsidR="00595533" w:rsidRPr="00595533">
        <w:rPr>
          <w:lang w:val="lv-LV"/>
        </w:rPr>
        <w:t>E</w:t>
      </w:r>
      <w:r w:rsidR="000C5AE1">
        <w:rPr>
          <w:lang w:val="lv-LV"/>
        </w:rPr>
        <w:t>i</w:t>
      </w:r>
      <w:r w:rsidR="00595533" w:rsidRPr="00595533">
        <w:rPr>
          <w:lang w:val="lv-LV"/>
        </w:rPr>
        <w:t>ro</w:t>
      </w:r>
      <w:r w:rsidR="00C736EC" w:rsidRPr="00595533">
        <w:rPr>
          <w:lang w:val="lv-LV"/>
        </w:rPr>
        <w:t>pas pētniecības telpas projektu īstenošanā</w:t>
      </w:r>
      <w:r w:rsidR="00C736EC" w:rsidRPr="00595533">
        <w:rPr>
          <w:rStyle w:val="FootnoteReference"/>
          <w:b/>
          <w:lang w:val="lv-LV"/>
        </w:rPr>
        <w:footnoteReference w:id="18"/>
      </w:r>
      <w:r w:rsidR="00C736EC" w:rsidRPr="00595533">
        <w:rPr>
          <w:lang w:val="lv-LV"/>
        </w:rPr>
        <w:t>. Tiek nodrošināti mobilitātes pasākumi Erasmus+ programmas ie</w:t>
      </w:r>
      <w:r w:rsidRPr="00595533">
        <w:rPr>
          <w:lang w:val="lv-LV"/>
        </w:rPr>
        <w:t>tvaros, kas interesentiem, piemēram</w:t>
      </w:r>
      <w:r w:rsidR="00C736EC" w:rsidRPr="00595533">
        <w:rPr>
          <w:lang w:val="lv-LV"/>
        </w:rPr>
        <w:t>, akadēmiskajam personālam, studentiem sniedz iespēju padziļināt savas pro</w:t>
      </w:r>
      <w:r w:rsidR="00DD52D1" w:rsidRPr="00595533">
        <w:rPr>
          <w:lang w:val="lv-LV"/>
        </w:rPr>
        <w:t>fesionālās zināšanas ārvalstīs.</w:t>
      </w:r>
    </w:p>
    <w:p w14:paraId="7A8C6CA7" w14:textId="77777777" w:rsidR="00BC782A" w:rsidRPr="00595533" w:rsidRDefault="00BC782A" w:rsidP="00BC782A">
      <w:pPr>
        <w:rPr>
          <w:lang w:val="lv-LV"/>
        </w:rPr>
      </w:pPr>
      <w:r w:rsidRPr="00595533">
        <w:rPr>
          <w:b/>
          <w:lang w:val="lv-LV"/>
        </w:rPr>
        <w:lastRenderedPageBreak/>
        <w:t>Augstākās izglītības eksporta atbalsta pasākumi</w:t>
      </w:r>
      <w:r w:rsidRPr="00595533">
        <w:rPr>
          <w:lang w:val="lv-LV"/>
        </w:rPr>
        <w:t xml:space="preserve"> tiks īstenoti, izmantojot ES fondu investīcijas. Finansējums paredzēts kopīgu doktorantūras studiju programmu un studiju programmu ES oficiālajās valodās, kas nav latviešu valoda, izstrādei, aprobācijai un akreditācijai, tai skaitā akreditācijas izmaksu segšanai starptautiskās profesionālās organizācijās, izstrādāto un akreditēto studiju programmu starptautiskajai publicitātei. Līdztekus ES fondu atbalsts plānots ārvalstu pasniedzēju piesaistei darbam augstākās izglītības institūcijās Latvijā.</w:t>
      </w:r>
    </w:p>
    <w:p w14:paraId="78312964" w14:textId="77777777" w:rsidR="00BC782A" w:rsidRPr="00595533" w:rsidRDefault="00BC782A" w:rsidP="00BC782A">
      <w:pPr>
        <w:rPr>
          <w:lang w:val="lv-LV"/>
        </w:rPr>
      </w:pPr>
      <w:r w:rsidRPr="00595533">
        <w:rPr>
          <w:lang w:val="lv-LV"/>
        </w:rPr>
        <w:t xml:space="preserve">Regulāri notiek arī augstākās izglītības eksportspēju un Latvijas augstākās izglītības atpazīstamību veicinoši pasākumi. Ir pieejami izdales materiāli par studiju programmām, kuras tiks reprezentētas nacionālajā līmenī augstākās izglītības eksporta ietvaros, kā arī tiek nodrošināta dalība augstākās izglītības izstādēs, informējot par studiju iespējām Latvijā. </w:t>
      </w:r>
    </w:p>
    <w:p w14:paraId="3189923F" w14:textId="38D51BF0" w:rsidR="00402FBE" w:rsidRPr="00595533" w:rsidRDefault="0075165E" w:rsidP="00402FBE">
      <w:pPr>
        <w:rPr>
          <w:lang w:val="lv-LV"/>
        </w:rPr>
      </w:pPr>
      <w:r w:rsidRPr="00595533">
        <w:rPr>
          <w:lang w:val="lv-LV"/>
        </w:rPr>
        <w:t xml:space="preserve">Lai stimulētu </w:t>
      </w:r>
      <w:r w:rsidRPr="00595533">
        <w:rPr>
          <w:b/>
          <w:lang w:val="lv-LV"/>
        </w:rPr>
        <w:t>augstākās izglītības kvalitāti</w:t>
      </w:r>
      <w:r w:rsidR="00AE4B38" w:rsidRPr="00595533">
        <w:rPr>
          <w:lang w:val="lv-LV"/>
        </w:rPr>
        <w:t>,</w:t>
      </w:r>
      <w:r w:rsidRPr="00595533">
        <w:rPr>
          <w:lang w:val="lv-LV"/>
        </w:rPr>
        <w:t xml:space="preserve"> tiek pilnveidota Latvijas augstākās izglītības ārējās kvalitātes nodrošināšanas sistēma. Ar ES fondu atbalstu</w:t>
      </w:r>
      <w:r w:rsidRPr="00595533">
        <w:rPr>
          <w:b/>
          <w:vertAlign w:val="superscript"/>
          <w:lang w:val="lv-LV"/>
        </w:rPr>
        <w:footnoteReference w:id="19"/>
      </w:r>
      <w:r w:rsidRPr="00595533">
        <w:rPr>
          <w:lang w:val="lv-LV"/>
        </w:rPr>
        <w:t xml:space="preserve"> paredzēts nodrošināt atbalstu </w:t>
      </w:r>
      <w:r w:rsidR="000C5AE1">
        <w:rPr>
          <w:lang w:val="lv-LV"/>
        </w:rPr>
        <w:t>Ei</w:t>
      </w:r>
      <w:r w:rsidR="00595533" w:rsidRPr="00595533">
        <w:rPr>
          <w:lang w:val="lv-LV"/>
        </w:rPr>
        <w:t>ro</w:t>
      </w:r>
      <w:r w:rsidRPr="00595533">
        <w:rPr>
          <w:lang w:val="lv-LV"/>
        </w:rPr>
        <w:t>pas augstākās izglītības kvalitātes nodrošināšanas reģistra</w:t>
      </w:r>
      <w:r w:rsidRPr="00595533">
        <w:rPr>
          <w:b/>
          <w:vertAlign w:val="superscript"/>
          <w:lang w:val="lv-LV"/>
        </w:rPr>
        <w:footnoteReference w:id="20"/>
      </w:r>
      <w:r w:rsidRPr="00595533">
        <w:rPr>
          <w:lang w:val="lv-LV"/>
        </w:rPr>
        <w:t xml:space="preserve"> Aģentūrai</w:t>
      </w:r>
      <w:r w:rsidRPr="00595533">
        <w:rPr>
          <w:b/>
          <w:vertAlign w:val="superscript"/>
          <w:lang w:val="lv-LV"/>
        </w:rPr>
        <w:footnoteReference w:id="21"/>
      </w:r>
      <w:r w:rsidRPr="00595533">
        <w:rPr>
          <w:lang w:val="lv-LV"/>
        </w:rPr>
        <w:t xml:space="preserve"> izvirzīto prasību izpildei, tai skaitā, Aģentūras darbības kvalitātes paaugstināšanai un kapacitātes stiprināšanai. Prasību izpilde un EQAR aģentūras statuss veicinās augstākās izglītības kvalitātes kultūras attīstību atbilstoši labākajiem </w:t>
      </w:r>
      <w:r w:rsidR="000C5AE1">
        <w:rPr>
          <w:lang w:val="lv-LV"/>
        </w:rPr>
        <w:t>Ei</w:t>
      </w:r>
      <w:r w:rsidR="00595533" w:rsidRPr="00595533">
        <w:rPr>
          <w:lang w:val="lv-LV"/>
        </w:rPr>
        <w:t>ro</w:t>
      </w:r>
      <w:r w:rsidRPr="00595533">
        <w:rPr>
          <w:lang w:val="lv-LV"/>
        </w:rPr>
        <w:t>pas standartiem, palielinās uzticamību Latvijas augstākajai izglītībai un tajā iegūtajiem diplomiem, kā arī sekmēs starptautisko sadarbību un atpazīstamību.</w:t>
      </w:r>
      <w:r w:rsidR="00402FBE" w:rsidRPr="00595533">
        <w:rPr>
          <w:lang w:val="lv-LV"/>
        </w:rPr>
        <w:t xml:space="preserve"> </w:t>
      </w:r>
    </w:p>
    <w:p w14:paraId="7691C7E6" w14:textId="0BAC03EC" w:rsidR="00BC782A" w:rsidRPr="00595533" w:rsidRDefault="00BC782A" w:rsidP="00BC782A">
      <w:pPr>
        <w:rPr>
          <w:lang w:val="lv-LV"/>
        </w:rPr>
      </w:pPr>
      <w:r w:rsidRPr="00595533">
        <w:rPr>
          <w:lang w:val="lv-LV"/>
        </w:rPr>
        <w:t xml:space="preserve">No 2015. gada ir atjaunots valsts finansējums </w:t>
      </w:r>
      <w:r w:rsidR="00312BBA" w:rsidRPr="00595533">
        <w:rPr>
          <w:lang w:val="lv-LV"/>
        </w:rPr>
        <w:t xml:space="preserve">zinātniskās darbības attīstībai </w:t>
      </w:r>
      <w:r w:rsidRPr="00595533">
        <w:rPr>
          <w:lang w:val="lv-LV"/>
        </w:rPr>
        <w:t xml:space="preserve">augstākās izglītības iestādēs. Finansējums augstskolām un koledžām tiek piešķirts atkarībā no to sasniegtajiem rezultātiem P&amp;A un radošo un mākslas projektu īstenošanā.  </w:t>
      </w:r>
    </w:p>
    <w:p w14:paraId="51AEB618" w14:textId="31102B46" w:rsidR="00BC782A" w:rsidRPr="00595533" w:rsidRDefault="00BC782A" w:rsidP="00BC782A">
      <w:pPr>
        <w:rPr>
          <w:lang w:val="lv-LV"/>
        </w:rPr>
      </w:pPr>
      <w:r w:rsidRPr="00595533">
        <w:rPr>
          <w:lang w:val="lv-LV"/>
        </w:rPr>
        <w:t>Lai sekmētu studentu pētniecības un inovācijas projektu īstenošanu, stiprinātu sadarbību ar uzņēmumiem un piesaistītu privāto finansējumu inovāciju spēju un uzņēmīguma attīstībai, sākot ar 2018./2019.</w:t>
      </w:r>
      <w:r w:rsidR="009E26FB" w:rsidRPr="00595533">
        <w:rPr>
          <w:lang w:val="lv-LV"/>
        </w:rPr>
        <w:t> </w:t>
      </w:r>
      <w:r w:rsidRPr="00595533">
        <w:rPr>
          <w:lang w:val="lv-LV"/>
        </w:rPr>
        <w:t>akadēmisko gadu tiks uzsākta ES fonda projekta īstenošana</w:t>
      </w:r>
      <w:r w:rsidRPr="00595533">
        <w:rPr>
          <w:b/>
          <w:vertAlign w:val="superscript"/>
          <w:lang w:val="lv-LV"/>
        </w:rPr>
        <w:footnoteReference w:id="22"/>
      </w:r>
      <w:r w:rsidRPr="00595533">
        <w:rPr>
          <w:lang w:val="lv-LV"/>
        </w:rPr>
        <w:t>.</w:t>
      </w:r>
    </w:p>
    <w:p w14:paraId="34F275DC" w14:textId="0302DA83" w:rsidR="00DD52D1" w:rsidRPr="00595533" w:rsidRDefault="00BC782A" w:rsidP="00B24A04">
      <w:pPr>
        <w:rPr>
          <w:lang w:val="lv-LV"/>
        </w:rPr>
      </w:pPr>
      <w:r w:rsidRPr="00595533">
        <w:rPr>
          <w:lang w:val="lv-LV"/>
        </w:rPr>
        <w:t>ES fondu 2014.–2020.</w:t>
      </w:r>
      <w:r w:rsidR="009E26FB" w:rsidRPr="00595533">
        <w:rPr>
          <w:lang w:val="lv-LV"/>
        </w:rPr>
        <w:t> </w:t>
      </w:r>
      <w:r w:rsidRPr="00595533">
        <w:rPr>
          <w:lang w:val="lv-LV"/>
        </w:rPr>
        <w:t>gada plānošanas periodā plānots sniegt atbalstu teritoriāli koncentrētas studiju un zinātniskā darba infrastruktūras attīstībai. Plānots uzlabot pirmā līmeņa profesionālās augstākās izglītības STEM, tajā skaitā medicīnas un radošās industrijas, studiju mācību vidi koledžās. Lai paveiktu iecerēto un nodrošinātu Latvijas tautsaimniecības transformācijai nepieciešamo cilvēkkapitāla pieaugumu RIS3 specializācijas jomās ar augstu eksporta potenciālu (bioekonomika, biomedicīna, viedie materiāli, viedā enerģētika, IKT), ES fondu</w:t>
      </w:r>
      <w:r w:rsidRPr="00595533">
        <w:rPr>
          <w:b/>
          <w:vertAlign w:val="superscript"/>
          <w:lang w:val="lv-LV"/>
        </w:rPr>
        <w:footnoteReference w:id="23"/>
      </w:r>
      <w:r w:rsidRPr="00595533">
        <w:rPr>
          <w:lang w:val="lv-LV"/>
        </w:rPr>
        <w:t xml:space="preserve"> ietvaros 2017.</w:t>
      </w:r>
      <w:r w:rsidR="009E26FB" w:rsidRPr="00595533">
        <w:rPr>
          <w:lang w:val="lv-LV"/>
        </w:rPr>
        <w:t> </w:t>
      </w:r>
      <w:r w:rsidRPr="00595533">
        <w:rPr>
          <w:lang w:val="lv-LV"/>
        </w:rPr>
        <w:t>gada jūlijā uzsāka projektu īstenošan</w:t>
      </w:r>
      <w:r w:rsidR="009E26FB" w:rsidRPr="00595533">
        <w:rPr>
          <w:lang w:val="lv-LV"/>
        </w:rPr>
        <w:t>a atbalsta sniegšanai</w:t>
      </w:r>
      <w:r w:rsidRPr="00595533">
        <w:rPr>
          <w:lang w:val="lv-LV"/>
        </w:rPr>
        <w:t xml:space="preserve"> koledžām. Iecerēts palielināt modernizēto STEM studiju programmu skaitu, kas būs atbalsts teritoriāli koncentrētas studiju un zinātniskā darba infrastruktūras attīstībai augstākās izglītības iestāžu stratēģiskās specializācijas stiprināšanai</w:t>
      </w:r>
      <w:r w:rsidRPr="00595533">
        <w:rPr>
          <w:b/>
          <w:vertAlign w:val="superscript"/>
          <w:lang w:val="lv-LV"/>
        </w:rPr>
        <w:footnoteReference w:id="24"/>
      </w:r>
      <w:r w:rsidRPr="00595533">
        <w:rPr>
          <w:lang w:val="lv-LV"/>
        </w:rPr>
        <w:t xml:space="preserve">. </w:t>
      </w:r>
    </w:p>
    <w:p w14:paraId="5355C6DF" w14:textId="105AFDD8" w:rsidR="00C736EC" w:rsidRPr="00595533" w:rsidRDefault="00C736EC" w:rsidP="00B24A04">
      <w:pPr>
        <w:rPr>
          <w:lang w:val="lv-LV"/>
        </w:rPr>
      </w:pPr>
      <w:r w:rsidRPr="00595533">
        <w:rPr>
          <w:lang w:val="lv-LV"/>
        </w:rPr>
        <w:t>Saskaņā ar valdībā pieņemto lēmumu</w:t>
      </w:r>
      <w:r w:rsidRPr="00595533">
        <w:rPr>
          <w:rStyle w:val="FootnoteReference"/>
          <w:b/>
          <w:lang w:val="lv-LV"/>
        </w:rPr>
        <w:footnoteReference w:id="25"/>
      </w:r>
      <w:r w:rsidRPr="00595533">
        <w:rPr>
          <w:lang w:val="lv-LV"/>
        </w:rPr>
        <w:t xml:space="preserve">, </w:t>
      </w:r>
      <w:r w:rsidRPr="00595533">
        <w:rPr>
          <w:b/>
          <w:lang w:val="lv-LV"/>
        </w:rPr>
        <w:t>fundamentālo un lietišķo pētījumu finansēšanai</w:t>
      </w:r>
      <w:r w:rsidRPr="00595533">
        <w:rPr>
          <w:lang w:val="lv-LV"/>
        </w:rPr>
        <w:t xml:space="preserve"> laika posmā no 2014.</w:t>
      </w:r>
      <w:r w:rsidR="00750196" w:rsidRPr="00595533">
        <w:rPr>
          <w:lang w:val="lv-LV"/>
        </w:rPr>
        <w:t> </w:t>
      </w:r>
      <w:r w:rsidRPr="00595533">
        <w:rPr>
          <w:lang w:val="lv-LV"/>
        </w:rPr>
        <w:t>līdz 2017.</w:t>
      </w:r>
      <w:r w:rsidR="00750196" w:rsidRPr="00595533">
        <w:rPr>
          <w:lang w:val="lv-LV"/>
        </w:rPr>
        <w:t> </w:t>
      </w:r>
      <w:r w:rsidRPr="00595533">
        <w:rPr>
          <w:lang w:val="lv-LV"/>
        </w:rPr>
        <w:t>gadam tika apstiprināti sekojoši prio</w:t>
      </w:r>
      <w:r w:rsidR="00750196" w:rsidRPr="00595533">
        <w:rPr>
          <w:lang w:val="lv-LV"/>
        </w:rPr>
        <w:t>ritārie virzieni zinātnē – (1) v</w:t>
      </w:r>
      <w:r w:rsidRPr="00595533">
        <w:rPr>
          <w:lang w:val="lv-LV"/>
        </w:rPr>
        <w:t xml:space="preserve">ide, klimats un enerģija; (2) </w:t>
      </w:r>
      <w:r w:rsidR="00750196" w:rsidRPr="00595533">
        <w:rPr>
          <w:lang w:val="lv-LV"/>
        </w:rPr>
        <w:t>i</w:t>
      </w:r>
      <w:r w:rsidRPr="00595533">
        <w:rPr>
          <w:lang w:val="lv-LV"/>
        </w:rPr>
        <w:t>novatīvie un uzlabotie mater</w:t>
      </w:r>
      <w:r w:rsidR="00750196" w:rsidRPr="00595533">
        <w:rPr>
          <w:lang w:val="lv-LV"/>
        </w:rPr>
        <w:t>iāli, viedās tehnoloģijas; (3) s</w:t>
      </w:r>
      <w:r w:rsidRPr="00595533">
        <w:rPr>
          <w:lang w:val="lv-LV"/>
        </w:rPr>
        <w:t xml:space="preserve">abiedrības veselība; (4) </w:t>
      </w:r>
      <w:r w:rsidR="00965E85" w:rsidRPr="00595533">
        <w:rPr>
          <w:lang w:val="lv-LV"/>
        </w:rPr>
        <w:t>v</w:t>
      </w:r>
      <w:r w:rsidRPr="00595533">
        <w:rPr>
          <w:lang w:val="lv-LV"/>
        </w:rPr>
        <w:t xml:space="preserve">ietējo resursu izpēte un </w:t>
      </w:r>
      <w:r w:rsidRPr="00595533">
        <w:rPr>
          <w:lang w:val="lv-LV"/>
        </w:rPr>
        <w:lastRenderedPageBreak/>
        <w:t xml:space="preserve">ilgtspējīga izmantošana; (5) </w:t>
      </w:r>
      <w:r w:rsidR="00965E85" w:rsidRPr="00595533">
        <w:rPr>
          <w:lang w:val="lv-LV"/>
        </w:rPr>
        <w:t>v</w:t>
      </w:r>
      <w:r w:rsidRPr="00595533">
        <w:rPr>
          <w:lang w:val="lv-LV"/>
        </w:rPr>
        <w:t>alsts un sabiedrības ilgtspējīga attīstība</w:t>
      </w:r>
      <w:r w:rsidR="00965E85" w:rsidRPr="00595533">
        <w:rPr>
          <w:lang w:val="lv-LV"/>
        </w:rPr>
        <w:t>; (6) l</w:t>
      </w:r>
      <w:r w:rsidRPr="00595533">
        <w:rPr>
          <w:lang w:val="lv-LV"/>
        </w:rPr>
        <w:t xml:space="preserve">etonika. </w:t>
      </w:r>
      <w:r w:rsidR="009C4199" w:rsidRPr="00595533">
        <w:rPr>
          <w:lang w:val="lv-LV"/>
        </w:rPr>
        <w:t>Vienlaikus pārskata periodā n</w:t>
      </w:r>
      <w:r w:rsidR="00965E85" w:rsidRPr="00595533">
        <w:rPr>
          <w:lang w:val="lv-LV"/>
        </w:rPr>
        <w:t xml:space="preserve">orisinās darbs </w:t>
      </w:r>
      <w:r w:rsidR="009C4199" w:rsidRPr="00595533">
        <w:rPr>
          <w:lang w:val="lv-LV"/>
        </w:rPr>
        <w:t xml:space="preserve">jau </w:t>
      </w:r>
      <w:r w:rsidR="00965E85" w:rsidRPr="00595533">
        <w:rPr>
          <w:lang w:val="lv-LV"/>
        </w:rPr>
        <w:t>pie jau</w:t>
      </w:r>
      <w:r w:rsidR="009C4199" w:rsidRPr="00595533">
        <w:rPr>
          <w:lang w:val="lv-LV"/>
        </w:rPr>
        <w:t>nā</w:t>
      </w:r>
      <w:r w:rsidR="00965E85" w:rsidRPr="00595533">
        <w:rPr>
          <w:lang w:val="lv-LV"/>
        </w:rPr>
        <w:t>s Fundamentālo un lietišķo pētījumu projektu programmas izstrādes, īpašu uzmanību pievēršot pētījumu izvērtēšanas procesam, finansēšanas nosacījumu caurspīdīgumam, administratīvā sloga samazināšanai projektu izvērtēšanā, finansēšanā un administrēšanā.</w:t>
      </w:r>
      <w:r w:rsidR="009C4199" w:rsidRPr="00595533">
        <w:rPr>
          <w:lang w:val="lv-LV"/>
        </w:rPr>
        <w:t xml:space="preserve"> </w:t>
      </w:r>
      <w:r w:rsidRPr="00595533">
        <w:rPr>
          <w:lang w:val="lv-LV"/>
        </w:rPr>
        <w:t>2017.</w:t>
      </w:r>
      <w:r w:rsidR="00965E85" w:rsidRPr="00595533">
        <w:rPr>
          <w:lang w:val="lv-LV"/>
        </w:rPr>
        <w:t> </w:t>
      </w:r>
      <w:r w:rsidRPr="00595533">
        <w:rPr>
          <w:lang w:val="lv-LV"/>
        </w:rPr>
        <w:t>gada 15.</w:t>
      </w:r>
      <w:r w:rsidR="00965E85" w:rsidRPr="00595533">
        <w:rPr>
          <w:lang w:val="lv-LV"/>
        </w:rPr>
        <w:t> </w:t>
      </w:r>
      <w:r w:rsidRPr="00595533">
        <w:rPr>
          <w:lang w:val="lv-LV"/>
        </w:rPr>
        <w:t>septembrī noslēdzās publiska aptauja par prioritāriem zinātnes virzieniem nākamajam četru gadu ciklam (2018.</w:t>
      </w:r>
      <w:r w:rsidR="009C4199" w:rsidRPr="00595533">
        <w:rPr>
          <w:lang w:val="lv-LV"/>
        </w:rPr>
        <w:t> </w:t>
      </w:r>
      <w:r w:rsidRPr="00595533">
        <w:rPr>
          <w:lang w:val="lv-LV"/>
        </w:rPr>
        <w:t>–2021.</w:t>
      </w:r>
      <w:r w:rsidR="009C4199" w:rsidRPr="00595533">
        <w:rPr>
          <w:lang w:val="lv-LV"/>
        </w:rPr>
        <w:t> gads</w:t>
      </w:r>
      <w:r w:rsidRPr="00595533">
        <w:rPr>
          <w:lang w:val="lv-LV"/>
        </w:rPr>
        <w:t xml:space="preserve">). </w:t>
      </w:r>
    </w:p>
    <w:p w14:paraId="22B97686" w14:textId="5A688D49" w:rsidR="00C736EC" w:rsidRPr="00595533" w:rsidRDefault="00C736EC" w:rsidP="00B24A04">
      <w:pPr>
        <w:rPr>
          <w:lang w:val="lv-LV"/>
        </w:rPr>
      </w:pPr>
      <w:r w:rsidRPr="00595533">
        <w:rPr>
          <w:lang w:val="lv-LV"/>
        </w:rPr>
        <w:t>Lai sekmētu zinātnisko institūciju pētniecības infrastruktūras un institucionālās kapacitātes attīstību, izmantojot ES fondu investīcijas</w:t>
      </w:r>
      <w:r w:rsidRPr="00595533">
        <w:rPr>
          <w:rStyle w:val="FootnoteReference"/>
          <w:b/>
          <w:lang w:val="lv-LV"/>
        </w:rPr>
        <w:footnoteReference w:id="26"/>
      </w:r>
      <w:r w:rsidR="00786985" w:rsidRPr="00595533">
        <w:rPr>
          <w:lang w:val="lv-LV"/>
        </w:rPr>
        <w:t>,</w:t>
      </w:r>
      <w:r w:rsidRPr="00595533">
        <w:rPr>
          <w:lang w:val="lv-LV"/>
        </w:rPr>
        <w:t xml:space="preserve"> tiek sniegts </w:t>
      </w:r>
      <w:r w:rsidRPr="00595533">
        <w:rPr>
          <w:b/>
          <w:lang w:val="lv-LV"/>
        </w:rPr>
        <w:t>atbalsts infrastruktūras attīstībai</w:t>
      </w:r>
      <w:r w:rsidRPr="00595533">
        <w:rPr>
          <w:lang w:val="lv-LV"/>
        </w:rPr>
        <w:t xml:space="preserve"> (ēku un telpu rekonstrukcija vai renovācija, pielāgošana, jaunas ēkas būvniecība, zinātniskās aparatūras, IKT infrastruktūras), zinātnisko institūciju resursu un rezultātu pārvaldības sistēmas pilnveidei un pētniecības resursu konsolidācijai, balstoties uz zinātnes starptautiskajā izvērtējumā sniegt</w:t>
      </w:r>
      <w:r w:rsidR="009C4199" w:rsidRPr="00595533">
        <w:rPr>
          <w:lang w:val="lv-LV"/>
        </w:rPr>
        <w:t>ām rekomendācijām</w:t>
      </w:r>
      <w:r w:rsidRPr="00595533">
        <w:rPr>
          <w:lang w:val="lv-LV"/>
        </w:rPr>
        <w:t xml:space="preserve">. </w:t>
      </w:r>
      <w:r w:rsidR="00786985" w:rsidRPr="00595533">
        <w:rPr>
          <w:lang w:val="lv-LV"/>
        </w:rPr>
        <w:t xml:space="preserve">Kopumā tam paredzēts </w:t>
      </w:r>
      <w:r w:rsidRPr="00595533">
        <w:rPr>
          <w:lang w:val="lv-LV"/>
        </w:rPr>
        <w:t>viens no lielākajiem ES fondu ieguldījumiem apjoma ziņā nozarē – 120</w:t>
      </w:r>
      <w:r w:rsidR="008C2097">
        <w:rPr>
          <w:lang w:val="lv-LV"/>
        </w:rPr>
        <w:t>,</w:t>
      </w:r>
      <w:r w:rsidRPr="00595533">
        <w:rPr>
          <w:lang w:val="lv-LV"/>
        </w:rPr>
        <w:t xml:space="preserve">25 </w:t>
      </w:r>
      <w:r w:rsidR="008C2097">
        <w:rPr>
          <w:lang w:val="lv-LV"/>
        </w:rPr>
        <w:t>mlj euro</w:t>
      </w:r>
      <w:r w:rsidRPr="00595533">
        <w:rPr>
          <w:lang w:val="lv-LV"/>
        </w:rPr>
        <w:t>. 2017.</w:t>
      </w:r>
      <w:r w:rsidR="004964EE" w:rsidRPr="00595533">
        <w:rPr>
          <w:lang w:val="lv-LV"/>
        </w:rPr>
        <w:t> </w:t>
      </w:r>
      <w:r w:rsidRPr="00595533">
        <w:rPr>
          <w:lang w:val="lv-LV"/>
        </w:rPr>
        <w:t xml:space="preserve">gadā ir uzsākta P&amp;A infrastruktūras attīstīšana Viedās specializācijas jomās un zinātnisko institūciju institucionālās kapacitātes stiprināšanas projektu īstenošana 14 augstākās izglītības iestādēs un zinātniskajos institūtos.  </w:t>
      </w:r>
    </w:p>
    <w:p w14:paraId="47D17D8E" w14:textId="35986945" w:rsidR="004964EE" w:rsidRPr="00595533" w:rsidRDefault="004964EE" w:rsidP="00B24A04">
      <w:pPr>
        <w:rPr>
          <w:lang w:val="lv-LV"/>
        </w:rPr>
      </w:pPr>
      <w:r w:rsidRPr="00595533">
        <w:rPr>
          <w:lang w:val="lv-LV"/>
        </w:rPr>
        <w:t xml:space="preserve">Lai veicinātu publiskās pārvaldes informācijas pieejamību, uzlabotu pakalpojumu pieejamību, palielinot publiskās pārvaldes mašīntulkošanas koplietošanu, plānots izstrādāt </w:t>
      </w:r>
      <w:r w:rsidRPr="00595533">
        <w:rPr>
          <w:b/>
          <w:lang w:val="lv-LV"/>
        </w:rPr>
        <w:t>mašīntulkošanas platformu</w:t>
      </w:r>
      <w:r w:rsidRPr="00595533">
        <w:rPr>
          <w:lang w:val="lv-LV"/>
        </w:rPr>
        <w:t>, par pamatu izmantojot esošo e-pārvaldes mašīntulku HUGO. Mašīntulkošanas projekts tiks īstenots no ES fondu līdzekļiem</w:t>
      </w:r>
      <w:r w:rsidRPr="00595533">
        <w:rPr>
          <w:rStyle w:val="FootnoteReference"/>
          <w:b/>
          <w:lang w:val="lv-LV"/>
        </w:rPr>
        <w:footnoteReference w:id="27"/>
      </w:r>
      <w:r w:rsidRPr="00595533">
        <w:rPr>
          <w:lang w:val="lv-LV"/>
        </w:rPr>
        <w:t>.</w:t>
      </w:r>
    </w:p>
    <w:p w14:paraId="4CF9863B" w14:textId="3C2A43DA" w:rsidR="00B24A04" w:rsidRPr="00595533" w:rsidRDefault="00182B3E" w:rsidP="00F1556C">
      <w:pPr>
        <w:rPr>
          <w:lang w:val="lv-LV"/>
        </w:rPr>
      </w:pPr>
      <w:r w:rsidRPr="00595533">
        <w:rPr>
          <w:lang w:val="lv-LV"/>
        </w:rPr>
        <w:t xml:space="preserve">Savukārt, lai </w:t>
      </w:r>
      <w:r w:rsidRPr="001B152A">
        <w:rPr>
          <w:lang w:val="lv-LV"/>
        </w:rPr>
        <w:t>attīstītu privātā sektora pētniecības un inovāciju kapacitāti, n</w:t>
      </w:r>
      <w:r w:rsidR="00B24A04" w:rsidRPr="001B152A">
        <w:rPr>
          <w:lang w:val="lv-LV"/>
        </w:rPr>
        <w:t>o 2016.</w:t>
      </w:r>
      <w:r w:rsidRPr="001B152A">
        <w:rPr>
          <w:lang w:val="lv-LV"/>
        </w:rPr>
        <w:t> </w:t>
      </w:r>
      <w:r w:rsidR="00B24A04" w:rsidRPr="001B152A">
        <w:rPr>
          <w:lang w:val="lv-LV"/>
        </w:rPr>
        <w:t xml:space="preserve">gada pieejams </w:t>
      </w:r>
      <w:r w:rsidR="00B24A04" w:rsidRPr="001B152A">
        <w:rPr>
          <w:b/>
          <w:lang w:val="lv-LV"/>
        </w:rPr>
        <w:t>atbalsts jaun</w:t>
      </w:r>
      <w:r w:rsidRPr="001B152A">
        <w:rPr>
          <w:b/>
          <w:lang w:val="lv-LV"/>
        </w:rPr>
        <w:t>u produktu ieviešanai ražošanā</w:t>
      </w:r>
      <w:r w:rsidRPr="001B152A">
        <w:rPr>
          <w:lang w:val="lv-LV"/>
        </w:rPr>
        <w:t xml:space="preserve">. </w:t>
      </w:r>
      <w:r w:rsidR="00B24A04" w:rsidRPr="001B152A">
        <w:rPr>
          <w:lang w:val="lv-LV"/>
        </w:rPr>
        <w:t>Programmas ietvaros atbalsts tiek piešķirts eksperimentālu tehnoloģiju izgatavošanai vai iegādei, kā arī uzstādīšanai un testēšanai reālā ražošanas vidē.</w:t>
      </w:r>
      <w:r w:rsidR="00B24A04" w:rsidRPr="00595533">
        <w:rPr>
          <w:lang w:val="lv-LV"/>
        </w:rPr>
        <w:t xml:space="preserve"> </w:t>
      </w:r>
    </w:p>
    <w:p w14:paraId="1B9F6DE3" w14:textId="751E2EA2" w:rsidR="00B24A04" w:rsidRPr="00595533" w:rsidRDefault="00B24A04" w:rsidP="00F1556C">
      <w:pPr>
        <w:rPr>
          <w:lang w:val="lv-LV"/>
        </w:rPr>
      </w:pPr>
      <w:r w:rsidRPr="00595533">
        <w:rPr>
          <w:lang w:val="lv-LV"/>
        </w:rPr>
        <w:t>Tāpat no 2016.</w:t>
      </w:r>
      <w:r w:rsidR="00182B3E" w:rsidRPr="00595533">
        <w:rPr>
          <w:lang w:val="lv-LV"/>
        </w:rPr>
        <w:t> </w:t>
      </w:r>
      <w:r w:rsidRPr="00595533">
        <w:rPr>
          <w:lang w:val="lv-LV"/>
        </w:rPr>
        <w:t>gad</w:t>
      </w:r>
      <w:r w:rsidR="00B27C23">
        <w:rPr>
          <w:lang w:val="lv-LV"/>
        </w:rPr>
        <w:t>a</w:t>
      </w:r>
      <w:r w:rsidRPr="00595533">
        <w:rPr>
          <w:lang w:val="lv-LV"/>
        </w:rPr>
        <w:t xml:space="preserve"> uzsākts </w:t>
      </w:r>
      <w:r w:rsidRPr="00595533">
        <w:rPr>
          <w:b/>
          <w:lang w:val="lv-LV"/>
        </w:rPr>
        <w:t>atbalsts jaunu produktu un tehnoloģiju izstrādei</w:t>
      </w:r>
      <w:r w:rsidRPr="00595533">
        <w:rPr>
          <w:lang w:val="lv-LV"/>
        </w:rPr>
        <w:t xml:space="preserve"> kompetences centru ietvaros, kas veicina pētniecības un rūpniecības sektoru sadarbību jaunu produktu un tehnoloģiju attīstība</w:t>
      </w:r>
      <w:r w:rsidR="00182B3E" w:rsidRPr="00595533">
        <w:rPr>
          <w:lang w:val="lv-LV"/>
        </w:rPr>
        <w:t>i</w:t>
      </w:r>
      <w:r w:rsidRPr="00595533">
        <w:rPr>
          <w:lang w:val="lv-LV"/>
        </w:rPr>
        <w:t xml:space="preserve"> un ieviešana</w:t>
      </w:r>
      <w:r w:rsidR="00182B3E" w:rsidRPr="00595533">
        <w:rPr>
          <w:lang w:val="lv-LV"/>
        </w:rPr>
        <w:t>i</w:t>
      </w:r>
      <w:r w:rsidRPr="00595533">
        <w:rPr>
          <w:lang w:val="lv-LV"/>
        </w:rPr>
        <w:t xml:space="preserve"> ražošanā. </w:t>
      </w:r>
      <w:r w:rsidR="005D3E86" w:rsidRPr="00682189">
        <w:rPr>
          <w:iCs/>
          <w:sz w:val="24"/>
          <w:lang w:val="lv-LV"/>
        </w:rPr>
        <w:t xml:space="preserve">Šobrīd </w:t>
      </w:r>
      <w:r w:rsidR="005D3E86">
        <w:rPr>
          <w:iCs/>
          <w:sz w:val="24"/>
          <w:lang w:val="lv-LV"/>
        </w:rPr>
        <w:t>pieejamais finansējums – 64,3 m</w:t>
      </w:r>
      <w:r w:rsidR="005D3E86" w:rsidRPr="00682189">
        <w:rPr>
          <w:iCs/>
          <w:sz w:val="24"/>
          <w:lang w:val="lv-LV"/>
        </w:rPr>
        <w:t xml:space="preserve">lj </w:t>
      </w:r>
      <w:r w:rsidR="005D3E86">
        <w:rPr>
          <w:iCs/>
          <w:sz w:val="24"/>
          <w:lang w:val="lv-LV"/>
        </w:rPr>
        <w:t xml:space="preserve">euro. </w:t>
      </w:r>
      <w:r w:rsidRPr="00595533">
        <w:rPr>
          <w:lang w:val="lv-LV"/>
        </w:rPr>
        <w:t xml:space="preserve">Atbalsts tiek nodrošināts </w:t>
      </w:r>
      <w:r w:rsidR="00182B3E" w:rsidRPr="00595533">
        <w:rPr>
          <w:lang w:val="lv-LV"/>
        </w:rPr>
        <w:t>kopumā astoņiem</w:t>
      </w:r>
      <w:r w:rsidRPr="00595533">
        <w:rPr>
          <w:lang w:val="lv-LV"/>
        </w:rPr>
        <w:t xml:space="preserve"> kompetences centriem, izveidojot tos katrā no Latvijas viedās specializācijas jomām. </w:t>
      </w:r>
      <w:r w:rsidR="005D3E86" w:rsidRPr="005D3E86">
        <w:rPr>
          <w:iCs/>
          <w:lang w:val="lv-LV"/>
        </w:rPr>
        <w:t xml:space="preserve">Kompetences centru ietvaros ir uzsākti 144 komersantu pētījumi par kopējo summu 44,6 mlj </w:t>
      </w:r>
      <w:r w:rsidR="005D3E86">
        <w:rPr>
          <w:iCs/>
          <w:lang w:val="lv-LV"/>
        </w:rPr>
        <w:t>euro</w:t>
      </w:r>
      <w:r w:rsidR="005D3E86" w:rsidRPr="005D3E86">
        <w:rPr>
          <w:iCs/>
          <w:lang w:val="lv-LV"/>
        </w:rPr>
        <w:t xml:space="preserve">, no kuriem 19,9 mlj </w:t>
      </w:r>
      <w:r w:rsidR="00326353">
        <w:rPr>
          <w:iCs/>
          <w:lang w:val="lv-LV"/>
        </w:rPr>
        <w:t>euro</w:t>
      </w:r>
      <w:r w:rsidR="005D3E86" w:rsidRPr="005D3E86">
        <w:rPr>
          <w:iCs/>
          <w:lang w:val="lv-LV"/>
        </w:rPr>
        <w:t xml:space="preserve"> ir privātais līdzfinansējums.</w:t>
      </w:r>
      <w:r w:rsidR="00326353">
        <w:rPr>
          <w:iCs/>
          <w:lang w:val="lv-LV"/>
        </w:rPr>
        <w:t xml:space="preserve"> </w:t>
      </w:r>
      <w:r w:rsidR="00704EBF" w:rsidRPr="00595533">
        <w:rPr>
          <w:lang w:val="lv-LV"/>
        </w:rPr>
        <w:t>Jāatzīmē, ka ir vērojams</w:t>
      </w:r>
      <w:r w:rsidRPr="00595533">
        <w:rPr>
          <w:lang w:val="lv-LV"/>
        </w:rPr>
        <w:t xml:space="preserve"> pieprasījums pēc valsts atbalsta formām, kas nodrošin</w:t>
      </w:r>
      <w:r w:rsidR="00704EBF" w:rsidRPr="00595533">
        <w:rPr>
          <w:lang w:val="lv-LV"/>
        </w:rPr>
        <w:t>ātu</w:t>
      </w:r>
      <w:r w:rsidRPr="00595533">
        <w:rPr>
          <w:lang w:val="lv-LV"/>
        </w:rPr>
        <w:t xml:space="preserve"> publiskā līdzfinansējuma daļu privātā sektora ieguldījumiem P&amp;A un inovācijas darbībās.</w:t>
      </w:r>
    </w:p>
    <w:p w14:paraId="4E4758E2" w14:textId="027CE519" w:rsidR="00B24A04" w:rsidRPr="00595533" w:rsidRDefault="00704EBF" w:rsidP="00F1556C">
      <w:pPr>
        <w:rPr>
          <w:lang w:val="lv-LV"/>
        </w:rPr>
      </w:pPr>
      <w:r w:rsidRPr="00595533">
        <w:rPr>
          <w:lang w:val="lv-LV"/>
        </w:rPr>
        <w:t>Vienlaikus t</w:t>
      </w:r>
      <w:r w:rsidR="00B24A04" w:rsidRPr="00595533">
        <w:rPr>
          <w:lang w:val="lv-LV"/>
        </w:rPr>
        <w:t>ie</w:t>
      </w:r>
      <w:r w:rsidRPr="00595533">
        <w:rPr>
          <w:lang w:val="lv-LV"/>
        </w:rPr>
        <w:t>k</w:t>
      </w:r>
      <w:r w:rsidR="00B24A04" w:rsidRPr="00595533">
        <w:rPr>
          <w:lang w:val="lv-LV"/>
        </w:rPr>
        <w:t xml:space="preserve"> sniegts </w:t>
      </w:r>
      <w:r w:rsidRPr="00595533">
        <w:rPr>
          <w:lang w:val="lv-LV"/>
        </w:rPr>
        <w:t xml:space="preserve">arī </w:t>
      </w:r>
      <w:r w:rsidR="00B24A04" w:rsidRPr="00595533">
        <w:rPr>
          <w:b/>
          <w:lang w:val="lv-LV"/>
        </w:rPr>
        <w:t>atbalsts zinātnisko grupu izstrādātiem praktiskas ievirzes pētījumiem</w:t>
      </w:r>
      <w:r w:rsidR="00B24A04" w:rsidRPr="00595533">
        <w:rPr>
          <w:lang w:val="lv-LV"/>
        </w:rPr>
        <w:t xml:space="preserve"> (apstiprināti 73 projekti) inovatīvu risinājumu izstrādei nozīmīgu tautsaimniecības problēmu risināšanai, nodrošinot zināšanu pārnesi Latvijas viedās specializācijas jomās un fokusējot atbalstu uz pētniecības projektiem ar augstu komercializācijas potenciālu.</w:t>
      </w:r>
    </w:p>
    <w:p w14:paraId="2229B184" w14:textId="0C6DB026" w:rsidR="00B24A04" w:rsidRPr="00595533" w:rsidRDefault="00B24A04" w:rsidP="00F1556C">
      <w:pPr>
        <w:rPr>
          <w:lang w:val="lv-LV"/>
        </w:rPr>
      </w:pPr>
      <w:r w:rsidRPr="00595533">
        <w:rPr>
          <w:lang w:val="lv-LV"/>
        </w:rPr>
        <w:t>2017.</w:t>
      </w:r>
      <w:r w:rsidR="00704EBF" w:rsidRPr="00595533">
        <w:rPr>
          <w:lang w:val="lv-LV"/>
        </w:rPr>
        <w:t> </w:t>
      </w:r>
      <w:r w:rsidRPr="00595533">
        <w:rPr>
          <w:lang w:val="lv-LV"/>
        </w:rPr>
        <w:t xml:space="preserve">gadā LIAA izveidots </w:t>
      </w:r>
      <w:r w:rsidRPr="00595533">
        <w:rPr>
          <w:b/>
          <w:lang w:val="lv-LV"/>
        </w:rPr>
        <w:t>Vienotais tehnoloģiju pārneses centrs</w:t>
      </w:r>
      <w:r w:rsidRPr="00595533">
        <w:rPr>
          <w:lang w:val="lv-LV"/>
        </w:rPr>
        <w:t xml:space="preserve">, kas veic tehnoloģiju monitoringu un analīzi, īsteno atbalsta pasākumus, t.sk. sniedz konsultācijas par finansējuma piesaisti, nodrošina komercializācijas un patentēšanas fonda, kā arī inovāciju vaučera atbalsta instrumenta darbību, īsteno tehnoloģiju tirgus pētījumus, nākotnes scenāriju modelēšanu u.c. </w:t>
      </w:r>
    </w:p>
    <w:p w14:paraId="5C0833EA" w14:textId="0B8DEDA8" w:rsidR="00B24A04" w:rsidRPr="00595533" w:rsidRDefault="00844F76" w:rsidP="00F1556C">
      <w:pPr>
        <w:rPr>
          <w:lang w:val="lv-LV"/>
        </w:rPr>
      </w:pPr>
      <w:r w:rsidRPr="00595533">
        <w:rPr>
          <w:lang w:val="lv-LV"/>
        </w:rPr>
        <w:lastRenderedPageBreak/>
        <w:t>Lai panāktu</w:t>
      </w:r>
      <w:r w:rsidR="00704EBF" w:rsidRPr="00595533">
        <w:rPr>
          <w:lang w:val="lv-LV"/>
        </w:rPr>
        <w:t xml:space="preserve"> </w:t>
      </w:r>
      <w:r w:rsidR="00704EBF" w:rsidRPr="00595533">
        <w:rPr>
          <w:b/>
          <w:lang w:val="lv-LV"/>
        </w:rPr>
        <w:t>zi</w:t>
      </w:r>
      <w:r w:rsidRPr="00595533">
        <w:rPr>
          <w:b/>
          <w:lang w:val="lv-LV"/>
        </w:rPr>
        <w:t>n</w:t>
      </w:r>
      <w:r w:rsidR="00704EBF" w:rsidRPr="00595533">
        <w:rPr>
          <w:b/>
          <w:lang w:val="lv-LV"/>
        </w:rPr>
        <w:t xml:space="preserve">ātnes un rūpniecības </w:t>
      </w:r>
      <w:r w:rsidRPr="00595533">
        <w:rPr>
          <w:b/>
          <w:lang w:val="lv-LV"/>
        </w:rPr>
        <w:t>sektoru sadarbību</w:t>
      </w:r>
      <w:r w:rsidRPr="00595533">
        <w:rPr>
          <w:lang w:val="lv-LV"/>
        </w:rPr>
        <w:t>, p</w:t>
      </w:r>
      <w:r w:rsidR="00704EBF" w:rsidRPr="00595533">
        <w:rPr>
          <w:lang w:val="lv-LV"/>
        </w:rPr>
        <w:t xml:space="preserve">ārskata periodā </w:t>
      </w:r>
      <w:r w:rsidRPr="00595533">
        <w:rPr>
          <w:lang w:val="lv-LV"/>
        </w:rPr>
        <w:t>s</w:t>
      </w:r>
      <w:r w:rsidR="00B24A04" w:rsidRPr="00595533">
        <w:rPr>
          <w:lang w:val="lv-LV"/>
        </w:rPr>
        <w:t xml:space="preserve">niegts atbalsts tehnoloģiju pārneses sistēmas pilnveidošanai ar mērķi attīstīt pētniecības rezultātu komercializācijas kompetences valsts pētniecības organizācijās, sekmējot šo pētniecības organizāciju īpašumā esošo pētniecības rezultātu komercializāciju gan Latvijā, gan ārvalstīs, tādējādi palielinot pētniecības organizāciju ienākumus no pētījumu rezultātu komercializēšanas vai pārvēršot pētījumu rezultātus veiksmīgā </w:t>
      </w:r>
      <w:r w:rsidR="00B24A04" w:rsidRPr="00F63D5E">
        <w:rPr>
          <w:lang w:val="lv-LV"/>
        </w:rPr>
        <w:t xml:space="preserve">uzņēmējdarbībā. </w:t>
      </w:r>
      <w:r w:rsidR="00F63D5E">
        <w:rPr>
          <w:lang w:val="lv-LV"/>
        </w:rPr>
        <w:t>Vienlaikus nepieciešams vairāk sekmēt</w:t>
      </w:r>
      <w:r w:rsidRPr="00F63D5E">
        <w:rPr>
          <w:lang w:val="lv-LV"/>
        </w:rPr>
        <w:t xml:space="preserve"> valsts pētniecības organizāciju rīcībā esošo pētniecisko izstrādņu komercializācijas procesu.</w:t>
      </w:r>
    </w:p>
    <w:p w14:paraId="348BDF82" w14:textId="4AE08A5E" w:rsidR="00B24A04" w:rsidRPr="00595533" w:rsidRDefault="00B24A04" w:rsidP="00B24A04">
      <w:pPr>
        <w:rPr>
          <w:iCs/>
          <w:lang w:val="lv-LV"/>
        </w:rPr>
      </w:pPr>
      <w:r w:rsidRPr="00595533">
        <w:rPr>
          <w:bCs/>
          <w:iCs/>
          <w:lang w:val="lv-LV"/>
        </w:rPr>
        <w:t xml:space="preserve">Paralēli paredzētas inovācijas aktivitātes veicināšana sīkajos (mikro), mazajos un vidējos komersantos, tehnoloģiju pārneses ceļā sniedzot tiem atbalstu jaunu vai būtiski uzlabotu produktu un tehnoloģiju attīstībai (inovācijas vaučeri, t.sk. atbalsts augstas kvalifikācijas darbinieku piesaistei). </w:t>
      </w:r>
    </w:p>
    <w:p w14:paraId="09A9A9B8" w14:textId="77777777" w:rsidR="005D5DAC" w:rsidRPr="00595533" w:rsidRDefault="005D5DAC" w:rsidP="005D5DAC">
      <w:pPr>
        <w:rPr>
          <w:sz w:val="6"/>
          <w:szCs w:val="6"/>
          <w:lang w:val="lv-LV"/>
        </w:rPr>
      </w:pPr>
    </w:p>
    <w:p w14:paraId="4CE0ADDE" w14:textId="77777777" w:rsidR="005D5DAC" w:rsidRPr="00595533" w:rsidRDefault="005D5DAC" w:rsidP="005D5DAC">
      <w:pPr>
        <w:pStyle w:val="Heading3"/>
        <w:rPr>
          <w:lang w:val="lv-LV"/>
        </w:rPr>
      </w:pPr>
      <w:bookmarkStart w:id="37" w:name="_Toc498690621"/>
      <w:r w:rsidRPr="00595533">
        <w:rPr>
          <w:lang w:val="lv-LV"/>
        </w:rPr>
        <w:t>PROGRESA NOVĒRTĒJUMS</w:t>
      </w:r>
      <w:bookmarkEnd w:id="37"/>
    </w:p>
    <w:p w14:paraId="4041CD86" w14:textId="41AB0686" w:rsidR="00E2189D" w:rsidRPr="00595533" w:rsidRDefault="00E2189D" w:rsidP="00F1556C">
      <w:pPr>
        <w:rPr>
          <w:lang w:val="lv-LV"/>
        </w:rPr>
      </w:pPr>
      <w:r w:rsidRPr="00ED0778">
        <w:rPr>
          <w:lang w:val="lv-LV"/>
        </w:rPr>
        <w:t xml:space="preserve">Rīcības virziena </w:t>
      </w:r>
      <w:r w:rsidRPr="00ED0778">
        <w:rPr>
          <w:i/>
          <w:lang w:val="lv-LV"/>
        </w:rPr>
        <w:t>Attīstīta pētniecība, inovācija un augstākā izglītība</w:t>
      </w:r>
      <w:r w:rsidRPr="00ED0778">
        <w:rPr>
          <w:lang w:val="lv-LV"/>
        </w:rPr>
        <w:t xml:space="preserve"> mērķu sasniegšanai sākotnēji tika plānots investēt kopumā 1,5 mljrd. euro. Uz starpposma izvērtējuma brīdi rīcības virziena uzdevumu īstenošanai ir apzinātas kopējās investīcijas 801 mlj. euro apmērā jeb 55,1% no sākotnēji plānotā. No minētajām investīcijām lielāko daļu jeb 69,5% veido ES fondu finansējums, savukārt nacionālais finansējums sastāda 28,7% un cits ārvalstu finansējums vien 1,7%. Jāatzīmē, ka atbilstoši sākotnēji indikatīvi plānotajiem finanšu ieguldījumiem nozarē ārvalstu finansējuma īpatsvars tiks prognozēts 43,1% apmērā no visas attīstības finansējuma kopsummas, savukārt privāto ieguldījumu apjoms tika rēķināts 16,7% apjomā.</w:t>
      </w:r>
    </w:p>
    <w:p w14:paraId="102DD113" w14:textId="503FAA2F" w:rsidR="00AA58A4" w:rsidRPr="00595533" w:rsidRDefault="00786A88" w:rsidP="002C3763">
      <w:pPr>
        <w:rPr>
          <w:lang w:val="lv-LV"/>
        </w:rPr>
      </w:pPr>
      <w:r w:rsidRPr="00595533">
        <w:rPr>
          <w:lang w:val="lv-LV"/>
        </w:rPr>
        <w:t>Rīcības virziena indikatoru analīze uzrāda, ka pēdējo gadu laikā nedaudz, bet stabili pieaudzis to 30-34 gadus veco iedzīvotāju īpatsvars, kuri ieguvuši augstāko izglītību</w:t>
      </w:r>
      <w:r w:rsidR="00CE4E1D" w:rsidRPr="00595533">
        <w:rPr>
          <w:lang w:val="lv-LV"/>
        </w:rPr>
        <w:t>. Ja 2010.</w:t>
      </w:r>
      <w:r w:rsidR="005D5DAC" w:rsidRPr="00595533">
        <w:rPr>
          <w:lang w:val="lv-LV"/>
        </w:rPr>
        <w:t> </w:t>
      </w:r>
      <w:r w:rsidR="00CE4E1D" w:rsidRPr="00595533">
        <w:rPr>
          <w:lang w:val="lv-LV"/>
        </w:rPr>
        <w:t>gadā starp minētās vecuma kohortas iedzīvotājiem augstākā izglītība bija aptuveni trešdaļai (32,6%), tad šobrīd augstākais izglītības līmenis ir diviem no pieciem cilvēkiem attiecīgajā vecuma grupā (42,8%)</w:t>
      </w:r>
      <w:r w:rsidR="001177E9" w:rsidRPr="00595533">
        <w:rPr>
          <w:lang w:val="lv-LV"/>
        </w:rPr>
        <w:t>, kas vērtējams kā vidējs rādītājs s</w:t>
      </w:r>
      <w:r w:rsidR="00CE4E1D" w:rsidRPr="00595533">
        <w:rPr>
          <w:lang w:val="lv-LV"/>
        </w:rPr>
        <w:t xml:space="preserve">alīdzinājumā ar citām </w:t>
      </w:r>
      <w:r w:rsidR="000C5AE1">
        <w:rPr>
          <w:lang w:val="lv-LV"/>
        </w:rPr>
        <w:t>Ei</w:t>
      </w:r>
      <w:r w:rsidR="00595533" w:rsidRPr="00595533">
        <w:rPr>
          <w:lang w:val="lv-LV"/>
        </w:rPr>
        <w:t>ro</w:t>
      </w:r>
      <w:r w:rsidR="00CE4E1D" w:rsidRPr="00595533">
        <w:rPr>
          <w:lang w:val="lv-LV"/>
        </w:rPr>
        <w:t>pas reģiona valstīm</w:t>
      </w:r>
      <w:r w:rsidR="001177E9" w:rsidRPr="00595533">
        <w:rPr>
          <w:lang w:val="lv-LV"/>
        </w:rPr>
        <w:t xml:space="preserve">, taču liecina, ka NAP2020 nospraustais mērķis attiecībā uz augstāko izglītību populācijā ir sasniegts. Vienlaikus gan būtiski samazinājies </w:t>
      </w:r>
      <w:r w:rsidR="00DB0F9D" w:rsidRPr="00595533">
        <w:rPr>
          <w:lang w:val="lv-LV"/>
        </w:rPr>
        <w:t>grādu vai kvalifikāciju ieguvušo studentu skaits Latvijas augstskolās un koledžās. Ja 2010</w:t>
      </w:r>
      <w:r w:rsidR="005D5DAC" w:rsidRPr="00595533">
        <w:rPr>
          <w:lang w:val="lv-LV"/>
        </w:rPr>
        <w:t>. </w:t>
      </w:r>
      <w:r w:rsidR="00DB0F9D" w:rsidRPr="00595533">
        <w:rPr>
          <w:lang w:val="lv-LV"/>
        </w:rPr>
        <w:t>gadā augstāko izglītību Latvijā bija ieguvuši 26,5 tūkstoši studentu, tad 2016. gadā tādi bija tikai 15,8 tūkstoši jeb par 40% mazāk nekā pirms sešiem gadiem.</w:t>
      </w:r>
      <w:r w:rsidR="00A04104" w:rsidRPr="00595533">
        <w:rPr>
          <w:lang w:val="lv-LV"/>
        </w:rPr>
        <w:t xml:space="preserve"> Visbūtiskāk absolventu skaits samazinājies sociālo zinātņu, komerczinību un tiesību, kā arī izglītības tematiskajā grupā, taču tajā pat laikā salīdzinoši stabils </w:t>
      </w:r>
      <w:r w:rsidR="006211EA" w:rsidRPr="00595533">
        <w:rPr>
          <w:lang w:val="lv-LV"/>
        </w:rPr>
        <w:t xml:space="preserve">tas </w:t>
      </w:r>
      <w:r w:rsidR="00A04104" w:rsidRPr="00595533">
        <w:rPr>
          <w:lang w:val="lv-LV"/>
        </w:rPr>
        <w:t xml:space="preserve">bijis veselības aprūpes un sociālās labklājības, dabas zinātnes, matemātikas </w:t>
      </w:r>
      <w:r w:rsidR="00A04104" w:rsidRPr="001B152A">
        <w:rPr>
          <w:lang w:val="lv-LV"/>
        </w:rPr>
        <w:t>un informācijas tehnoloģiju, kā arī lauks</w:t>
      </w:r>
      <w:r w:rsidR="006211EA" w:rsidRPr="001B152A">
        <w:rPr>
          <w:lang w:val="lv-LV"/>
        </w:rPr>
        <w:t>aimniecības tematiskajās grupās, ko lielā mērā ietekmējusi ne tikai Latvijas jauniešu interese par attiecīgajām studiju programmām, bet arī augstākās izglītības eksports.</w:t>
      </w:r>
    </w:p>
    <w:p w14:paraId="6926B238" w14:textId="77777777" w:rsidR="00B85AA0" w:rsidRDefault="00B85AA0">
      <w:pPr>
        <w:spacing w:before="0" w:after="0"/>
        <w:jc w:val="left"/>
        <w:rPr>
          <w:b/>
          <w:color w:val="253356" w:themeColor="accent1" w:themeShade="80"/>
          <w:lang w:val="lv-LV"/>
        </w:rPr>
      </w:pPr>
      <w:r w:rsidRPr="000664FB">
        <w:rPr>
          <w:lang w:val="lv-LV"/>
        </w:rPr>
        <w:br w:type="page"/>
      </w:r>
    </w:p>
    <w:p w14:paraId="424C145C" w14:textId="6F53490F" w:rsidR="005011BC" w:rsidRPr="00595533" w:rsidRDefault="00B85AA0" w:rsidP="005011BC">
      <w:pPr>
        <w:pStyle w:val="attelunosaukums"/>
      </w:pPr>
      <w:r>
        <w:lastRenderedPageBreak/>
        <w:t>15</w:t>
      </w:r>
      <w:r w:rsidR="005011BC" w:rsidRPr="00595533">
        <w:t xml:space="preserve">.attēls.  </w:t>
      </w:r>
      <w:r w:rsidR="00D10078" w:rsidRPr="00595533">
        <w:t>Grādu vai kvalifikāciju ieguvušo studentu skaits (tūkst.)</w:t>
      </w:r>
    </w:p>
    <w:p w14:paraId="7222B79D" w14:textId="61EB8210" w:rsidR="005011BC" w:rsidRPr="00595533" w:rsidRDefault="0080629C" w:rsidP="002C3763">
      <w:pPr>
        <w:rPr>
          <w:lang w:val="lv-LV"/>
        </w:rPr>
      </w:pPr>
      <w:r>
        <w:rPr>
          <w:noProof/>
          <w:lang w:val="lv-LV" w:eastAsia="lv-LV"/>
        </w:rPr>
        <w:drawing>
          <wp:inline distT="0" distB="0" distL="0" distR="0" wp14:anchorId="22E97A2E" wp14:editId="13DF8A1F">
            <wp:extent cx="4460682" cy="2536466"/>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CEED09" w14:textId="77777777" w:rsidR="0080629C" w:rsidRDefault="0080629C" w:rsidP="00B85AA0">
      <w:pPr>
        <w:pStyle w:val="Piezme"/>
      </w:pPr>
    </w:p>
    <w:p w14:paraId="0F770B76" w14:textId="40B14ECC" w:rsidR="005011BC" w:rsidRPr="00595533" w:rsidRDefault="0032789E" w:rsidP="002C3763">
      <w:pPr>
        <w:rPr>
          <w:lang w:val="lv-LV"/>
        </w:rPr>
      </w:pPr>
      <w:r w:rsidRPr="00595533">
        <w:rPr>
          <w:lang w:val="lv-LV"/>
        </w:rPr>
        <w:t>Ja analizē zinātnes un pētniecības attīstības gaitu, vērojams, ka pēdējo gadu laikā visai mainīgs ir bijis privātā sektora ieguldījumu apjoms pētniecībā un attīstībā. Ja 2014.</w:t>
      </w:r>
      <w:r w:rsidR="00E25F25" w:rsidRPr="00595533">
        <w:rPr>
          <w:lang w:val="lv-LV"/>
        </w:rPr>
        <w:t> </w:t>
      </w:r>
      <w:r w:rsidRPr="00595533">
        <w:rPr>
          <w:lang w:val="lv-LV"/>
        </w:rPr>
        <w:t xml:space="preserve">gadā privātā sektora ieguldījumu daļa </w:t>
      </w:r>
      <w:r w:rsidR="00F97883" w:rsidRPr="00595533">
        <w:rPr>
          <w:lang w:val="lv-LV"/>
        </w:rPr>
        <w:t>bija</w:t>
      </w:r>
      <w:r w:rsidRPr="00595533">
        <w:rPr>
          <w:lang w:val="lv-LV"/>
        </w:rPr>
        <w:t xml:space="preserve"> 35,5% no kopējā ieguldījumu apmēra nozarē, tad </w:t>
      </w:r>
      <w:r w:rsidR="00A70C32" w:rsidRPr="00595533">
        <w:rPr>
          <w:lang w:val="lv-LV"/>
        </w:rPr>
        <w:t>2015.</w:t>
      </w:r>
      <w:r w:rsidR="00AB17DF" w:rsidRPr="00595533">
        <w:rPr>
          <w:lang w:val="lv-LV"/>
        </w:rPr>
        <w:t> </w:t>
      </w:r>
      <w:r w:rsidR="00A70C32" w:rsidRPr="00595533">
        <w:rPr>
          <w:lang w:val="lv-LV"/>
        </w:rPr>
        <w:t>un 2016.</w:t>
      </w:r>
      <w:r w:rsidR="00AB17DF" w:rsidRPr="00595533">
        <w:rPr>
          <w:lang w:val="lv-LV"/>
        </w:rPr>
        <w:t> </w:t>
      </w:r>
      <w:r w:rsidR="00A70C32" w:rsidRPr="00595533">
        <w:rPr>
          <w:lang w:val="lv-LV"/>
        </w:rPr>
        <w:t>g</w:t>
      </w:r>
      <w:r w:rsidR="00240CF8" w:rsidRPr="00595533">
        <w:rPr>
          <w:lang w:val="lv-LV"/>
        </w:rPr>
        <w:t xml:space="preserve">adā tā veidoja vien ceturtdaļu, kas lielā mērā skaidrojams ar pētniecībai un attīstībai paredzētā ārvalstu finansējuma samazināšanos uzņēmējdarbības sektorā. </w:t>
      </w:r>
      <w:r w:rsidR="00F97883" w:rsidRPr="00595533">
        <w:rPr>
          <w:lang w:val="lv-LV"/>
        </w:rPr>
        <w:t>Vienlaikus j</w:t>
      </w:r>
      <w:r w:rsidR="00A70C32" w:rsidRPr="00595533">
        <w:rPr>
          <w:lang w:val="lv-LV"/>
        </w:rPr>
        <w:t>āatzīmē, ka 2016.</w:t>
      </w:r>
      <w:r w:rsidR="00AB17DF" w:rsidRPr="00595533">
        <w:rPr>
          <w:lang w:val="lv-LV"/>
        </w:rPr>
        <w:t> </w:t>
      </w:r>
      <w:r w:rsidR="00A70C32" w:rsidRPr="00595533">
        <w:rPr>
          <w:lang w:val="lv-LV"/>
        </w:rPr>
        <w:t xml:space="preserve">gadā bija vērojams </w:t>
      </w:r>
      <w:r w:rsidR="00F97883" w:rsidRPr="00595533">
        <w:rPr>
          <w:lang w:val="lv-LV"/>
        </w:rPr>
        <w:t xml:space="preserve">arī </w:t>
      </w:r>
      <w:r w:rsidR="00A70C32" w:rsidRPr="00595533">
        <w:rPr>
          <w:lang w:val="lv-LV"/>
        </w:rPr>
        <w:t xml:space="preserve">kopējā finansējuma zinātniski pētnieciskam darbam </w:t>
      </w:r>
      <w:r w:rsidR="00F97883" w:rsidRPr="00595533">
        <w:rPr>
          <w:lang w:val="lv-LV"/>
        </w:rPr>
        <w:t>straujš</w:t>
      </w:r>
      <w:r w:rsidR="00240CF8" w:rsidRPr="00595533">
        <w:rPr>
          <w:lang w:val="lv-LV"/>
        </w:rPr>
        <w:t xml:space="preserve"> samazinājums, sasniedzot zemāko līmeni kopš ekonomiskās krīzes.</w:t>
      </w:r>
      <w:r w:rsidR="00E25F25" w:rsidRPr="00595533">
        <w:rPr>
          <w:lang w:val="lv-LV"/>
        </w:rPr>
        <w:t xml:space="preserve"> Tā rezultātā 2016.</w:t>
      </w:r>
      <w:r w:rsidR="00AB17DF" w:rsidRPr="00595533">
        <w:rPr>
          <w:lang w:val="lv-LV"/>
        </w:rPr>
        <w:t> </w:t>
      </w:r>
      <w:r w:rsidR="00E25F25" w:rsidRPr="00595533">
        <w:rPr>
          <w:lang w:val="lv-LV"/>
        </w:rPr>
        <w:t>gadā samazinājies z</w:t>
      </w:r>
      <w:r w:rsidR="00F97883" w:rsidRPr="00595533">
        <w:rPr>
          <w:lang w:val="lv-LV"/>
        </w:rPr>
        <w:t>inātniski pētnieciskā darbā strādājošo skaits kā augstākās izglītības sektorā, tā arī vals</w:t>
      </w:r>
      <w:r w:rsidR="005011BC" w:rsidRPr="00595533">
        <w:rPr>
          <w:lang w:val="lv-LV"/>
        </w:rPr>
        <w:t>ts un uzņēmējdarbības sektoros.</w:t>
      </w:r>
      <w:r w:rsidR="00CD1176" w:rsidRPr="00595533">
        <w:rPr>
          <w:lang w:val="lv-LV"/>
        </w:rPr>
        <w:t xml:space="preserve"> Taču, neskatoties uz finansējuma samazināšanos, 2015. gadā reģistrēts līdz šim lielākais </w:t>
      </w:r>
      <w:r w:rsidR="000C5AE1">
        <w:rPr>
          <w:lang w:val="lv-LV"/>
        </w:rPr>
        <w:t>Ei</w:t>
      </w:r>
      <w:r w:rsidR="00595533" w:rsidRPr="00595533">
        <w:rPr>
          <w:lang w:val="lv-LV"/>
        </w:rPr>
        <w:t>ro</w:t>
      </w:r>
      <w:r w:rsidR="00CD1176" w:rsidRPr="00595533">
        <w:rPr>
          <w:lang w:val="lv-LV"/>
        </w:rPr>
        <w:t>pas patentu iesniegumu skaits no zinātniekiem, kas rezidē Latvijā</w:t>
      </w:r>
      <w:r w:rsidR="008B3049" w:rsidRPr="00595533">
        <w:rPr>
          <w:lang w:val="lv-LV"/>
        </w:rPr>
        <w:t xml:space="preserve"> (30 pieteikumi). Lai gan 2016. gadā šis skaits samazinājies aptuveni uz pusi (12 patenti), arī tas, ņemot vērā rezultātus līdz 2013. gadam, uzskatāms par salīdzinoši augstu rādītāju.</w:t>
      </w:r>
    </w:p>
    <w:p w14:paraId="1FA4D2F1" w14:textId="1B590871" w:rsidR="005011BC" w:rsidRPr="00595533" w:rsidRDefault="00B85AA0" w:rsidP="005011BC">
      <w:pPr>
        <w:pStyle w:val="attelunosaukums"/>
      </w:pPr>
      <w:r>
        <w:t>16</w:t>
      </w:r>
      <w:r w:rsidR="005011BC" w:rsidRPr="00595533">
        <w:t>.attēls.  Publiskā un pr</w:t>
      </w:r>
      <w:r w:rsidR="00D10078" w:rsidRPr="00595533">
        <w:t>ivātā sektora ieguldījums pētniecībā un attīstībā</w:t>
      </w:r>
      <w:r w:rsidR="005011BC" w:rsidRPr="00595533">
        <w:t xml:space="preserve"> (%)</w:t>
      </w:r>
    </w:p>
    <w:p w14:paraId="2B098C9A" w14:textId="61984EE7" w:rsidR="005011BC" w:rsidRDefault="002D07C4" w:rsidP="002C3763">
      <w:pPr>
        <w:rPr>
          <w:lang w:val="lv-LV"/>
        </w:rPr>
      </w:pPr>
      <w:r>
        <w:rPr>
          <w:noProof/>
          <w:lang w:val="lv-LV" w:eastAsia="lv-LV"/>
        </w:rPr>
        <w:drawing>
          <wp:inline distT="0" distB="0" distL="0" distR="0" wp14:anchorId="2B17CC8F" wp14:editId="6BBD35C4">
            <wp:extent cx="4762831" cy="2472856"/>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1C1CEB" w14:textId="77777777" w:rsidR="002D07C4" w:rsidRPr="002D07C4" w:rsidRDefault="002D07C4" w:rsidP="002C3763">
      <w:pPr>
        <w:rPr>
          <w:sz w:val="10"/>
          <w:szCs w:val="10"/>
          <w:lang w:val="lv-LV"/>
        </w:rPr>
      </w:pPr>
    </w:p>
    <w:p w14:paraId="22D20A23" w14:textId="2589440C" w:rsidR="002D07C4" w:rsidRPr="00595533" w:rsidRDefault="002D07C4" w:rsidP="002C3763">
      <w:pPr>
        <w:rPr>
          <w:lang w:val="lv-LV"/>
        </w:rPr>
      </w:pPr>
      <w:r>
        <w:rPr>
          <w:noProof/>
          <w:lang w:val="lv-LV" w:eastAsia="lv-LV"/>
        </w:rPr>
        <w:lastRenderedPageBreak/>
        <w:drawing>
          <wp:inline distT="0" distB="0" distL="0" distR="0" wp14:anchorId="1E044C57" wp14:editId="6844C8A4">
            <wp:extent cx="4595854" cy="256032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930F19" w14:textId="77777777" w:rsidR="002D07C4" w:rsidRDefault="002D07C4" w:rsidP="002C3763">
      <w:pPr>
        <w:rPr>
          <w:lang w:val="lv-LV"/>
        </w:rPr>
      </w:pPr>
    </w:p>
    <w:p w14:paraId="4141A832" w14:textId="27BFFA91" w:rsidR="002C3763" w:rsidRPr="00595533" w:rsidRDefault="00A9677E" w:rsidP="002C3763">
      <w:pPr>
        <w:rPr>
          <w:lang w:val="lv-LV"/>
        </w:rPr>
      </w:pPr>
      <w:r w:rsidRPr="00595533">
        <w:rPr>
          <w:lang w:val="lv-LV"/>
        </w:rPr>
        <w:t xml:space="preserve">Viedokļu līderi virzību uz rīcības virziena nosprausto mērķu sasniegšanu kopumā vērtējuši </w:t>
      </w:r>
      <w:r w:rsidR="006E5486" w:rsidRPr="00595533">
        <w:rPr>
          <w:lang w:val="lv-LV"/>
        </w:rPr>
        <w:t>diezgan kritiski</w:t>
      </w:r>
      <w:r w:rsidRPr="00595533">
        <w:rPr>
          <w:lang w:val="lv-LV"/>
        </w:rPr>
        <w:t xml:space="preserve">. </w:t>
      </w:r>
      <w:r w:rsidR="00920D39" w:rsidRPr="00595533">
        <w:rPr>
          <w:lang w:val="lv-LV"/>
        </w:rPr>
        <w:t>Taču absolūtais vairākums viedokļu līderu ir pārliecināti, ka ieguldījumu apjoms pētniecīb</w:t>
      </w:r>
      <w:r w:rsidR="002F6849" w:rsidRPr="00595533">
        <w:rPr>
          <w:lang w:val="lv-LV"/>
        </w:rPr>
        <w:t>ai</w:t>
      </w:r>
      <w:r w:rsidR="00920D39" w:rsidRPr="00595533">
        <w:rPr>
          <w:lang w:val="lv-LV"/>
        </w:rPr>
        <w:t xml:space="preserve"> un attīstīb</w:t>
      </w:r>
      <w:r w:rsidR="002F6849" w:rsidRPr="00595533">
        <w:rPr>
          <w:lang w:val="lv-LV"/>
        </w:rPr>
        <w:t>ai</w:t>
      </w:r>
      <w:r w:rsidR="00920D39" w:rsidRPr="00595533">
        <w:rPr>
          <w:lang w:val="lv-LV"/>
        </w:rPr>
        <w:t xml:space="preserve"> netiek palielināts, un </w:t>
      </w:r>
      <w:r w:rsidR="006E5486" w:rsidRPr="00595533">
        <w:rPr>
          <w:lang w:val="lv-LV"/>
        </w:rPr>
        <w:t>norāda</w:t>
      </w:r>
      <w:r w:rsidR="00920D39" w:rsidRPr="00595533">
        <w:rPr>
          <w:lang w:val="lv-LV"/>
        </w:rPr>
        <w:t xml:space="preserve">, ka progress mērķa sasniegšanā vērtējams kā </w:t>
      </w:r>
      <w:r w:rsidR="006E5486" w:rsidRPr="00595533">
        <w:rPr>
          <w:lang w:val="lv-LV"/>
        </w:rPr>
        <w:t xml:space="preserve">nesekmīgs vai drīzāk nesekmīgs (74%). </w:t>
      </w:r>
      <w:r w:rsidR="004059FA" w:rsidRPr="00595533">
        <w:rPr>
          <w:lang w:val="lv-LV"/>
        </w:rPr>
        <w:t>V</w:t>
      </w:r>
      <w:r w:rsidR="006E5486" w:rsidRPr="00595533">
        <w:rPr>
          <w:lang w:val="lv-LV"/>
        </w:rPr>
        <w:t>ienlaikus eksperti biežāk pozitīvi novērtējuši</w:t>
      </w:r>
      <w:r w:rsidR="00D91163" w:rsidRPr="00595533">
        <w:rPr>
          <w:lang w:val="lv-LV"/>
        </w:rPr>
        <w:t xml:space="preserve"> virzību otrajā rīcības virziena mērķī – sekmēt inovatīvu, starptautiski konkurētspējīgu produktu ar augstu pievienoto vērtību radīšan</w:t>
      </w:r>
      <w:r w:rsidR="004059FA" w:rsidRPr="00595533">
        <w:rPr>
          <w:lang w:val="lv-LV"/>
        </w:rPr>
        <w:t>u</w:t>
      </w:r>
      <w:r w:rsidR="00D91163" w:rsidRPr="00595533">
        <w:rPr>
          <w:lang w:val="lv-LV"/>
        </w:rPr>
        <w:t xml:space="preserve"> un ieviešan</w:t>
      </w:r>
      <w:r w:rsidR="004059FA" w:rsidRPr="00595533">
        <w:rPr>
          <w:lang w:val="lv-LV"/>
        </w:rPr>
        <w:t>u</w:t>
      </w:r>
      <w:r w:rsidR="00D91163" w:rsidRPr="00595533">
        <w:rPr>
          <w:lang w:val="lv-LV"/>
        </w:rPr>
        <w:t xml:space="preserve"> ražošanā. Lai gan </w:t>
      </w:r>
      <w:r w:rsidR="004059FA" w:rsidRPr="00595533">
        <w:rPr>
          <w:lang w:val="lv-LV"/>
        </w:rPr>
        <w:t>liels</w:t>
      </w:r>
      <w:r w:rsidR="00D91163" w:rsidRPr="00595533">
        <w:rPr>
          <w:lang w:val="lv-LV"/>
        </w:rPr>
        <w:t xml:space="preserve"> aptaujāto </w:t>
      </w:r>
      <w:r w:rsidR="004059FA" w:rsidRPr="00595533">
        <w:rPr>
          <w:lang w:val="lv-LV"/>
        </w:rPr>
        <w:t xml:space="preserve">skaits (44%) </w:t>
      </w:r>
      <w:r w:rsidR="00D91163" w:rsidRPr="00595533">
        <w:rPr>
          <w:lang w:val="lv-LV"/>
        </w:rPr>
        <w:t xml:space="preserve">uzskata, ka progress arī šajā mērķī vērtējams kā drīzāk nesekmīgs, kopumā </w:t>
      </w:r>
      <w:r w:rsidR="004059FA" w:rsidRPr="00595533">
        <w:rPr>
          <w:lang w:val="lv-LV"/>
        </w:rPr>
        <w:t xml:space="preserve">38% ekspertu atzinuši, ka līdzšinējā virzība uz mērķa sasniegšanu bijusi sekmīga vai drīzāk sekmīga. </w:t>
      </w:r>
    </w:p>
    <w:p w14:paraId="6A57B3C8" w14:textId="4EBF634B" w:rsidR="002F6849" w:rsidRPr="00595533" w:rsidRDefault="002F6849" w:rsidP="002C3763">
      <w:pPr>
        <w:rPr>
          <w:lang w:val="lv-LV"/>
        </w:rPr>
      </w:pPr>
      <w:r w:rsidRPr="00595533">
        <w:rPr>
          <w:lang w:val="lv-LV"/>
        </w:rPr>
        <w:t xml:space="preserve">Kā galveno iemeslu </w:t>
      </w:r>
      <w:r w:rsidR="00CB53C7" w:rsidRPr="00595533">
        <w:rPr>
          <w:lang w:val="lv-LV"/>
        </w:rPr>
        <w:t>zemam</w:t>
      </w:r>
      <w:r w:rsidRPr="00595533">
        <w:rPr>
          <w:lang w:val="lv-LV"/>
        </w:rPr>
        <w:t xml:space="preserve"> ieguldījum</w:t>
      </w:r>
      <w:r w:rsidR="00CB53C7" w:rsidRPr="00595533">
        <w:rPr>
          <w:lang w:val="lv-LV"/>
        </w:rPr>
        <w:t>u apjomam</w:t>
      </w:r>
      <w:r w:rsidRPr="00595533">
        <w:rPr>
          <w:lang w:val="lv-LV"/>
        </w:rPr>
        <w:t xml:space="preserve"> pētniecībā un attīstībā </w:t>
      </w:r>
      <w:r w:rsidR="00CB53C7" w:rsidRPr="00595533">
        <w:rPr>
          <w:lang w:val="lv-LV"/>
        </w:rPr>
        <w:t xml:space="preserve">eksperti minējuši politiskās gribas trūkumu, kā rezultātā valsts budžeta ieguldījumu apjoms pētniecībai ir niecīgs. Eksperti norāda, ka pētniecība pamatā tiek finansēta no </w:t>
      </w:r>
      <w:r w:rsidR="000C5AE1">
        <w:rPr>
          <w:lang w:val="lv-LV"/>
        </w:rPr>
        <w:t>Ei</w:t>
      </w:r>
      <w:r w:rsidR="00595533" w:rsidRPr="00595533">
        <w:rPr>
          <w:lang w:val="lv-LV"/>
        </w:rPr>
        <w:t>ro</w:t>
      </w:r>
      <w:r w:rsidR="00CB53C7" w:rsidRPr="00595533">
        <w:rPr>
          <w:lang w:val="lv-LV"/>
        </w:rPr>
        <w:t>pas Savienības fondu līdzekļiem</w:t>
      </w:r>
      <w:r w:rsidR="00D30140" w:rsidRPr="00595533">
        <w:rPr>
          <w:lang w:val="lv-LV"/>
        </w:rPr>
        <w:t xml:space="preserve">, taču publisko līdzekļu apjoms </w:t>
      </w:r>
      <w:r w:rsidR="000A6381" w:rsidRPr="00595533">
        <w:rPr>
          <w:lang w:val="lv-LV"/>
        </w:rPr>
        <w:t xml:space="preserve">kopumā </w:t>
      </w:r>
      <w:r w:rsidR="00D30140" w:rsidRPr="00595533">
        <w:rPr>
          <w:lang w:val="lv-LV"/>
        </w:rPr>
        <w:t>nav pietieka</w:t>
      </w:r>
      <w:r w:rsidR="00FC471A" w:rsidRPr="00595533">
        <w:rPr>
          <w:lang w:val="lv-LV"/>
        </w:rPr>
        <w:t>ms sekmīgai nozares attīstībai:</w:t>
      </w:r>
    </w:p>
    <w:p w14:paraId="4B0D1A58" w14:textId="10C15613" w:rsidR="00FC471A" w:rsidRPr="00595533" w:rsidRDefault="00FC471A" w:rsidP="00FC471A">
      <w:pPr>
        <w:ind w:left="720"/>
        <w:rPr>
          <w:i/>
          <w:color w:val="374C80" w:themeColor="accent1" w:themeShade="BF"/>
          <w:lang w:val="lv-LV"/>
        </w:rPr>
      </w:pPr>
      <w:r w:rsidRPr="00595533">
        <w:rPr>
          <w:i/>
          <w:color w:val="374C80" w:themeColor="accent1" w:themeShade="BF"/>
          <w:lang w:val="lv-LV"/>
        </w:rPr>
        <w:t xml:space="preserve">“Nav pietiekama finansējuma, kā rezultātā pētniecība notiek haotiski un svastarpēji konkurējot nesalīdzināmām nozarēm. Nepietiekama sadarbība starp pētniecības iestādēm un poltikas veidotājiem un īstenotājiem.” </w:t>
      </w:r>
    </w:p>
    <w:p w14:paraId="2F4A3A57" w14:textId="7518BB02" w:rsidR="00FC471A" w:rsidRPr="00595533" w:rsidRDefault="00FC471A" w:rsidP="00FC471A">
      <w:pPr>
        <w:ind w:left="720"/>
        <w:rPr>
          <w:i/>
          <w:color w:val="374C80" w:themeColor="accent1" w:themeShade="BF"/>
          <w:lang w:val="lv-LV"/>
        </w:rPr>
      </w:pPr>
      <w:r w:rsidRPr="00595533">
        <w:rPr>
          <w:i/>
          <w:color w:val="374C80" w:themeColor="accent1" w:themeShade="BF"/>
          <w:lang w:val="lv-LV"/>
        </w:rPr>
        <w:t>“Statistiski zinām, ka esam nepiedodami sliktā pozīcijā. Mazām valstīm, kurām pat procentuāli lielāki ieguldījumi no IKP pētniecībā un attīstībā, vienalga ir milzīgas problēmas sasniegt vērā ņemamus rezultātus, jo jebkuras izpētes darbības vai tā būtu farmācija, vai kāds pētījums fizikas jomā, ir tik finanšu ietilpīgs, ka sasniegt izcilus rezulātus pat teorētiski nav iespējams. Pieļauju, ka vajadzētu koncentrēt resursus tikai uz dažām nozarēm.”</w:t>
      </w:r>
    </w:p>
    <w:p w14:paraId="67B233F9" w14:textId="62F46F33" w:rsidR="00FC471A" w:rsidRPr="00595533" w:rsidRDefault="00FC471A" w:rsidP="00FC471A">
      <w:pPr>
        <w:rPr>
          <w:lang w:val="lv-LV"/>
        </w:rPr>
      </w:pPr>
      <w:r w:rsidRPr="00595533">
        <w:rPr>
          <w:lang w:val="lv-LV"/>
        </w:rPr>
        <w:t>Politiskās gribas trūkums daļā komentāru tiek saistīts ar izpratnes trūkumu politiķu vidū un valsts pārvaldē kopumā par ieguldījumu nepieciešamību un to atdevi, kas liedz definēt pētījumu vajadzību un formulēt pasūtījumu:</w:t>
      </w:r>
    </w:p>
    <w:p w14:paraId="11180E97" w14:textId="4867F041" w:rsidR="00FC471A" w:rsidRPr="00595533" w:rsidRDefault="00FC471A" w:rsidP="00FC471A">
      <w:pPr>
        <w:ind w:left="720"/>
        <w:rPr>
          <w:i/>
          <w:color w:val="374C80" w:themeColor="accent1" w:themeShade="BF"/>
          <w:lang w:val="lv-LV"/>
        </w:rPr>
      </w:pPr>
      <w:r w:rsidRPr="00595533">
        <w:rPr>
          <w:i/>
          <w:color w:val="374C80" w:themeColor="accent1" w:themeShade="BF"/>
          <w:lang w:val="lv-LV"/>
        </w:rPr>
        <w:t>“Valsts pārvaldei nav vīzijas par to, ko vajag no zinātnes – līdzekļi tiek doti maz un neperspektīvām disciplīnām, jo universitāšu un institūtu nomenklatūra tin valsti ap pirkstu.”</w:t>
      </w:r>
    </w:p>
    <w:p w14:paraId="4F079EA2" w14:textId="704C4399" w:rsidR="000A6381" w:rsidRPr="00595533" w:rsidRDefault="000A6381" w:rsidP="002C3763">
      <w:pPr>
        <w:rPr>
          <w:lang w:val="lv-LV"/>
        </w:rPr>
      </w:pPr>
      <w:r w:rsidRPr="00595533">
        <w:rPr>
          <w:lang w:val="lv-LV"/>
        </w:rPr>
        <w:t xml:space="preserve">Vienlaikus vairāki viedokļu līderi </w:t>
      </w:r>
      <w:r w:rsidR="00AB17DF" w:rsidRPr="00595533">
        <w:rPr>
          <w:lang w:val="lv-LV"/>
        </w:rPr>
        <w:t>minējuši</w:t>
      </w:r>
      <w:r w:rsidRPr="00595533">
        <w:rPr>
          <w:lang w:val="lv-LV"/>
        </w:rPr>
        <w:t>, ka iemesls zemajam ieguldījumu apjomam pētniecībā saistīts arī ar uzņēmēju izpratni par ieguldījumu veikš</w:t>
      </w:r>
      <w:r w:rsidR="007871E3" w:rsidRPr="00595533">
        <w:rPr>
          <w:lang w:val="lv-LV"/>
        </w:rPr>
        <w:t>anas nepieciešamību attīstībā, kā arī ar</w:t>
      </w:r>
      <w:r w:rsidRPr="00595533">
        <w:rPr>
          <w:lang w:val="lv-LV"/>
        </w:rPr>
        <w:t xml:space="preserve"> </w:t>
      </w:r>
      <w:r w:rsidR="005B653B" w:rsidRPr="00595533">
        <w:rPr>
          <w:lang w:val="lv-LV"/>
        </w:rPr>
        <w:t xml:space="preserve">privāto </w:t>
      </w:r>
      <w:r w:rsidRPr="00595533">
        <w:rPr>
          <w:lang w:val="lv-LV"/>
        </w:rPr>
        <w:t>finanšu resursu pieejamību</w:t>
      </w:r>
      <w:r w:rsidR="007871E3" w:rsidRPr="00595533">
        <w:rPr>
          <w:lang w:val="lv-LV"/>
        </w:rPr>
        <w:t>:</w:t>
      </w:r>
    </w:p>
    <w:p w14:paraId="6D972B7E" w14:textId="191BD587" w:rsidR="007871E3" w:rsidRPr="00595533" w:rsidRDefault="007871E3" w:rsidP="007871E3">
      <w:pPr>
        <w:ind w:left="720"/>
        <w:rPr>
          <w:i/>
          <w:color w:val="374C80" w:themeColor="accent1" w:themeShade="BF"/>
          <w:lang w:val="lv-LV"/>
        </w:rPr>
      </w:pPr>
      <w:r w:rsidRPr="00595533">
        <w:rPr>
          <w:i/>
          <w:color w:val="374C80" w:themeColor="accent1" w:themeShade="BF"/>
          <w:lang w:val="lv-LV"/>
        </w:rPr>
        <w:lastRenderedPageBreak/>
        <w:t>“Publisko resursu jomā- politiskās gribas jautājums, privāto resursu jomā- kredītu nepieejamība, kapitāla nepieejamība, jo pētniecība un attīstība jebkurā no jomām prasa būtiskus resursus salīdzinot ar 'uzturēšnas' izdevumiem.”</w:t>
      </w:r>
    </w:p>
    <w:p w14:paraId="5DED5EC7" w14:textId="4EA412CC" w:rsidR="005B653B" w:rsidRPr="00595533" w:rsidRDefault="005B653B" w:rsidP="005B653B">
      <w:pPr>
        <w:rPr>
          <w:lang w:val="lv-LV"/>
        </w:rPr>
      </w:pPr>
      <w:r w:rsidRPr="00595533">
        <w:rPr>
          <w:lang w:val="lv-LV"/>
        </w:rPr>
        <w:t>Privāto finanšu resursu neesamība tiek minēts arī kā galvenais arguments tam</w:t>
      </w:r>
      <w:r w:rsidR="008D34A7" w:rsidRPr="00595533">
        <w:rPr>
          <w:lang w:val="lv-LV"/>
        </w:rPr>
        <w:t>, kāpēc nesekmējas inovatīvu, starptautiski konkurētspējīgu produktu radīšana un ieviešana ražošanā.</w:t>
      </w:r>
      <w:r w:rsidR="001E78B8" w:rsidRPr="00595533">
        <w:rPr>
          <w:lang w:val="lv-LV"/>
        </w:rPr>
        <w:t xml:space="preserve"> Eksperti norāda, ka nodokļu politika valstī nav veidota tā, lai sekmētu finanšu kapitāla uzkrāšanu un ieguldīšanu pētniecībā un attīstībā, tostarp augstas kvalifikācijas </w:t>
      </w:r>
      <w:r w:rsidR="0003360F" w:rsidRPr="00595533">
        <w:rPr>
          <w:lang w:val="lv-LV"/>
        </w:rPr>
        <w:t>cilvēkresursu algošanu:</w:t>
      </w:r>
    </w:p>
    <w:p w14:paraId="51E80F69" w14:textId="44EBB88C" w:rsidR="0003360F" w:rsidRPr="00595533" w:rsidRDefault="0003360F" w:rsidP="00AF6E3F">
      <w:pPr>
        <w:ind w:left="720"/>
        <w:rPr>
          <w:i/>
          <w:color w:val="374C80" w:themeColor="accent1" w:themeShade="BF"/>
          <w:lang w:val="lv-LV"/>
        </w:rPr>
      </w:pPr>
      <w:r w:rsidRPr="00595533">
        <w:rPr>
          <w:i/>
          <w:color w:val="374C80" w:themeColor="accent1" w:themeShade="BF"/>
          <w:lang w:val="lv-LV"/>
        </w:rPr>
        <w:t>“</w:t>
      </w:r>
      <w:r w:rsidR="00BD136D" w:rsidRPr="00595533">
        <w:rPr>
          <w:i/>
          <w:color w:val="374C80" w:themeColor="accent1" w:themeShade="BF"/>
          <w:lang w:val="lv-LV"/>
        </w:rPr>
        <w:t xml:space="preserve">Lai nodrošinātu zinātnes un tehnoloģiju virzītu izaugsmi, būtu jāveido atbilstoša nodokļu sistēma. Šobrīd ejam pretējā virzienā, palielinot nodokļu likmi augsti atalgotiem, </w:t>
      </w:r>
      <w:r w:rsidR="00AF6E3F" w:rsidRPr="00595533">
        <w:rPr>
          <w:i/>
          <w:color w:val="374C80" w:themeColor="accent1" w:themeShade="BF"/>
          <w:lang w:val="lv-LV"/>
        </w:rPr>
        <w:t>augstākās klases speciālistiem. Inovatīvos uzņēmumos nevar būt zemas algas, bet IIN progresivitāte nekādi nestimulē inovatīvu uzņēmumu veidošanos.”</w:t>
      </w:r>
    </w:p>
    <w:p w14:paraId="75AB3DC5" w14:textId="5EE2FA7B" w:rsidR="0003360F" w:rsidRPr="00595533" w:rsidRDefault="0003360F" w:rsidP="005B653B">
      <w:pPr>
        <w:rPr>
          <w:lang w:val="lv-LV"/>
        </w:rPr>
      </w:pPr>
      <w:r w:rsidRPr="00595533">
        <w:rPr>
          <w:lang w:val="lv-LV"/>
        </w:rPr>
        <w:t xml:space="preserve">Tāpat viedokļu līderi kā problēmu, kas traucē </w:t>
      </w:r>
      <w:r w:rsidR="00BD136D" w:rsidRPr="00595533">
        <w:rPr>
          <w:lang w:val="lv-LV"/>
        </w:rPr>
        <w:t>radīt</w:t>
      </w:r>
      <w:r w:rsidRPr="00595533">
        <w:rPr>
          <w:lang w:val="lv-LV"/>
        </w:rPr>
        <w:t xml:space="preserve"> inovatīv</w:t>
      </w:r>
      <w:r w:rsidR="00BD136D" w:rsidRPr="00595533">
        <w:rPr>
          <w:lang w:val="lv-LV"/>
        </w:rPr>
        <w:t>us</w:t>
      </w:r>
      <w:r w:rsidRPr="00595533">
        <w:rPr>
          <w:lang w:val="lv-LV"/>
        </w:rPr>
        <w:t xml:space="preserve"> produkt</w:t>
      </w:r>
      <w:r w:rsidR="00BD136D" w:rsidRPr="00595533">
        <w:rPr>
          <w:lang w:val="lv-LV"/>
        </w:rPr>
        <w:t>us</w:t>
      </w:r>
      <w:r w:rsidRPr="00595533">
        <w:rPr>
          <w:lang w:val="lv-LV"/>
        </w:rPr>
        <w:t xml:space="preserve">, norādījuši </w:t>
      </w:r>
      <w:r w:rsidR="00BD136D" w:rsidRPr="00595533">
        <w:rPr>
          <w:lang w:val="lv-LV"/>
        </w:rPr>
        <w:t xml:space="preserve">uzņēmēju </w:t>
      </w:r>
      <w:r w:rsidRPr="00595533">
        <w:rPr>
          <w:lang w:val="lv-LV"/>
        </w:rPr>
        <w:t xml:space="preserve">sadarbības trūkumu gan </w:t>
      </w:r>
      <w:r w:rsidR="00BD136D" w:rsidRPr="00595533">
        <w:rPr>
          <w:lang w:val="lv-LV"/>
        </w:rPr>
        <w:t>ar</w:t>
      </w:r>
      <w:r w:rsidRPr="00595533">
        <w:rPr>
          <w:lang w:val="lv-LV"/>
        </w:rPr>
        <w:t xml:space="preserve"> uzņēmumiem Latvijā</w:t>
      </w:r>
      <w:r w:rsidR="00BD136D" w:rsidRPr="00595533">
        <w:rPr>
          <w:lang w:val="lv-LV"/>
        </w:rPr>
        <w:t xml:space="preserve"> un ārvalstīs</w:t>
      </w:r>
      <w:r w:rsidRPr="00595533">
        <w:rPr>
          <w:lang w:val="lv-LV"/>
        </w:rPr>
        <w:t xml:space="preserve">, gan arī ar </w:t>
      </w:r>
      <w:r w:rsidR="00BD136D" w:rsidRPr="00595533">
        <w:rPr>
          <w:lang w:val="lv-LV"/>
        </w:rPr>
        <w:t>zinātniekiem.</w:t>
      </w:r>
    </w:p>
    <w:p w14:paraId="1023C837" w14:textId="77777777" w:rsidR="00CC3474" w:rsidRPr="00595533" w:rsidRDefault="00CC3474" w:rsidP="00EC4FA8">
      <w:pPr>
        <w:rPr>
          <w:sz w:val="10"/>
          <w:szCs w:val="10"/>
          <w:lang w:val="lv-LV"/>
        </w:rPr>
      </w:pPr>
    </w:p>
    <w:p w14:paraId="61ABD643" w14:textId="3F967397" w:rsidR="00EC4FA8" w:rsidRPr="00595533" w:rsidRDefault="00654F5A" w:rsidP="00EC4FA8">
      <w:pPr>
        <w:pStyle w:val="Heading2"/>
        <w:rPr>
          <w:lang w:val="lv-LV"/>
        </w:rPr>
      </w:pPr>
      <w:bookmarkStart w:id="38" w:name="_Toc498690622"/>
      <w:bookmarkStart w:id="39" w:name="_Toc499025314"/>
      <w:r>
        <w:rPr>
          <w:lang w:val="lv-LV"/>
        </w:rPr>
        <w:t xml:space="preserve">3.4. </w:t>
      </w:r>
      <w:r w:rsidR="00EC4FA8" w:rsidRPr="00595533">
        <w:rPr>
          <w:lang w:val="lv-LV"/>
        </w:rPr>
        <w:t>Energoefektivitāte un enerģijas ražošana</w:t>
      </w:r>
      <w:bookmarkEnd w:id="38"/>
      <w:bookmarkEnd w:id="39"/>
    </w:p>
    <w:p w14:paraId="08563A02" w14:textId="21164B82" w:rsidR="00855184" w:rsidRPr="00595533" w:rsidRDefault="00855184" w:rsidP="004040FA">
      <w:pPr>
        <w:rPr>
          <w:lang w:val="lv-LV"/>
        </w:rPr>
      </w:pPr>
      <w:r w:rsidRPr="00595533">
        <w:rPr>
          <w:lang w:val="lv-LV"/>
        </w:rPr>
        <w:t xml:space="preserve">Rīcības virziens </w:t>
      </w:r>
      <w:r w:rsidRPr="00595533">
        <w:rPr>
          <w:i/>
          <w:lang w:val="lv-LV"/>
        </w:rPr>
        <w:t>Energoefektivitāte un enerģijas ražošana</w:t>
      </w:r>
      <w:r w:rsidRPr="00595533">
        <w:rPr>
          <w:lang w:val="lv-LV"/>
        </w:rPr>
        <w:t xml:space="preserve"> paredz veicināt vietējo energoavotu izmantošanu enerģijas ražošanā, sabalansējot enerģijas ražošanas un importa struktūru. </w:t>
      </w:r>
      <w:r w:rsidR="005E5E0F" w:rsidRPr="00595533">
        <w:rPr>
          <w:lang w:val="lv-LV"/>
        </w:rPr>
        <w:t xml:space="preserve">Lai to nodrošinātu, rīcības virziena ietvaros </w:t>
      </w:r>
      <w:r w:rsidR="00C206E2" w:rsidRPr="00595533">
        <w:rPr>
          <w:lang w:val="lv-LV"/>
        </w:rPr>
        <w:t>plānota</w:t>
      </w:r>
      <w:r w:rsidR="005E5E0F" w:rsidRPr="00595533">
        <w:rPr>
          <w:lang w:val="lv-LV"/>
        </w:rPr>
        <w:t xml:space="preserve"> enegoinfrastruktūras tīklu attīstība, </w:t>
      </w:r>
      <w:r w:rsidR="00561BE3" w:rsidRPr="00595533">
        <w:rPr>
          <w:lang w:val="lv-LV"/>
        </w:rPr>
        <w:t xml:space="preserve">atbalsts </w:t>
      </w:r>
      <w:r w:rsidR="005E5E0F" w:rsidRPr="00595533">
        <w:rPr>
          <w:lang w:val="lv-LV"/>
        </w:rPr>
        <w:t>atjaunojamo energoresursu izmantošana</w:t>
      </w:r>
      <w:r w:rsidR="00561BE3" w:rsidRPr="00595533">
        <w:rPr>
          <w:lang w:val="lv-LV"/>
        </w:rPr>
        <w:t>i</w:t>
      </w:r>
      <w:r w:rsidR="005E5E0F" w:rsidRPr="00595533">
        <w:rPr>
          <w:lang w:val="lv-LV"/>
        </w:rPr>
        <w:t xml:space="preserve"> enerģijas ražošanā</w:t>
      </w:r>
      <w:r w:rsidR="0049003E" w:rsidRPr="00595533">
        <w:rPr>
          <w:lang w:val="lv-LV"/>
        </w:rPr>
        <w:t xml:space="preserve"> publiskajā un privātajā sektorā, kā arī atbalsts pārejai uz atjaunojamiem energoresursiem transporta sektorā</w:t>
      </w:r>
      <w:r w:rsidR="00EE4461" w:rsidRPr="00595533">
        <w:rPr>
          <w:lang w:val="lv-LV"/>
        </w:rPr>
        <w:t xml:space="preserve">. </w:t>
      </w:r>
      <w:r w:rsidRPr="00595533">
        <w:rPr>
          <w:lang w:val="lv-LV"/>
        </w:rPr>
        <w:t xml:space="preserve">Vienlaikus kā mērķis noteikts arī energoefektivitātes paaugstināšana ne tikai ražošanas sektorā, bet arī publiskām un dzīvojamām ēkām. </w:t>
      </w:r>
      <w:r w:rsidR="0079432C" w:rsidRPr="00595533">
        <w:rPr>
          <w:lang w:val="lv-LV"/>
        </w:rPr>
        <w:t xml:space="preserve">Tādējādi tiek atbalstīta gan pašvaldību energoplānu izstrāde, gan energoefektivitātes pasākumi </w:t>
      </w:r>
      <w:r w:rsidR="00531ED8" w:rsidRPr="00595533">
        <w:rPr>
          <w:lang w:val="lv-LV"/>
        </w:rPr>
        <w:t>publisko un dzīvojamo</w:t>
      </w:r>
      <w:r w:rsidR="00EE4461" w:rsidRPr="00595533">
        <w:rPr>
          <w:lang w:val="lv-LV"/>
        </w:rPr>
        <w:t xml:space="preserve"> ēku sektorā</w:t>
      </w:r>
      <w:r w:rsidR="00531ED8" w:rsidRPr="00595533">
        <w:rPr>
          <w:lang w:val="lv-LV"/>
        </w:rPr>
        <w:t>.</w:t>
      </w:r>
    </w:p>
    <w:p w14:paraId="0D337E14" w14:textId="77777777" w:rsidR="002A004C" w:rsidRPr="00595533" w:rsidRDefault="002A004C" w:rsidP="002A004C">
      <w:pPr>
        <w:pStyle w:val="NoSpacing"/>
        <w:rPr>
          <w:sz w:val="10"/>
          <w:szCs w:val="10"/>
          <w:lang w:val="lv-LV"/>
        </w:rPr>
      </w:pPr>
    </w:p>
    <w:p w14:paraId="41C8CF4B" w14:textId="01517F09" w:rsidR="008E1EA3" w:rsidRPr="00595533" w:rsidRDefault="008E1EA3" w:rsidP="008E1EA3">
      <w:pPr>
        <w:pStyle w:val="Heading3"/>
        <w:rPr>
          <w:lang w:val="lv-LV"/>
        </w:rPr>
      </w:pPr>
      <w:bookmarkStart w:id="40" w:name="_Toc498690623"/>
      <w:r w:rsidRPr="00595533">
        <w:rPr>
          <w:lang w:val="lv-LV"/>
        </w:rPr>
        <w:t>UZDEVUMU ĪSTENOŠANAS PROGRESS</w:t>
      </w:r>
      <w:bookmarkEnd w:id="40"/>
    </w:p>
    <w:p w14:paraId="585A6A72" w14:textId="4F47BBF1" w:rsidR="00942B0E" w:rsidRPr="00595533" w:rsidRDefault="008A1CED" w:rsidP="00942B0E">
      <w:pPr>
        <w:rPr>
          <w:b/>
          <w:bCs/>
          <w:lang w:val="lv-LV"/>
        </w:rPr>
      </w:pPr>
      <w:r w:rsidRPr="00595533">
        <w:rPr>
          <w:lang w:val="lv-LV"/>
        </w:rPr>
        <w:t>V</w:t>
      </w:r>
      <w:r w:rsidR="00942B0E" w:rsidRPr="00595533">
        <w:rPr>
          <w:lang w:val="lv-LV"/>
        </w:rPr>
        <w:t>aldības fokuss enerģētikā vismaz pēdējos piecus gadus lielā mērā ir bijis vērsts uz konkurētspējīgas elektroenerģijas cenu politikas veidošanu un agrāk pieņemto politisko lēmumu negatīvo seku ierobežošanu. Meklējot veidus, kā mazināt elektroenerģijas obligātā iepirkuma komponentes (OIK) turpmāko pieaugumu un negatīvo ietekmi uz Latvijas uzņēmumu konkurētspēju un iedzīvotāju dzīves līmeni, ir pieņemti vairāki būtiski valdības lēmumi. Ieviests moratorijs jaunu tiesību iegūšanai pārdot elektroenerģiju obligātā iepirkuma ietvaros, kā arī veiktas izmaiņas pašreizējā valsts atbalsta regulējumā, kas ļauj novērst pārkompensāciju elektroenerģijas ražošanai no atjaunojamiem energoresursiem un augstas efektivitātes koģenerācijā. Ar 2018. gadu sāks darboties jauns OIK finansēšanas modelis, nodrošinot mazākus OIK maksājumus patērētājiem, kas efektīvi izmanto elektroenerģijas pieslēguma jaudas. Ir veikta sadales tarifu reforma, ieviešot fiksētu maksu par elektroenerģijas sadales sistēmas pieslēguma uzstādīto jaudu un samazinot izmaksas par vienu piegādāto elektroenerģijas vienību. Rūpniecības uzņēmumiem ar lielu energoietilpību tiek sniegts valsts atbalsts, paredzot tiesības  uz samazinātu OIK līdzdalības maksājumu un, tādējādi, paaugstinot to starptautisko konkurētspēju. Visi minētie pasākumi ir ne tikai ierobežojuši elektroenerģijas kopējās cenas pieauguma riskus, bet arī sekmējuši energoefektivitāti un sakārtojuši kopējo elektroenerģijas apgādes sistēmu.  Šobrīd tiek īstenota valsts garantētās maksas par lielajās koģenerācijas stacijās uzstādīto elektrisko jaudu saistību samazināšana, kas turpmākajos gados varētu nodrošināt vidējās OIK pazemināšanu zem 26,79 EUR/MWh.</w:t>
      </w:r>
    </w:p>
    <w:p w14:paraId="1EB1F9A1" w14:textId="18481AB4" w:rsidR="00942B0E" w:rsidRPr="00595533" w:rsidRDefault="00D076E9" w:rsidP="00942B0E">
      <w:pPr>
        <w:rPr>
          <w:lang w:val="lv-LV"/>
        </w:rPr>
      </w:pPr>
      <w:r w:rsidRPr="00595533">
        <w:rPr>
          <w:lang w:val="lv-LV"/>
        </w:rPr>
        <w:lastRenderedPageBreak/>
        <w:t xml:space="preserve">Vienlaikus </w:t>
      </w:r>
      <w:r w:rsidR="00942B0E" w:rsidRPr="00595533">
        <w:rPr>
          <w:lang w:val="lv-LV"/>
        </w:rPr>
        <w:t>2016. -2017.</w:t>
      </w:r>
      <w:r w:rsidR="008A1CED" w:rsidRPr="00595533">
        <w:rPr>
          <w:lang w:val="lv-LV"/>
        </w:rPr>
        <w:t> </w:t>
      </w:r>
      <w:r w:rsidR="00942B0E" w:rsidRPr="001B152A">
        <w:rPr>
          <w:lang w:val="lv-LV"/>
        </w:rPr>
        <w:t xml:space="preserve">gadā uzsākts atbalsts energoefektivitātes paaugstināšanai un atjaunojamo energoresursus izmantošanai centralizētajā siltumapgādē, valsts, pašvaldību un daudzdzīvokļu dzīvojamo māju sektorā. Papildus </w:t>
      </w:r>
      <w:r w:rsidR="008E1EA3" w:rsidRPr="001B152A">
        <w:rPr>
          <w:lang w:val="lv-LV"/>
        </w:rPr>
        <w:t xml:space="preserve">gan </w:t>
      </w:r>
      <w:r w:rsidR="00942B0E" w:rsidRPr="001B152A">
        <w:rPr>
          <w:lang w:val="lv-LV"/>
        </w:rPr>
        <w:t xml:space="preserve">nepieciešama plašāka energoservisa kompāniju iesaiste energoefektivitātes projektu īstenošanā. </w:t>
      </w:r>
      <w:r w:rsidR="00F74C31" w:rsidRPr="001B152A">
        <w:rPr>
          <w:lang w:val="lv-LV"/>
        </w:rPr>
        <w:t>Tāpat</w:t>
      </w:r>
      <w:r w:rsidR="00942B0E" w:rsidRPr="001B152A">
        <w:rPr>
          <w:lang w:val="lv-LV"/>
        </w:rPr>
        <w:t xml:space="preserve"> pieņemts jauns normatīvais regulējums energoefektivitātes jomā, tajā skaitā, attiecībā uz uzņēmumu energoauditiem un brīvprātīgo vienošanos energoefektivitātes uzlabošanai, ieviesta energoefektivitātes pienākumu shēma</w:t>
      </w:r>
      <w:r w:rsidR="00942B0E" w:rsidRPr="00595533">
        <w:rPr>
          <w:lang w:val="lv-LV"/>
        </w:rPr>
        <w:t>, kas veicinās racionālāku energoresursu izmantošanu un pārvaldību.</w:t>
      </w:r>
    </w:p>
    <w:p w14:paraId="359B3036" w14:textId="506AADB7" w:rsidR="00942B0E" w:rsidRPr="00595533" w:rsidRDefault="00F74C31" w:rsidP="00942B0E">
      <w:pPr>
        <w:rPr>
          <w:lang w:val="lv-LV"/>
        </w:rPr>
      </w:pPr>
      <w:r w:rsidRPr="00595533">
        <w:rPr>
          <w:lang w:val="lv-LV"/>
        </w:rPr>
        <w:t>Atbilstoši NAP2020 paredzētajam, pārskata periodā ir p</w:t>
      </w:r>
      <w:r w:rsidR="00942B0E" w:rsidRPr="00595533">
        <w:rPr>
          <w:lang w:val="lv-LV"/>
        </w:rPr>
        <w:t>ieņemti risinājumi, kas turpmākajos gados sekmēs atjaunojamo energoresursu izmantošanu transporta sektorā</w:t>
      </w:r>
      <w:r w:rsidR="002A1E20" w:rsidRPr="00595533">
        <w:rPr>
          <w:lang w:val="lv-LV"/>
        </w:rPr>
        <w:t>.</w:t>
      </w:r>
      <w:r w:rsidR="00942B0E" w:rsidRPr="00595533">
        <w:rPr>
          <w:lang w:val="lv-LV"/>
        </w:rPr>
        <w:t xml:space="preserve"> Ekonomikas ministrija prognozē, ka summējot transportā patērēto biodegvielu apjomu un elektroenerģiju, kas iegūta no atjaunojamiem energoresursiem, </w:t>
      </w:r>
      <w:r w:rsidR="002A1E20" w:rsidRPr="00595533">
        <w:rPr>
          <w:lang w:val="lv-LV"/>
        </w:rPr>
        <w:t xml:space="preserve">nākotnē </w:t>
      </w:r>
      <w:r w:rsidR="00942B0E" w:rsidRPr="00595533">
        <w:rPr>
          <w:lang w:val="lv-LV"/>
        </w:rPr>
        <w:t xml:space="preserve">atjaunojamo energoresursu </w:t>
      </w:r>
      <w:r w:rsidR="003034BC" w:rsidRPr="00595533">
        <w:rPr>
          <w:lang w:val="lv-LV"/>
        </w:rPr>
        <w:t xml:space="preserve">īpatsvars no kopējā enerģijas patēriņa transporta sektorā varētu sasniegt </w:t>
      </w:r>
      <w:r w:rsidR="00942B0E" w:rsidRPr="00595533">
        <w:rPr>
          <w:lang w:val="lv-LV"/>
        </w:rPr>
        <w:t>10%.</w:t>
      </w:r>
    </w:p>
    <w:p w14:paraId="06F6951C" w14:textId="7DCAD345" w:rsidR="00942B0E" w:rsidRPr="00595533" w:rsidRDefault="00942B0E" w:rsidP="00942B0E">
      <w:pPr>
        <w:rPr>
          <w:lang w:val="lv-LV"/>
        </w:rPr>
      </w:pPr>
      <w:r w:rsidRPr="00595533">
        <w:rPr>
          <w:lang w:val="lv-LV"/>
        </w:rPr>
        <w:t>Lai dažādotu gāzes un elektroenerģijas piegādes ceļus un avotus, tādējādi nodrošinot piegādes drošību un stiprinot gāzes un elektroenerģijas tirgus likviditāti, tiek sekmēta enerģētikas infrastruktūras ES kopīgu interešu projektu (Kurzemes loks,  Igaunijas–Latvijas 3. starpsavienojums, Lietuvas–Polijas gāzes starpsavienojums , Inčukalna pazemes gāzes krātuves modernizācija, Latvijas–Lietuvas gāzes starp</w:t>
      </w:r>
      <w:r w:rsidR="003034BC" w:rsidRPr="00595533">
        <w:rPr>
          <w:lang w:val="lv-LV"/>
        </w:rPr>
        <w:t>savienojuma pilnveidošana u.c.)</w:t>
      </w:r>
      <w:r w:rsidRPr="00595533">
        <w:rPr>
          <w:lang w:val="lv-LV"/>
        </w:rPr>
        <w:t xml:space="preserve"> turpmāka attīstība reģionā</w:t>
      </w:r>
      <w:r w:rsidR="003034BC" w:rsidRPr="00595533">
        <w:rPr>
          <w:lang w:val="lv-LV"/>
        </w:rPr>
        <w:t>.</w:t>
      </w:r>
      <w:r w:rsidRPr="00595533">
        <w:rPr>
          <w:lang w:val="lv-LV"/>
        </w:rPr>
        <w:t xml:space="preserve"> Tā, piemēram, projekta “Kurzemes Loks” 2.</w:t>
      </w:r>
      <w:r w:rsidR="003034BC" w:rsidRPr="00595533">
        <w:rPr>
          <w:lang w:val="lv-LV"/>
        </w:rPr>
        <w:t> </w:t>
      </w:r>
      <w:r w:rsidRPr="00595533">
        <w:rPr>
          <w:lang w:val="lv-LV"/>
        </w:rPr>
        <w:t>etapa veiksmīga realizācija kopš 2015.</w:t>
      </w:r>
      <w:r w:rsidR="003034BC" w:rsidRPr="00595533">
        <w:rPr>
          <w:lang w:val="lv-LV"/>
        </w:rPr>
        <w:t> </w:t>
      </w:r>
      <w:r w:rsidRPr="00595533">
        <w:rPr>
          <w:lang w:val="lv-LV"/>
        </w:rPr>
        <w:t xml:space="preserve">gada ir ievērojami palielinājusi Kurzemes reģionam pieejamo elektropārvades jaudu pieejamību, kas ir radījis labvēlīgus tehniskos priekšnosacījumus vēja enerģētikas straujākai attīstībai Rietumlatvijas reģionā.  </w:t>
      </w:r>
    </w:p>
    <w:p w14:paraId="1FE77300" w14:textId="6D63A10C" w:rsidR="002A004C" w:rsidRPr="00595533" w:rsidRDefault="00942B0E" w:rsidP="003A4B2F">
      <w:pPr>
        <w:rPr>
          <w:lang w:val="lv-LV"/>
        </w:rPr>
      </w:pPr>
      <w:r w:rsidRPr="00595533">
        <w:rPr>
          <w:lang w:val="lv-LV"/>
        </w:rPr>
        <w:t>No 2017.</w:t>
      </w:r>
      <w:r w:rsidR="003034BC" w:rsidRPr="00595533">
        <w:rPr>
          <w:lang w:val="lv-LV"/>
        </w:rPr>
        <w:t> </w:t>
      </w:r>
      <w:r w:rsidRPr="00595533">
        <w:rPr>
          <w:lang w:val="lv-LV"/>
        </w:rPr>
        <w:t>gada 3.aprīļa Latvijas dabasgāzes tirgus ir atvērts brīvai konkurencei, kas ir obligāts priekšnosacījums, lai tirgus dalībnieki varētu uz vienlīdzīgiem principiem izmantot Latvijas dabasgāzes infrastruktūru. Tādā veidā ir radīta nepieciešamā normatīvā bāze un tirgus apstākļi iespējamai jaunu infrastruktūras objektu, tostarp LNG termināļu, būvniecībai un darbībai tirgū.</w:t>
      </w:r>
    </w:p>
    <w:p w14:paraId="222635B5" w14:textId="77777777" w:rsidR="003A4B2F" w:rsidRPr="00595533" w:rsidRDefault="003A4B2F" w:rsidP="003A4B2F">
      <w:pPr>
        <w:rPr>
          <w:sz w:val="6"/>
          <w:szCs w:val="6"/>
          <w:lang w:val="lv-LV"/>
        </w:rPr>
      </w:pPr>
    </w:p>
    <w:p w14:paraId="64ADA0DD" w14:textId="77777777" w:rsidR="00F74C31" w:rsidRPr="00595533" w:rsidRDefault="00F74C31" w:rsidP="00F74C31">
      <w:pPr>
        <w:pStyle w:val="Heading3"/>
        <w:rPr>
          <w:lang w:val="lv-LV"/>
        </w:rPr>
      </w:pPr>
      <w:bookmarkStart w:id="41" w:name="_Toc498690624"/>
      <w:r w:rsidRPr="00595533">
        <w:rPr>
          <w:lang w:val="lv-LV"/>
        </w:rPr>
        <w:t>PROGRESA NOVĒRTĒJUMS</w:t>
      </w:r>
      <w:bookmarkEnd w:id="41"/>
    </w:p>
    <w:p w14:paraId="260CCCE5" w14:textId="0F3033CB" w:rsidR="00ED0778" w:rsidRDefault="00ED0778" w:rsidP="004040FA">
      <w:pPr>
        <w:rPr>
          <w:lang w:val="lv-LV"/>
        </w:rPr>
      </w:pPr>
      <w:r w:rsidRPr="00ED0778">
        <w:rPr>
          <w:lang w:val="lv-LV"/>
        </w:rPr>
        <w:t xml:space="preserve">Rīcības virziena </w:t>
      </w:r>
      <w:r w:rsidRPr="00ED0778">
        <w:rPr>
          <w:i/>
          <w:lang w:val="lv-LV"/>
        </w:rPr>
        <w:t>Energoefektivitāte un enerģijas ražošana</w:t>
      </w:r>
      <w:r w:rsidRPr="00ED0778">
        <w:rPr>
          <w:lang w:val="lv-LV"/>
        </w:rPr>
        <w:t xml:space="preserve"> mērķu sasniegšanai sākotnēji tika plānots investēt kopumā 1,2 mld euro. Uz starpposma izvērtējuma brīdi rīcības virziena uzdevumu īstenošanai ir apzinātas kopējās investīcijas 585,1 mlj. euro apmērā jeb 47,2% no sākotnēji plānotā. No minētajām investīcijām nedaudz vairāk nekā pusi jeb 58% veido ES fondu finansējums, savukārt atlikušo daļu – nacionālais finansējums.</w:t>
      </w:r>
    </w:p>
    <w:p w14:paraId="136F01DD" w14:textId="7CF9EFA3" w:rsidR="00F54FA9" w:rsidRDefault="006B601D" w:rsidP="004040FA">
      <w:pPr>
        <w:rPr>
          <w:lang w:val="lv-LV"/>
        </w:rPr>
      </w:pPr>
      <w:r w:rsidRPr="00595533">
        <w:rPr>
          <w:lang w:val="lv-LV"/>
        </w:rPr>
        <w:t>NAP2020 indikator</w:t>
      </w:r>
      <w:r w:rsidR="00901EAB" w:rsidRPr="00595533">
        <w:rPr>
          <w:lang w:val="lv-LV"/>
        </w:rPr>
        <w:t>u</w:t>
      </w:r>
      <w:r w:rsidRPr="00595533">
        <w:rPr>
          <w:lang w:val="lv-LV"/>
        </w:rPr>
        <w:t xml:space="preserve"> analīze uzrāda </w:t>
      </w:r>
      <w:r w:rsidR="00B337F7" w:rsidRPr="00595533">
        <w:rPr>
          <w:lang w:val="lv-LV"/>
        </w:rPr>
        <w:t xml:space="preserve">kopumā </w:t>
      </w:r>
      <w:r w:rsidRPr="00595533">
        <w:rPr>
          <w:lang w:val="lv-LV"/>
        </w:rPr>
        <w:t xml:space="preserve">pozitīvu virzību </w:t>
      </w:r>
      <w:r w:rsidR="00901EAB" w:rsidRPr="00595533">
        <w:rPr>
          <w:lang w:val="lv-LV"/>
        </w:rPr>
        <w:t>rīcības virziena mērķrādītājos. Atbilstoši prognozēm ar katru gadu nedaudz pieaug no atjaunojamiem energoresursiem</w:t>
      </w:r>
      <w:r w:rsidR="000302FB" w:rsidRPr="00595533">
        <w:rPr>
          <w:lang w:val="lv-LV"/>
        </w:rPr>
        <w:t xml:space="preserve"> saražotās enerģijas īpatsvars kopējā enerģijas galapatēriņā. </w:t>
      </w:r>
      <w:r w:rsidR="00E009B2" w:rsidRPr="00595533">
        <w:rPr>
          <w:lang w:val="lv-LV"/>
        </w:rPr>
        <w:t>2015.</w:t>
      </w:r>
      <w:r w:rsidR="00C542A0" w:rsidRPr="00595533">
        <w:rPr>
          <w:lang w:val="lv-LV"/>
        </w:rPr>
        <w:t> </w:t>
      </w:r>
      <w:r w:rsidR="00E009B2" w:rsidRPr="00595533">
        <w:rPr>
          <w:lang w:val="lv-LV"/>
        </w:rPr>
        <w:t xml:space="preserve">gadā tas veidoja 37,6%, kas salīdzinājumā ar citām </w:t>
      </w:r>
      <w:r w:rsidR="000C5AE1">
        <w:rPr>
          <w:lang w:val="lv-LV"/>
        </w:rPr>
        <w:t>Ei</w:t>
      </w:r>
      <w:r w:rsidR="00595533" w:rsidRPr="00595533">
        <w:rPr>
          <w:lang w:val="lv-LV"/>
        </w:rPr>
        <w:t>ro</w:t>
      </w:r>
      <w:r w:rsidR="00E009B2" w:rsidRPr="00595533">
        <w:rPr>
          <w:lang w:val="lv-LV"/>
        </w:rPr>
        <w:t>pas reģiona valstīm uzskatāms par vidēji augstu</w:t>
      </w:r>
      <w:r w:rsidR="00C542A0" w:rsidRPr="00595533">
        <w:rPr>
          <w:lang w:val="lv-LV"/>
        </w:rPr>
        <w:t xml:space="preserve"> rādītāju un ir būtiski lielāks nekā Igaunijā vai Lietuvā (attiecīgi 28,6% un 25,8%).</w:t>
      </w:r>
      <w:r w:rsidR="000302FB" w:rsidRPr="00595533">
        <w:rPr>
          <w:lang w:val="lv-LV"/>
        </w:rPr>
        <w:t>Tāpat pakāpeniski samazinās energointensitāte</w:t>
      </w:r>
      <w:r w:rsidR="00E009B2" w:rsidRPr="00595533">
        <w:rPr>
          <w:lang w:val="lv-LV"/>
        </w:rPr>
        <w:t xml:space="preserve"> ekonomikā jeb enerģijas patēriņš iekšzemes kopprodukta radīšanai.</w:t>
      </w:r>
      <w:r w:rsidR="00CD7B02" w:rsidRPr="00595533">
        <w:rPr>
          <w:lang w:val="lv-LV"/>
        </w:rPr>
        <w:t xml:space="preserve"> Ja 2010. gadā iekšzemes kopprodukta radīšanai tikai izmantoti 260,2 kg naftas ekvivalenta uz katriem 1000 EUR no iekšzemes kopprodukta, tad 2015.</w:t>
      </w:r>
      <w:r w:rsidR="00C206E2" w:rsidRPr="00595533">
        <w:rPr>
          <w:lang w:val="lv-LV"/>
        </w:rPr>
        <w:t> </w:t>
      </w:r>
      <w:r w:rsidR="00CD7B02" w:rsidRPr="00595533">
        <w:rPr>
          <w:lang w:val="lv-LV"/>
        </w:rPr>
        <w:t xml:space="preserve">gadā tie bijuši vien 206, 7 kg. </w:t>
      </w:r>
      <w:r w:rsidR="00CB326F" w:rsidRPr="00595533">
        <w:rPr>
          <w:lang w:val="lv-LV"/>
        </w:rPr>
        <w:t>Vienlaikus gan visai mainīgs bijis rādītājs par energoatkarību, tomēr kopumā arī tajā vērojam</w:t>
      </w:r>
      <w:r w:rsidR="00EE77E1" w:rsidRPr="00595533">
        <w:rPr>
          <w:lang w:val="lv-LV"/>
        </w:rPr>
        <w:t>a</w:t>
      </w:r>
      <w:r w:rsidR="00CB326F" w:rsidRPr="00595533">
        <w:rPr>
          <w:lang w:val="lv-LV"/>
        </w:rPr>
        <w:t xml:space="preserve"> </w:t>
      </w:r>
      <w:r w:rsidR="00EE77E1" w:rsidRPr="00595533">
        <w:rPr>
          <w:lang w:val="lv-LV"/>
        </w:rPr>
        <w:t>virzība uz prognožu sasniegšanu.</w:t>
      </w:r>
    </w:p>
    <w:p w14:paraId="1B6B3209" w14:textId="77777777" w:rsidR="00F54FA9" w:rsidRDefault="00F54FA9">
      <w:pPr>
        <w:spacing w:before="0" w:after="0"/>
        <w:jc w:val="left"/>
        <w:rPr>
          <w:lang w:val="lv-LV"/>
        </w:rPr>
      </w:pPr>
      <w:r>
        <w:rPr>
          <w:lang w:val="lv-LV"/>
        </w:rPr>
        <w:br w:type="page"/>
      </w:r>
    </w:p>
    <w:p w14:paraId="774D1890" w14:textId="68AE2070" w:rsidR="00495C20" w:rsidRPr="00595533" w:rsidRDefault="00C2216D" w:rsidP="00BB69FC">
      <w:pPr>
        <w:pStyle w:val="attelunosaukums"/>
      </w:pPr>
      <w:r>
        <w:lastRenderedPageBreak/>
        <w:t>17</w:t>
      </w:r>
      <w:r w:rsidR="00BB69FC" w:rsidRPr="00595533">
        <w:t>.attēls.  Atjaunojamo energoresursu īpatsvars kopējā enerģijas galapatēriņā (%)</w:t>
      </w:r>
    </w:p>
    <w:p w14:paraId="4D5BF03F" w14:textId="1B63E8C7" w:rsidR="00A03092" w:rsidRPr="00595533" w:rsidRDefault="0015787D" w:rsidP="002A004C">
      <w:pPr>
        <w:pStyle w:val="NoSpacing"/>
        <w:rPr>
          <w:lang w:val="lv-LV"/>
        </w:rPr>
      </w:pPr>
      <w:r>
        <w:rPr>
          <w:noProof/>
          <w:lang w:val="lv-LV" w:eastAsia="lv-LV"/>
        </w:rPr>
        <w:drawing>
          <wp:inline distT="0" distB="0" distL="0" distR="0" wp14:anchorId="62E5E24C" wp14:editId="50BBBD9F">
            <wp:extent cx="4746929" cy="260007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5F3B30" w14:textId="77777777" w:rsidR="0015787D" w:rsidRDefault="0015787D" w:rsidP="00C2216D">
      <w:pPr>
        <w:pStyle w:val="Piezme"/>
      </w:pPr>
    </w:p>
    <w:p w14:paraId="73FB489A" w14:textId="00E4D65D" w:rsidR="00EE4461" w:rsidRPr="00595533" w:rsidRDefault="002B00CB" w:rsidP="004040FA">
      <w:pPr>
        <w:rPr>
          <w:lang w:val="lv-LV"/>
        </w:rPr>
      </w:pPr>
      <w:r w:rsidRPr="00595533">
        <w:rPr>
          <w:lang w:val="lv-LV"/>
        </w:rPr>
        <w:t>Savukārt v</w:t>
      </w:r>
      <w:r w:rsidR="00FB7F13" w:rsidRPr="00595533">
        <w:rPr>
          <w:lang w:val="lv-LV"/>
        </w:rPr>
        <w:t xml:space="preserve">iedokļu līderi, vērtējot </w:t>
      </w:r>
      <w:r w:rsidRPr="00595533">
        <w:rPr>
          <w:lang w:val="lv-LV"/>
        </w:rPr>
        <w:t>progresu rīcības virzienā</w:t>
      </w:r>
      <w:r w:rsidR="00FB7F13" w:rsidRPr="00595533">
        <w:rPr>
          <w:lang w:val="lv-LV"/>
        </w:rPr>
        <w:t xml:space="preserve">, atzinuši, ka </w:t>
      </w:r>
      <w:r w:rsidRPr="00595533">
        <w:rPr>
          <w:lang w:val="lv-LV"/>
        </w:rPr>
        <w:t>mērķis un uzdevumi</w:t>
      </w:r>
      <w:r w:rsidR="00FB7F13" w:rsidRPr="00595533">
        <w:rPr>
          <w:lang w:val="lv-LV"/>
        </w:rPr>
        <w:t xml:space="preserve"> netiek </w:t>
      </w:r>
      <w:r w:rsidR="0010212C" w:rsidRPr="00595533">
        <w:rPr>
          <w:lang w:val="lv-LV"/>
        </w:rPr>
        <w:t>veiksmīgi</w:t>
      </w:r>
      <w:r w:rsidR="00FB7F13" w:rsidRPr="00595533">
        <w:rPr>
          <w:lang w:val="lv-LV"/>
        </w:rPr>
        <w:t xml:space="preserve"> īstenot</w:t>
      </w:r>
      <w:r w:rsidRPr="00595533">
        <w:rPr>
          <w:lang w:val="lv-LV"/>
        </w:rPr>
        <w:t>i</w:t>
      </w:r>
      <w:r w:rsidR="00FB7F13" w:rsidRPr="00595533">
        <w:rPr>
          <w:lang w:val="lv-LV"/>
        </w:rPr>
        <w:t>. Tikai trešdaļa ekspertu (33%) domā, ka progress ar energoresursu tirgu</w:t>
      </w:r>
      <w:r w:rsidR="006B6474" w:rsidRPr="00595533">
        <w:rPr>
          <w:lang w:val="lv-LV"/>
        </w:rPr>
        <w:t>s</w:t>
      </w:r>
      <w:r w:rsidR="00FB7F13" w:rsidRPr="00595533">
        <w:rPr>
          <w:lang w:val="lv-LV"/>
        </w:rPr>
        <w:t xml:space="preserve"> pieejamības veicināšanu, </w:t>
      </w:r>
      <w:r w:rsidR="0010212C" w:rsidRPr="00595533">
        <w:rPr>
          <w:lang w:val="lv-LV"/>
        </w:rPr>
        <w:t xml:space="preserve">vietējo atjaunojamo energoresursu plašāku izmantošanu un enerģijas cenu konkurētspējas nodrošināšanu vērtējams kā sekmīgs vai drīzāk sekmīgs. Tikpat daudzi uzskata, ka virzība šajā mērķī bijusi drīzāk nesekmīga, bet vēl 26% aptaujāto </w:t>
      </w:r>
      <w:r w:rsidR="007E0C04" w:rsidRPr="00595533">
        <w:rPr>
          <w:lang w:val="lv-LV"/>
        </w:rPr>
        <w:t>to vērtē kā noteikti nesekmīgu.</w:t>
      </w:r>
    </w:p>
    <w:p w14:paraId="47E3E2EA" w14:textId="09F10207" w:rsidR="00660F10" w:rsidRPr="00595533" w:rsidRDefault="00660F10" w:rsidP="004040FA">
      <w:pPr>
        <w:rPr>
          <w:lang w:val="lv-LV"/>
        </w:rPr>
      </w:pPr>
      <w:r w:rsidRPr="00595533">
        <w:rPr>
          <w:lang w:val="lv-LV"/>
        </w:rPr>
        <w:t>Starp galvenajiem iemesliem tam, kādēļ</w:t>
      </w:r>
      <w:r w:rsidR="002B7AF7" w:rsidRPr="00595533">
        <w:rPr>
          <w:lang w:val="lv-LV"/>
        </w:rPr>
        <w:t xml:space="preserve"> rīcības virziena mērķa īstenošana nesekmējas, viedokļu līderi minējuši </w:t>
      </w:r>
      <w:r w:rsidR="00EB7886" w:rsidRPr="00595533">
        <w:rPr>
          <w:lang w:val="lv-LV"/>
        </w:rPr>
        <w:t>OIK</w:t>
      </w:r>
      <w:r w:rsidR="002B7AF7" w:rsidRPr="00595533">
        <w:rPr>
          <w:lang w:val="lv-LV"/>
        </w:rPr>
        <w:t xml:space="preserve"> ieviešanu, k</w:t>
      </w:r>
      <w:r w:rsidR="00875A26" w:rsidRPr="00595533">
        <w:rPr>
          <w:lang w:val="lv-LV"/>
        </w:rPr>
        <w:t>ā</w:t>
      </w:r>
      <w:r w:rsidR="002B7AF7" w:rsidRPr="00595533">
        <w:rPr>
          <w:lang w:val="lv-LV"/>
        </w:rPr>
        <w:t xml:space="preserve"> </w:t>
      </w:r>
      <w:r w:rsidR="00875A26" w:rsidRPr="00595533">
        <w:rPr>
          <w:lang w:val="lv-LV"/>
        </w:rPr>
        <w:t xml:space="preserve">rezultātā </w:t>
      </w:r>
      <w:r w:rsidR="002B7AF7" w:rsidRPr="00595533">
        <w:rPr>
          <w:lang w:val="lv-LV"/>
        </w:rPr>
        <w:t xml:space="preserve">elektroenerģijas izmaksas </w:t>
      </w:r>
      <w:r w:rsidR="00875A26" w:rsidRPr="00595533">
        <w:rPr>
          <w:lang w:val="lv-LV"/>
        </w:rPr>
        <w:t>kļuvušas nekonkurētspējīgas Baltijas reģionā:</w:t>
      </w:r>
    </w:p>
    <w:p w14:paraId="11B507EB" w14:textId="46D7B5C6" w:rsidR="007871E3" w:rsidRPr="00595533" w:rsidRDefault="007871E3" w:rsidP="007871E3">
      <w:pPr>
        <w:ind w:left="720"/>
        <w:rPr>
          <w:i/>
          <w:color w:val="374C80" w:themeColor="accent1" w:themeShade="BF"/>
          <w:lang w:val="lv-LV"/>
        </w:rPr>
      </w:pPr>
      <w:r w:rsidRPr="00595533">
        <w:rPr>
          <w:i/>
          <w:color w:val="374C80" w:themeColor="accent1" w:themeShade="BF"/>
          <w:lang w:val="lv-LV"/>
        </w:rPr>
        <w:t>“Elektroenerģijas obligātā iepirkuma komponente, kas it kā bija ar mērķi palielināt vietējo atjaunojamo energoresursu īpatsvaru, faktiski izraisīja stabilu virzību uz konkurētnespējīgām enerģijas cenām, kas žņaudz nost energoietilpīgās nozares.”</w:t>
      </w:r>
    </w:p>
    <w:p w14:paraId="33793F2E" w14:textId="0F5BE2CE" w:rsidR="007871E3" w:rsidRPr="00595533" w:rsidRDefault="003F7335" w:rsidP="007871E3">
      <w:pPr>
        <w:ind w:left="720"/>
        <w:rPr>
          <w:i/>
          <w:color w:val="374C80" w:themeColor="accent1" w:themeShade="BF"/>
          <w:lang w:val="lv-LV"/>
        </w:rPr>
      </w:pPr>
      <w:r w:rsidRPr="00595533">
        <w:rPr>
          <w:i/>
          <w:color w:val="374C80" w:themeColor="accent1" w:themeShade="BF"/>
          <w:lang w:val="lv-LV"/>
        </w:rPr>
        <w:t>“</w:t>
      </w:r>
      <w:r w:rsidR="007871E3" w:rsidRPr="00595533">
        <w:rPr>
          <w:i/>
          <w:color w:val="374C80" w:themeColor="accent1" w:themeShade="BF"/>
          <w:lang w:val="lv-LV"/>
        </w:rPr>
        <w:t>Enerģijas cenas neveicina investīciju piesaisti. Latvijas enerģijas piegāžu neatkarība īstenojusies pasīvi, dāžādu iesaistīto interešu dēļ. Fakts, ka ES līmenī enerģijas politikai nav izdevies kļūt par ES līmeņa vienotu politiku arī nav palīdzējis Latvijas gadījumā.”</w:t>
      </w:r>
    </w:p>
    <w:p w14:paraId="5B84A4F0" w14:textId="4D799290" w:rsidR="003F7335" w:rsidRPr="00595533" w:rsidRDefault="00644339" w:rsidP="007871E3">
      <w:pPr>
        <w:rPr>
          <w:lang w:val="lv-LV"/>
        </w:rPr>
      </w:pPr>
      <w:r w:rsidRPr="00595533">
        <w:rPr>
          <w:lang w:val="lv-LV"/>
        </w:rPr>
        <w:t xml:space="preserve">Vērtējot dziļāk elektroenerģijas cenu veidojošos faktorus, eksperti atzinuši, ka </w:t>
      </w:r>
      <w:r w:rsidR="00B2174E" w:rsidRPr="00595533">
        <w:rPr>
          <w:lang w:val="lv-LV"/>
        </w:rPr>
        <w:t xml:space="preserve">politika enerģētikas jomā ir </w:t>
      </w:r>
      <w:r w:rsidRPr="00595533">
        <w:rPr>
          <w:lang w:val="lv-LV"/>
        </w:rPr>
        <w:t xml:space="preserve">ļoti </w:t>
      </w:r>
      <w:r w:rsidR="00B2174E" w:rsidRPr="00595533">
        <w:rPr>
          <w:lang w:val="lv-LV"/>
        </w:rPr>
        <w:t xml:space="preserve">pretrunīga, kam par iemeslu ir </w:t>
      </w:r>
      <w:r w:rsidR="00BE1DD7" w:rsidRPr="00595533">
        <w:rPr>
          <w:lang w:val="lv-LV"/>
        </w:rPr>
        <w:t xml:space="preserve">ne tik ļoti </w:t>
      </w:r>
      <w:r w:rsidR="00B2174E" w:rsidRPr="00595533">
        <w:rPr>
          <w:lang w:val="lv-LV"/>
        </w:rPr>
        <w:t>koncentrēšanās uz atjaunojamo resursu plašāku izmantošanu elektroenerģijas ražošanā</w:t>
      </w:r>
      <w:r w:rsidR="003F7335" w:rsidRPr="00595533">
        <w:rPr>
          <w:lang w:val="lv-LV"/>
        </w:rPr>
        <w:t xml:space="preserve">, </w:t>
      </w:r>
      <w:r w:rsidR="00BE1DD7" w:rsidRPr="00595533">
        <w:rPr>
          <w:lang w:val="lv-LV"/>
        </w:rPr>
        <w:t xml:space="preserve">kā </w:t>
      </w:r>
      <w:r w:rsidR="00D0174B" w:rsidRPr="00595533">
        <w:rPr>
          <w:lang w:val="lv-LV"/>
        </w:rPr>
        <w:t>fosilo energoresursu pielīdzināšana atjaunojamo energoresursu</w:t>
      </w:r>
      <w:r w:rsidR="008B3B4E" w:rsidRPr="00595533">
        <w:rPr>
          <w:lang w:val="lv-LV"/>
        </w:rPr>
        <w:t xml:space="preserve"> statusam</w:t>
      </w:r>
      <w:r w:rsidR="00BE1DD7" w:rsidRPr="00595533">
        <w:rPr>
          <w:lang w:val="lv-LV"/>
        </w:rPr>
        <w:t xml:space="preserve"> un </w:t>
      </w:r>
      <w:r w:rsidR="0097026C" w:rsidRPr="00595533">
        <w:rPr>
          <w:lang w:val="lv-LV"/>
        </w:rPr>
        <w:t xml:space="preserve">skaidras atbalsta politikas neesamība </w:t>
      </w:r>
      <w:r w:rsidR="003F7335" w:rsidRPr="00595533">
        <w:rPr>
          <w:lang w:val="lv-LV"/>
        </w:rPr>
        <w:t xml:space="preserve">atjaunojamo </w:t>
      </w:r>
      <w:r w:rsidR="0097026C" w:rsidRPr="00595533">
        <w:rPr>
          <w:lang w:val="lv-LV"/>
        </w:rPr>
        <w:t>energoresursu ražošan</w:t>
      </w:r>
      <w:r w:rsidR="00BE1DD7" w:rsidRPr="00595533">
        <w:rPr>
          <w:lang w:val="lv-LV"/>
        </w:rPr>
        <w:t xml:space="preserve">ai. Viedokļu līderi </w:t>
      </w:r>
      <w:r w:rsidR="004A6C56" w:rsidRPr="00595533">
        <w:rPr>
          <w:lang w:val="lv-LV"/>
        </w:rPr>
        <w:t>uzskata</w:t>
      </w:r>
      <w:r w:rsidR="00BE1DD7" w:rsidRPr="00595533">
        <w:rPr>
          <w:lang w:val="lv-LV"/>
        </w:rPr>
        <w:t xml:space="preserve">, ka </w:t>
      </w:r>
      <w:r w:rsidR="004A6C56" w:rsidRPr="00595533">
        <w:rPr>
          <w:lang w:val="lv-LV"/>
        </w:rPr>
        <w:t xml:space="preserve">šāda situācija izveidojusies </w:t>
      </w:r>
      <w:r w:rsidR="003453EC" w:rsidRPr="00595533">
        <w:rPr>
          <w:lang w:val="lv-LV"/>
        </w:rPr>
        <w:t xml:space="preserve">ilgstoša </w:t>
      </w:r>
      <w:r w:rsidR="004A6C56" w:rsidRPr="00595533">
        <w:rPr>
          <w:lang w:val="lv-LV"/>
        </w:rPr>
        <w:t xml:space="preserve">ekonomisko interešu </w:t>
      </w:r>
      <w:r w:rsidR="00B2174E" w:rsidRPr="00595533">
        <w:rPr>
          <w:lang w:val="lv-LV"/>
        </w:rPr>
        <w:t>grupu spiedien</w:t>
      </w:r>
      <w:r w:rsidR="004A6C56" w:rsidRPr="00595533">
        <w:rPr>
          <w:lang w:val="lv-LV"/>
        </w:rPr>
        <w:t>a rezultātā</w:t>
      </w:r>
      <w:r w:rsidR="003F7335" w:rsidRPr="00595533">
        <w:rPr>
          <w:lang w:val="lv-LV"/>
        </w:rPr>
        <w:t>:</w:t>
      </w:r>
    </w:p>
    <w:p w14:paraId="6C10CFE2" w14:textId="6EFBB857" w:rsidR="00875A26" w:rsidRPr="00595533" w:rsidRDefault="003F7335" w:rsidP="007871E3">
      <w:pPr>
        <w:ind w:left="720"/>
        <w:rPr>
          <w:i/>
          <w:color w:val="374C80" w:themeColor="accent1" w:themeShade="BF"/>
          <w:lang w:val="lv-LV"/>
        </w:rPr>
      </w:pPr>
      <w:r w:rsidRPr="00595533">
        <w:rPr>
          <w:i/>
          <w:color w:val="374C80" w:themeColor="accent1" w:themeShade="BF"/>
          <w:lang w:val="lv-LV"/>
        </w:rPr>
        <w:t>“</w:t>
      </w:r>
      <w:r w:rsidR="007871E3" w:rsidRPr="00595533">
        <w:rPr>
          <w:i/>
          <w:color w:val="374C80" w:themeColor="accent1" w:themeShade="BF"/>
          <w:lang w:val="lv-LV"/>
        </w:rPr>
        <w:t>Nav radīti pietiekami vienkārši un elastīgi mehānismi, lai būtiski palielinātu šķeldas un vēja enerģiju. Būtībā notiek atsevišķu monopolistu ilgtermiņa lobijs, kas neveicina atjaunojamo energoresursu pietiekamu pieaugumu un izmantošanu Latvijā.”</w:t>
      </w:r>
    </w:p>
    <w:p w14:paraId="229044C7" w14:textId="77777777" w:rsidR="00AD4254" w:rsidRPr="00595533" w:rsidRDefault="00AD4254" w:rsidP="00AD4254">
      <w:pPr>
        <w:rPr>
          <w:lang w:val="lv-LV"/>
        </w:rPr>
      </w:pPr>
    </w:p>
    <w:p w14:paraId="24A9D5AA" w14:textId="09DD2D8B" w:rsidR="00E77A45" w:rsidRPr="00595533" w:rsidRDefault="00654F5A" w:rsidP="00AD4254">
      <w:pPr>
        <w:pStyle w:val="Heading2"/>
        <w:rPr>
          <w:lang w:val="lv-LV"/>
        </w:rPr>
      </w:pPr>
      <w:bookmarkStart w:id="42" w:name="_Toc498690625"/>
      <w:bookmarkStart w:id="43" w:name="_Toc499025315"/>
      <w:r>
        <w:rPr>
          <w:lang w:val="lv-LV"/>
        </w:rPr>
        <w:lastRenderedPageBreak/>
        <w:t xml:space="preserve">3.5. </w:t>
      </w:r>
      <w:r w:rsidR="000707B6" w:rsidRPr="00595533">
        <w:rPr>
          <w:lang w:val="lv-LV"/>
        </w:rPr>
        <w:t>Cienīgs darbs</w:t>
      </w:r>
      <w:bookmarkEnd w:id="42"/>
      <w:bookmarkEnd w:id="43"/>
    </w:p>
    <w:p w14:paraId="4296C197" w14:textId="7F5F7C39" w:rsidR="00B41693" w:rsidRPr="00595533" w:rsidRDefault="00B41693" w:rsidP="00B41693">
      <w:pPr>
        <w:rPr>
          <w:lang w:val="lv-LV"/>
        </w:rPr>
      </w:pPr>
      <w:r w:rsidRPr="00595533">
        <w:rPr>
          <w:lang w:val="lv-LV"/>
        </w:rPr>
        <w:t xml:space="preserve">Rīcības virziens </w:t>
      </w:r>
      <w:r w:rsidRPr="00595533">
        <w:rPr>
          <w:i/>
          <w:lang w:val="lv-LV"/>
        </w:rPr>
        <w:t>Cienīgs darbs</w:t>
      </w:r>
      <w:r w:rsidRPr="00595533">
        <w:rPr>
          <w:lang w:val="lv-LV"/>
        </w:rPr>
        <w:t xml:space="preserve"> ir vērsts uz strādājošo ar zemu ienākumu līmeni labklājības paaugstināšanu, kā arī nodarbinātības veicināšanu, lai mazinātu ienākumu nevienlīdzību un nodrošinātu iespējas cilvēkiem gūt pietiekamus ienākumus </w:t>
      </w:r>
      <w:r w:rsidR="00F54FA9">
        <w:rPr>
          <w:lang w:val="lv-LV"/>
        </w:rPr>
        <w:t>Latvijā</w:t>
      </w:r>
      <w:r w:rsidRPr="00595533">
        <w:rPr>
          <w:lang w:val="lv-LV"/>
        </w:rPr>
        <w:t>, tādejādi radot apstākļus vidusšķiras attīstībai Latvijā. Nodarbinātības veicināšanai paredzēts darba tirgū integrēt jauniešus, gados vecākus un dažādas sociālās atstumtības riskam pakļautās iedzīvotāju grupas. Nodarbināto labklājības līmeņa celšanai paredzēts samazināt darbaspēka nodokļu slogu un panākt sociāli atbildīgu uzņēmējdarbību Latvijā, kā arī veidot tādu valsts nodarbinātības atbalsta sistēmu, kas palīdz cilvēkiem pāriet uz darba tirgū pieprasītāku darbu ar lielāku produktivitāti un līdz ar to atalgojumu.</w:t>
      </w:r>
    </w:p>
    <w:p w14:paraId="1A6C4CAC" w14:textId="77777777" w:rsidR="00315B1F" w:rsidRPr="00595533" w:rsidRDefault="00315B1F" w:rsidP="00315B1F">
      <w:pPr>
        <w:pStyle w:val="NoSpacing"/>
        <w:rPr>
          <w:sz w:val="10"/>
          <w:szCs w:val="10"/>
          <w:lang w:val="lv-LV"/>
        </w:rPr>
      </w:pPr>
    </w:p>
    <w:p w14:paraId="68E1497E" w14:textId="0449693A" w:rsidR="001724E9" w:rsidRPr="00595533" w:rsidRDefault="00315B1F" w:rsidP="001724E9">
      <w:pPr>
        <w:pStyle w:val="Heading3"/>
        <w:rPr>
          <w:lang w:val="lv-LV"/>
        </w:rPr>
      </w:pPr>
      <w:bookmarkStart w:id="44" w:name="_Toc498690626"/>
      <w:r w:rsidRPr="00595533">
        <w:rPr>
          <w:lang w:val="lv-LV"/>
        </w:rPr>
        <w:t>UZDEVUMU ĪSTENOŠANAS PROGRESS</w:t>
      </w:r>
      <w:bookmarkEnd w:id="44"/>
    </w:p>
    <w:p w14:paraId="6AF60928" w14:textId="569F389B" w:rsidR="00812D35" w:rsidRPr="00595533" w:rsidRDefault="00812D35" w:rsidP="001724E9">
      <w:pPr>
        <w:rPr>
          <w:b/>
          <w:u w:val="single"/>
          <w:lang w:val="lv-LV"/>
        </w:rPr>
      </w:pPr>
      <w:r w:rsidRPr="00595533">
        <w:rPr>
          <w:b/>
          <w:u w:val="single"/>
          <w:lang w:val="lv-LV"/>
        </w:rPr>
        <w:t>Nodarbinātības veicināšana</w:t>
      </w:r>
    </w:p>
    <w:p w14:paraId="59C6B650" w14:textId="184B4EF9" w:rsidR="00315B1F" w:rsidRPr="001B152A" w:rsidRDefault="00315B1F" w:rsidP="00315B1F">
      <w:pPr>
        <w:rPr>
          <w:lang w:val="lv-LV"/>
        </w:rPr>
      </w:pPr>
      <w:r w:rsidRPr="00595533">
        <w:rPr>
          <w:lang w:val="lv-LV"/>
        </w:rPr>
        <w:t xml:space="preserve">NAP2020 uzdevumi paredz veicināt nodarbinātību iedzīvotājiem ar zemu konkurētspēju un ierobežotu </w:t>
      </w:r>
      <w:r w:rsidR="00932404" w:rsidRPr="00595533">
        <w:rPr>
          <w:lang w:val="lv-LV"/>
        </w:rPr>
        <w:t xml:space="preserve">piekļuvi darba tirgum. Nereti nodarbinātības izredzes ietekmē </w:t>
      </w:r>
      <w:r w:rsidRPr="00595533">
        <w:rPr>
          <w:lang w:val="lv-LV"/>
        </w:rPr>
        <w:t xml:space="preserve">vairāku šķēršļu kopums, </w:t>
      </w:r>
      <w:r w:rsidR="00932404" w:rsidRPr="00595533">
        <w:rPr>
          <w:lang w:val="lv-LV"/>
        </w:rPr>
        <w:t>bet</w:t>
      </w:r>
      <w:r w:rsidRPr="00595533">
        <w:rPr>
          <w:lang w:val="lv-LV"/>
        </w:rPr>
        <w:t xml:space="preserve"> katram </w:t>
      </w:r>
      <w:r w:rsidR="00932404" w:rsidRPr="00595533">
        <w:rPr>
          <w:lang w:val="lv-LV"/>
        </w:rPr>
        <w:t>šie šķēršļi var būt citādi</w:t>
      </w:r>
      <w:r w:rsidRPr="00595533">
        <w:rPr>
          <w:lang w:val="lv-LV"/>
        </w:rPr>
        <w:t>.  Papildus tradicionālajam atbalstam (apmācības)</w:t>
      </w:r>
      <w:r w:rsidRPr="00595533">
        <w:rPr>
          <w:vertAlign w:val="superscript"/>
          <w:lang w:val="lv-LV"/>
        </w:rPr>
        <w:footnoteReference w:id="28"/>
      </w:r>
      <w:r w:rsidRPr="00595533">
        <w:rPr>
          <w:lang w:val="lv-LV"/>
        </w:rPr>
        <w:t xml:space="preserve">, </w:t>
      </w:r>
      <w:r w:rsidR="00932404" w:rsidRPr="00595533">
        <w:rPr>
          <w:lang w:val="lv-LV"/>
        </w:rPr>
        <w:t xml:space="preserve">pārskata periodā </w:t>
      </w:r>
      <w:r w:rsidRPr="00595533">
        <w:rPr>
          <w:lang w:val="lv-LV"/>
        </w:rPr>
        <w:t>izve</w:t>
      </w:r>
      <w:r w:rsidR="00932404" w:rsidRPr="00595533">
        <w:rPr>
          <w:lang w:val="lv-LV"/>
        </w:rPr>
        <w:t>idotas subsidētās darbavietas, k</w:t>
      </w:r>
      <w:r w:rsidRPr="00595533">
        <w:rPr>
          <w:lang w:val="lv-LV"/>
        </w:rPr>
        <w:t xml:space="preserve">as ir viens no visefektīvākajiem </w:t>
      </w:r>
      <w:r w:rsidR="00AE6600" w:rsidRPr="00595533">
        <w:rPr>
          <w:lang w:val="lv-LV"/>
        </w:rPr>
        <w:t>nodarbinātības</w:t>
      </w:r>
      <w:r w:rsidRPr="00595533">
        <w:rPr>
          <w:lang w:val="lv-LV"/>
        </w:rPr>
        <w:t xml:space="preserve"> veicināšanas veidiem </w:t>
      </w:r>
      <w:r w:rsidR="00AE6600" w:rsidRPr="00595533">
        <w:rPr>
          <w:lang w:val="lv-LV"/>
        </w:rPr>
        <w:t>un kas nodrošina</w:t>
      </w:r>
      <w:r w:rsidRPr="00595533">
        <w:rPr>
          <w:lang w:val="lv-LV"/>
        </w:rPr>
        <w:t xml:space="preserve"> vismaz minimālo </w:t>
      </w:r>
      <w:r w:rsidRPr="001B152A">
        <w:rPr>
          <w:lang w:val="lv-LV"/>
        </w:rPr>
        <w:t>mēnešalgu</w:t>
      </w:r>
      <w:r w:rsidR="00AE6600" w:rsidRPr="001B152A">
        <w:rPr>
          <w:lang w:val="lv-LV"/>
        </w:rPr>
        <w:t xml:space="preserve"> strādājošiem</w:t>
      </w:r>
      <w:r w:rsidRPr="001B152A">
        <w:rPr>
          <w:lang w:val="lv-LV"/>
        </w:rPr>
        <w:t xml:space="preserve">, </w:t>
      </w:r>
      <w:r w:rsidR="00AE6600" w:rsidRPr="001B152A">
        <w:rPr>
          <w:lang w:val="lv-LV"/>
        </w:rPr>
        <w:t>ie</w:t>
      </w:r>
      <w:r w:rsidRPr="001B152A">
        <w:rPr>
          <w:lang w:val="lv-LV"/>
        </w:rPr>
        <w:t>sākumā nosedz dzīvošanas vai transporta izmaksas, piesaista darba vadītāju un pielāgo darbaviet</w:t>
      </w:r>
      <w:r w:rsidR="00AE6600" w:rsidRPr="001B152A">
        <w:rPr>
          <w:lang w:val="lv-LV"/>
        </w:rPr>
        <w:t>u</w:t>
      </w:r>
      <w:r w:rsidRPr="001B152A">
        <w:rPr>
          <w:lang w:val="lv-LV"/>
        </w:rPr>
        <w:t>.</w:t>
      </w:r>
      <w:r w:rsidRPr="001B152A">
        <w:rPr>
          <w:vertAlign w:val="superscript"/>
          <w:lang w:val="lv-LV"/>
        </w:rPr>
        <w:footnoteReference w:id="29"/>
      </w:r>
      <w:r w:rsidRPr="001B152A">
        <w:rPr>
          <w:lang w:val="lv-LV"/>
        </w:rPr>
        <w:t xml:space="preserve"> Ilgstošajiem bezdarbniekiem </w:t>
      </w:r>
      <w:r w:rsidR="00AE6600" w:rsidRPr="001B152A">
        <w:rPr>
          <w:lang w:val="lv-LV"/>
        </w:rPr>
        <w:t xml:space="preserve">tiek </w:t>
      </w:r>
      <w:r w:rsidRPr="001B152A">
        <w:rPr>
          <w:lang w:val="lv-LV"/>
        </w:rPr>
        <w:t>piedāvā</w:t>
      </w:r>
      <w:r w:rsidR="00AE6600" w:rsidRPr="001B152A">
        <w:rPr>
          <w:lang w:val="lv-LV"/>
        </w:rPr>
        <w:t>tas</w:t>
      </w:r>
      <w:r w:rsidRPr="001B152A">
        <w:rPr>
          <w:lang w:val="lv-LV"/>
        </w:rPr>
        <w:t xml:space="preserve"> veselības pārbaudes, psiholog</w:t>
      </w:r>
      <w:r w:rsidR="00AE6600" w:rsidRPr="001B152A">
        <w:rPr>
          <w:lang w:val="lv-LV"/>
        </w:rPr>
        <w:t>a</w:t>
      </w:r>
      <w:r w:rsidRPr="001B152A">
        <w:rPr>
          <w:lang w:val="lv-LV"/>
        </w:rPr>
        <w:t xml:space="preserve"> konsultācijas, </w:t>
      </w:r>
      <w:r w:rsidR="00AE6600" w:rsidRPr="001B152A">
        <w:rPr>
          <w:lang w:val="lv-LV"/>
        </w:rPr>
        <w:t xml:space="preserve">programma </w:t>
      </w:r>
      <w:r w:rsidRPr="001B152A">
        <w:rPr>
          <w:lang w:val="lv-LV"/>
        </w:rPr>
        <w:t xml:space="preserve">atkarību </w:t>
      </w:r>
      <w:r w:rsidR="00AE6600" w:rsidRPr="001B152A">
        <w:rPr>
          <w:lang w:val="lv-LV"/>
        </w:rPr>
        <w:t>ārstēšanai</w:t>
      </w:r>
      <w:r w:rsidRPr="001B152A">
        <w:rPr>
          <w:lang w:val="lv-LV"/>
        </w:rPr>
        <w:t>, sociāl</w:t>
      </w:r>
      <w:r w:rsidR="00AE6600" w:rsidRPr="001B152A">
        <w:rPr>
          <w:lang w:val="lv-LV"/>
        </w:rPr>
        <w:t>ie</w:t>
      </w:r>
      <w:r w:rsidRPr="001B152A">
        <w:rPr>
          <w:lang w:val="lv-LV"/>
        </w:rPr>
        <w:t xml:space="preserve"> mentor</w:t>
      </w:r>
      <w:r w:rsidR="00AE6600" w:rsidRPr="001B152A">
        <w:rPr>
          <w:lang w:val="lv-LV"/>
        </w:rPr>
        <w:t>i</w:t>
      </w:r>
      <w:r w:rsidRPr="001B152A">
        <w:rPr>
          <w:lang w:val="lv-LV"/>
        </w:rPr>
        <w:t xml:space="preserve"> u</w:t>
      </w:r>
      <w:r w:rsidR="00AE6600" w:rsidRPr="001B152A">
        <w:rPr>
          <w:lang w:val="lv-LV"/>
        </w:rPr>
        <w:t>.</w:t>
      </w:r>
      <w:r w:rsidRPr="001B152A">
        <w:rPr>
          <w:lang w:val="lv-LV"/>
        </w:rPr>
        <w:t>c. individualizēt</w:t>
      </w:r>
      <w:r w:rsidR="00AE6600" w:rsidRPr="001B152A">
        <w:rPr>
          <w:lang w:val="lv-LV"/>
        </w:rPr>
        <w:t>i</w:t>
      </w:r>
      <w:r w:rsidRPr="001B152A">
        <w:rPr>
          <w:lang w:val="lv-LV"/>
        </w:rPr>
        <w:t xml:space="preserve"> atbalst</w:t>
      </w:r>
      <w:r w:rsidR="00AE6600" w:rsidRPr="001B152A">
        <w:rPr>
          <w:lang w:val="lv-LV"/>
        </w:rPr>
        <w:t>a instrumenti</w:t>
      </w:r>
      <w:r w:rsidRPr="001B152A">
        <w:rPr>
          <w:lang w:val="lv-LV"/>
        </w:rPr>
        <w:t>.</w:t>
      </w:r>
      <w:r w:rsidRPr="001B152A">
        <w:rPr>
          <w:vertAlign w:val="superscript"/>
          <w:lang w:val="lv-LV"/>
        </w:rPr>
        <w:footnoteReference w:id="30"/>
      </w:r>
    </w:p>
    <w:p w14:paraId="374CFF78" w14:textId="41B45F93" w:rsidR="00315B1F" w:rsidRPr="001B152A" w:rsidRDefault="00315B1F" w:rsidP="00315B1F">
      <w:pPr>
        <w:rPr>
          <w:lang w:val="lv-LV"/>
        </w:rPr>
      </w:pPr>
      <w:r w:rsidRPr="001B152A">
        <w:rPr>
          <w:lang w:val="lv-LV"/>
        </w:rPr>
        <w:t>Atbalsts ir mērķēts arī dažādām cilvēku grupām ar lielāku nodarbinātības potenciālu. 2016.</w:t>
      </w:r>
      <w:r w:rsidR="00AE6600" w:rsidRPr="001B152A">
        <w:rPr>
          <w:lang w:val="lv-LV"/>
        </w:rPr>
        <w:t> </w:t>
      </w:r>
      <w:r w:rsidRPr="001B152A">
        <w:rPr>
          <w:lang w:val="lv-LV"/>
        </w:rPr>
        <w:t>g</w:t>
      </w:r>
      <w:r w:rsidR="00915635" w:rsidRPr="001B152A">
        <w:rPr>
          <w:lang w:val="lv-LV"/>
        </w:rPr>
        <w:t>ada</w:t>
      </w:r>
      <w:r w:rsidRPr="001B152A">
        <w:rPr>
          <w:lang w:val="lv-LV"/>
        </w:rPr>
        <w:t xml:space="preserve"> nogalē uzsākts izmēģinājuma projekts cilvēkiem </w:t>
      </w:r>
      <w:r w:rsidRPr="001B152A">
        <w:rPr>
          <w:b/>
          <w:lang w:val="lv-LV"/>
        </w:rPr>
        <w:t>vecumā no 50 gadiem</w:t>
      </w:r>
      <w:r w:rsidRPr="001B152A">
        <w:rPr>
          <w:lang w:val="lv-LV"/>
        </w:rPr>
        <w:t xml:space="preserve"> ar neatbilstību veicamajam darbam vai arodslimību pazīmēm, izstrādājot un ieviešot rekomendācijas, t</w:t>
      </w:r>
      <w:r w:rsidR="00915635" w:rsidRPr="001B152A">
        <w:rPr>
          <w:lang w:val="lv-LV"/>
        </w:rPr>
        <w:t xml:space="preserve">ai </w:t>
      </w:r>
      <w:r w:rsidRPr="001B152A">
        <w:rPr>
          <w:lang w:val="lv-LV"/>
        </w:rPr>
        <w:t>sk</w:t>
      </w:r>
      <w:r w:rsidR="00915635" w:rsidRPr="001B152A">
        <w:rPr>
          <w:lang w:val="lv-LV"/>
        </w:rPr>
        <w:t>aitā par papildus prasmju attīstību un</w:t>
      </w:r>
      <w:r w:rsidRPr="001B152A">
        <w:rPr>
          <w:lang w:val="lv-LV"/>
        </w:rPr>
        <w:t xml:space="preserve"> darbavietu pielāgošanu.</w:t>
      </w:r>
      <w:r w:rsidRPr="001B152A">
        <w:rPr>
          <w:vertAlign w:val="superscript"/>
          <w:lang w:val="lv-LV"/>
        </w:rPr>
        <w:footnoteReference w:id="31"/>
      </w:r>
      <w:r w:rsidRPr="001B152A">
        <w:rPr>
          <w:lang w:val="lv-LV"/>
        </w:rPr>
        <w:t xml:space="preserve">  </w:t>
      </w:r>
    </w:p>
    <w:p w14:paraId="1FF1615B" w14:textId="5B8B1FF9" w:rsidR="00315B1F" w:rsidRPr="00595533" w:rsidRDefault="00315B1F" w:rsidP="00315B1F">
      <w:pPr>
        <w:rPr>
          <w:lang w:val="lv-LV"/>
        </w:rPr>
      </w:pPr>
      <w:r w:rsidRPr="001B152A">
        <w:rPr>
          <w:b/>
          <w:lang w:val="lv-LV"/>
        </w:rPr>
        <w:t>Ieslodzīto un kriminālsodu izcietušo</w:t>
      </w:r>
      <w:r w:rsidRPr="001B152A">
        <w:rPr>
          <w:lang w:val="lv-LV"/>
        </w:rPr>
        <w:t xml:space="preserve"> integrā</w:t>
      </w:r>
      <w:r w:rsidR="00915635" w:rsidRPr="001B152A">
        <w:rPr>
          <w:lang w:val="lv-LV"/>
        </w:rPr>
        <w:t>cijai darba tirgū un sabiedrībā</w:t>
      </w:r>
      <w:r w:rsidRPr="001B152A">
        <w:rPr>
          <w:lang w:val="lv-LV"/>
        </w:rPr>
        <w:t xml:space="preserve"> ar Novērģijas finanšu ins</w:t>
      </w:r>
      <w:r w:rsidR="00915635" w:rsidRPr="001B152A">
        <w:rPr>
          <w:lang w:val="lv-LV"/>
        </w:rPr>
        <w:t>trumenta atbalstu</w:t>
      </w:r>
      <w:r w:rsidRPr="001B152A">
        <w:rPr>
          <w:lang w:val="lv-LV"/>
        </w:rPr>
        <w:t xml:space="preserve"> izbūvēts Atkarīgo centrs Olaines cietumā, īstenotas resocializācijas programmas un ieviesta elektroniskās uzraudzības sistēma</w:t>
      </w:r>
      <w:r w:rsidRPr="00595533">
        <w:rPr>
          <w:lang w:val="lv-LV"/>
        </w:rPr>
        <w:t xml:space="preserve"> ar resocializācijas programmu no ieslodzījuma vietām atbrīvotiem jauniešiem. No 2014.</w:t>
      </w:r>
      <w:r w:rsidR="00915635" w:rsidRPr="00595533">
        <w:rPr>
          <w:lang w:val="lv-LV"/>
        </w:rPr>
        <w:t> </w:t>
      </w:r>
      <w:r w:rsidRPr="00595533">
        <w:rPr>
          <w:lang w:val="lv-LV"/>
        </w:rPr>
        <w:t>g</w:t>
      </w:r>
      <w:r w:rsidR="00915635" w:rsidRPr="00595533">
        <w:rPr>
          <w:lang w:val="lv-LV"/>
        </w:rPr>
        <w:t>ada</w:t>
      </w:r>
      <w:r w:rsidRPr="00595533">
        <w:rPr>
          <w:lang w:val="lv-LV"/>
        </w:rPr>
        <w:t xml:space="preserve"> ar valsts budžeta līdzekļiem nodrošināta pedagogu darba samaksa Ieslodzījumu vietu pārvaldē, kā arī īstenotas jaunas sociālās uzvedības korekcijas pro</w:t>
      </w:r>
      <w:r w:rsidR="00915635" w:rsidRPr="00595533">
        <w:rPr>
          <w:lang w:val="lv-LV"/>
        </w:rPr>
        <w:t xml:space="preserve">grammas probācijas klientiem, tai </w:t>
      </w:r>
      <w:r w:rsidRPr="00595533">
        <w:rPr>
          <w:lang w:val="lv-LV"/>
        </w:rPr>
        <w:t>sk</w:t>
      </w:r>
      <w:r w:rsidR="00915635" w:rsidRPr="00595533">
        <w:rPr>
          <w:lang w:val="lv-LV"/>
        </w:rPr>
        <w:t>aitā</w:t>
      </w:r>
      <w:r w:rsidRPr="00595533">
        <w:rPr>
          <w:lang w:val="lv-LV"/>
        </w:rPr>
        <w:t xml:space="preserve"> aizstājot policijas kontroli ar probācijas uzraudzību. No 2016.</w:t>
      </w:r>
      <w:r w:rsidR="007308E2" w:rsidRPr="00595533">
        <w:rPr>
          <w:lang w:val="lv-LV"/>
        </w:rPr>
        <w:t> </w:t>
      </w:r>
      <w:r w:rsidRPr="00595533">
        <w:rPr>
          <w:lang w:val="lv-LV"/>
        </w:rPr>
        <w:t>gada tiek uzsākti tādi pasākumi, kas paaugstina resocializācijas sistēmas efektivitāti</w:t>
      </w:r>
      <w:r w:rsidRPr="00595533">
        <w:rPr>
          <w:vertAlign w:val="superscript"/>
          <w:lang w:val="lv-LV"/>
        </w:rPr>
        <w:footnoteReference w:id="32"/>
      </w:r>
      <w:r w:rsidRPr="00595533">
        <w:rPr>
          <w:lang w:val="lv-LV"/>
        </w:rPr>
        <w:t xml:space="preserve">. Tomēr, lai uzdevums reāli sasniegtu resocializācijas mērķus, kritiski svarīga ir jaunas cietumu infrastruktūras būvniecība, </w:t>
      </w:r>
      <w:r w:rsidR="007308E2" w:rsidRPr="00595533">
        <w:rPr>
          <w:lang w:val="lv-LV"/>
        </w:rPr>
        <w:t xml:space="preserve">jo jaunās darba metodes, </w:t>
      </w:r>
      <w:r w:rsidRPr="00595533">
        <w:rPr>
          <w:lang w:val="lv-LV"/>
        </w:rPr>
        <w:t>t</w:t>
      </w:r>
      <w:r w:rsidR="007308E2" w:rsidRPr="00595533">
        <w:rPr>
          <w:lang w:val="lv-LV"/>
        </w:rPr>
        <w:t xml:space="preserve">ai </w:t>
      </w:r>
      <w:r w:rsidRPr="00595533">
        <w:rPr>
          <w:lang w:val="lv-LV"/>
        </w:rPr>
        <w:t>s</w:t>
      </w:r>
      <w:r w:rsidR="007308E2" w:rsidRPr="00595533">
        <w:rPr>
          <w:lang w:val="lv-LV"/>
        </w:rPr>
        <w:t>kaitā</w:t>
      </w:r>
      <w:r w:rsidRPr="00595533">
        <w:rPr>
          <w:lang w:val="lv-LV"/>
        </w:rPr>
        <w:t xml:space="preserve"> atti</w:t>
      </w:r>
      <w:r w:rsidR="007308E2" w:rsidRPr="00595533">
        <w:rPr>
          <w:lang w:val="lv-LV"/>
        </w:rPr>
        <w:t>ecībā uz ieslodzīto izvietošanu</w:t>
      </w:r>
      <w:r w:rsidRPr="00595533">
        <w:rPr>
          <w:lang w:val="lv-LV"/>
        </w:rPr>
        <w:t xml:space="preserve">, kas tiek ieviestas, vairs nav savienojamas ar esošo ieslodzījuma vietu infrastruktūru, turklāt vecā infrastruktūra </w:t>
      </w:r>
      <w:r w:rsidR="007308E2" w:rsidRPr="00595533">
        <w:rPr>
          <w:lang w:val="lv-LV"/>
        </w:rPr>
        <w:t>paaugstina</w:t>
      </w:r>
      <w:r w:rsidRPr="00595533">
        <w:rPr>
          <w:lang w:val="lv-LV"/>
        </w:rPr>
        <w:t xml:space="preserve"> drošīb</w:t>
      </w:r>
      <w:r w:rsidR="007308E2" w:rsidRPr="00595533">
        <w:rPr>
          <w:lang w:val="lv-LV"/>
        </w:rPr>
        <w:t>as apdraudējuma risku</w:t>
      </w:r>
      <w:r w:rsidRPr="00595533">
        <w:rPr>
          <w:lang w:val="lv-LV"/>
        </w:rPr>
        <w:t xml:space="preserve">. </w:t>
      </w:r>
    </w:p>
    <w:p w14:paraId="0A30B3D5" w14:textId="4753AEDC" w:rsidR="00315B1F" w:rsidRPr="00595533" w:rsidRDefault="00315B1F" w:rsidP="00315B1F">
      <w:pPr>
        <w:rPr>
          <w:lang w:val="lv-LV"/>
        </w:rPr>
      </w:pPr>
      <w:r w:rsidRPr="00595533">
        <w:rPr>
          <w:lang w:val="lv-LV"/>
        </w:rPr>
        <w:t xml:space="preserve">Jauniešu nodarbinātība ir aktualizēta visā </w:t>
      </w:r>
      <w:r w:rsidR="000C5AE1">
        <w:rPr>
          <w:lang w:val="lv-LV"/>
        </w:rPr>
        <w:t>Ei</w:t>
      </w:r>
      <w:r w:rsidR="00595533" w:rsidRPr="00595533">
        <w:rPr>
          <w:lang w:val="lv-LV"/>
        </w:rPr>
        <w:t>ro</w:t>
      </w:r>
      <w:r w:rsidRPr="00595533">
        <w:rPr>
          <w:lang w:val="lv-LV"/>
        </w:rPr>
        <w:t>pā. Jauniešu (15 -29 g.v.) nodarbinātībai, kuri Latvijā nemācās, nestrādā un neapgūst arodu (t.s. NEET</w:t>
      </w:r>
      <w:r w:rsidRPr="00595533">
        <w:rPr>
          <w:vertAlign w:val="superscript"/>
          <w:lang w:val="lv-LV"/>
        </w:rPr>
        <w:footnoteReference w:id="33"/>
      </w:r>
      <w:r w:rsidRPr="00595533">
        <w:rPr>
          <w:lang w:val="lv-LV"/>
        </w:rPr>
        <w:t>), valsts 2014.</w:t>
      </w:r>
      <w:r w:rsidR="007308E2" w:rsidRPr="00595533">
        <w:rPr>
          <w:lang w:val="lv-LV"/>
        </w:rPr>
        <w:t> – </w:t>
      </w:r>
      <w:r w:rsidRPr="00595533">
        <w:rPr>
          <w:lang w:val="lv-LV"/>
        </w:rPr>
        <w:t>2018.</w:t>
      </w:r>
      <w:r w:rsidR="007308E2" w:rsidRPr="00595533">
        <w:rPr>
          <w:lang w:val="lv-LV"/>
        </w:rPr>
        <w:t> </w:t>
      </w:r>
      <w:r w:rsidRPr="00595533">
        <w:rPr>
          <w:lang w:val="lv-LV"/>
        </w:rPr>
        <w:t>g</w:t>
      </w:r>
      <w:r w:rsidR="007308E2" w:rsidRPr="00595533">
        <w:rPr>
          <w:lang w:val="lv-LV"/>
        </w:rPr>
        <w:t>adā ar ES fondu atbalstu īsteno tā saukto</w:t>
      </w:r>
      <w:r w:rsidRPr="00595533">
        <w:rPr>
          <w:lang w:val="lv-LV"/>
        </w:rPr>
        <w:t xml:space="preserve"> </w:t>
      </w:r>
      <w:r w:rsidR="009F3299" w:rsidRPr="00595533">
        <w:rPr>
          <w:b/>
          <w:lang w:val="lv-LV"/>
        </w:rPr>
        <w:t>jauniešu garantiju</w:t>
      </w:r>
      <w:r w:rsidR="00D10A2C" w:rsidRPr="00595533">
        <w:rPr>
          <w:lang w:val="lv-LV"/>
        </w:rPr>
        <w:t xml:space="preserve">, kuras ietvaros </w:t>
      </w:r>
      <w:r w:rsidR="00D10A2C" w:rsidRPr="00595533">
        <w:rPr>
          <w:lang w:val="lv-LV"/>
        </w:rPr>
        <w:lastRenderedPageBreak/>
        <w:t>visiem jauniešiem</w:t>
      </w:r>
      <w:r w:rsidRPr="00595533">
        <w:rPr>
          <w:lang w:val="lv-LV"/>
        </w:rPr>
        <w:t xml:space="preserve"> sešu mēnešu laikā no reģistrēšanās </w:t>
      </w:r>
      <w:r w:rsidR="00D10A2C" w:rsidRPr="00595533">
        <w:rPr>
          <w:lang w:val="lv-LV"/>
        </w:rPr>
        <w:t>brīža tiek izteikts darba vai mācību piedāvājums</w:t>
      </w:r>
      <w:r w:rsidRPr="00595533">
        <w:rPr>
          <w:lang w:val="lv-LV"/>
        </w:rPr>
        <w:t>.</w:t>
      </w:r>
      <w:r w:rsidRPr="00595533">
        <w:rPr>
          <w:vertAlign w:val="superscript"/>
          <w:lang w:val="lv-LV"/>
        </w:rPr>
        <w:footnoteReference w:id="34"/>
      </w:r>
      <w:r w:rsidRPr="00595533">
        <w:rPr>
          <w:lang w:val="lv-LV"/>
        </w:rPr>
        <w:t xml:space="preserve"> </w:t>
      </w:r>
      <w:r w:rsidRPr="00595533">
        <w:rPr>
          <w:vertAlign w:val="superscript"/>
          <w:lang w:val="lv-LV"/>
        </w:rPr>
        <w:footnoteReference w:id="35"/>
      </w:r>
      <w:r w:rsidRPr="00595533">
        <w:rPr>
          <w:lang w:val="lv-LV"/>
        </w:rPr>
        <w:t xml:space="preserve"> </w:t>
      </w:r>
      <w:r w:rsidR="00D10A2C" w:rsidRPr="00595533">
        <w:rPr>
          <w:lang w:val="lv-LV"/>
        </w:rPr>
        <w:t xml:space="preserve">Pārskata periodā </w:t>
      </w:r>
      <w:r w:rsidRPr="00595533">
        <w:rPr>
          <w:lang w:val="lv-LV"/>
        </w:rPr>
        <w:t>darbā iekārtoj</w:t>
      </w:r>
      <w:r w:rsidR="00D10A2C" w:rsidRPr="00595533">
        <w:rPr>
          <w:lang w:val="lv-LV"/>
        </w:rPr>
        <w:t>ušies</w:t>
      </w:r>
      <w:r w:rsidRPr="00595533">
        <w:rPr>
          <w:lang w:val="lv-LV"/>
        </w:rPr>
        <w:t xml:space="preserve"> vismaz 65 tūkstoši jaunieši, </w:t>
      </w:r>
      <w:r w:rsidR="00D10A2C" w:rsidRPr="00595533">
        <w:rPr>
          <w:lang w:val="lv-LV"/>
        </w:rPr>
        <w:t xml:space="preserve">kas veido 66% no jauniešu garantijas programmā </w:t>
      </w:r>
      <w:r w:rsidRPr="00595533">
        <w:rPr>
          <w:lang w:val="lv-LV"/>
        </w:rPr>
        <w:t xml:space="preserve">iesaistāmo jauniešu </w:t>
      </w:r>
      <w:r w:rsidR="00D10A2C" w:rsidRPr="00595533">
        <w:rPr>
          <w:lang w:val="lv-LV"/>
        </w:rPr>
        <w:t>skaita</w:t>
      </w:r>
      <w:r w:rsidR="009F3299" w:rsidRPr="00595533">
        <w:rPr>
          <w:lang w:val="lv-LV"/>
        </w:rPr>
        <w:t>, un tā rezultātā</w:t>
      </w:r>
      <w:r w:rsidRPr="00595533">
        <w:rPr>
          <w:lang w:val="lv-LV"/>
        </w:rPr>
        <w:t xml:space="preserve"> NEET īpatsvars Latvijā samazinājies par 18% (šo samazinājumu daļēji ietekmē arī demogrāfija). </w:t>
      </w:r>
      <w:r w:rsidR="009F3299" w:rsidRPr="00595533">
        <w:rPr>
          <w:lang w:val="lv-LV"/>
        </w:rPr>
        <w:t>Vienlaikus programmas ietvaros s</w:t>
      </w:r>
      <w:r w:rsidRPr="00595533">
        <w:rPr>
          <w:lang w:val="lv-LV"/>
        </w:rPr>
        <w:t xml:space="preserve">agatavoti individuālie darba meklēšanas plāni, sniegtas karjeras konsultācijas (112 tūkstoši NVA un 6 tūkstoši VIAA), 28 tūkstoši </w:t>
      </w:r>
      <w:r w:rsidR="009F3299" w:rsidRPr="00595533">
        <w:rPr>
          <w:lang w:val="lv-LV"/>
        </w:rPr>
        <w:t xml:space="preserve">jauniešu </w:t>
      </w:r>
      <w:r w:rsidRPr="00595533">
        <w:rPr>
          <w:lang w:val="lv-LV"/>
        </w:rPr>
        <w:t>iesaistīti pamatprasmju un kompetenču apguvē, 14 tūkstoši - profesionālajās izglītības programmās.</w:t>
      </w:r>
      <w:r w:rsidRPr="00595533">
        <w:rPr>
          <w:vertAlign w:val="superscript"/>
          <w:lang w:val="lv-LV"/>
        </w:rPr>
        <w:footnoteReference w:id="36"/>
      </w:r>
      <w:r w:rsidRPr="00595533">
        <w:rPr>
          <w:lang w:val="lv-LV"/>
        </w:rPr>
        <w:t xml:space="preserve"> Jauniešiem ieslodzījuma vietās noteiktas piemērotākās profesijas ieslodzījuma vietās un 145 pabei</w:t>
      </w:r>
      <w:r w:rsidR="009F3299" w:rsidRPr="00595533">
        <w:rPr>
          <w:lang w:val="lv-LV"/>
        </w:rPr>
        <w:t>guši</w:t>
      </w:r>
      <w:r w:rsidRPr="00595533">
        <w:rPr>
          <w:lang w:val="lv-LV"/>
        </w:rPr>
        <w:t xml:space="preserve"> profesionālās pilnveides izglītības programmas. </w:t>
      </w:r>
      <w:r w:rsidR="00064488" w:rsidRPr="00595533">
        <w:rPr>
          <w:lang w:val="lv-LV"/>
        </w:rPr>
        <w:t>Vienlaikus p</w:t>
      </w:r>
      <w:r w:rsidRPr="00595533">
        <w:rPr>
          <w:lang w:val="lv-LV"/>
        </w:rPr>
        <w:t>rofesionālās izglītības pievilcības un pieejamības veicināšanai valdība piešķīr</w:t>
      </w:r>
      <w:r w:rsidR="00064488" w:rsidRPr="00595533">
        <w:rPr>
          <w:lang w:val="lv-LV"/>
        </w:rPr>
        <w:t>usi 17,5 mlj euro</w:t>
      </w:r>
      <w:r w:rsidRPr="00595533">
        <w:rPr>
          <w:lang w:val="lv-LV"/>
        </w:rPr>
        <w:t xml:space="preserve">  no valsts budžeta audzēkņu stipendijām</w:t>
      </w:r>
      <w:r w:rsidR="00064488" w:rsidRPr="00595533">
        <w:rPr>
          <w:lang w:val="lv-LV"/>
        </w:rPr>
        <w:t>.</w:t>
      </w:r>
    </w:p>
    <w:p w14:paraId="096FA8B5" w14:textId="78C6F85D" w:rsidR="00315B1F" w:rsidRPr="00595533" w:rsidRDefault="00315B1F" w:rsidP="00315B1F">
      <w:pPr>
        <w:rPr>
          <w:lang w:val="lv-LV"/>
        </w:rPr>
      </w:pPr>
      <w:r w:rsidRPr="00595533">
        <w:rPr>
          <w:lang w:val="lv-LV"/>
        </w:rPr>
        <w:t>Uzlabojoties darba tirgus situ</w:t>
      </w:r>
      <w:r w:rsidR="00D83CAC" w:rsidRPr="00595533">
        <w:rPr>
          <w:lang w:val="lv-LV"/>
        </w:rPr>
        <w:t>ācijai, jaunieši ātrāk iekārtoja</w:t>
      </w:r>
      <w:r w:rsidRPr="00595533">
        <w:rPr>
          <w:lang w:val="lv-LV"/>
        </w:rPr>
        <w:t>s darbā, taču pagaidām īstenotās darbības nepietiekami uzrunā pašu sarežģītāko jauniešu mērķ</w:t>
      </w:r>
      <w:r w:rsidR="00D83CAC" w:rsidRPr="00595533">
        <w:rPr>
          <w:lang w:val="lv-LV"/>
        </w:rPr>
        <w:t xml:space="preserve">a </w:t>
      </w:r>
      <w:r w:rsidRPr="00595533">
        <w:rPr>
          <w:lang w:val="lv-LV"/>
        </w:rPr>
        <w:t>grupu</w:t>
      </w:r>
      <w:r w:rsidR="00D83CAC" w:rsidRPr="00595533">
        <w:rPr>
          <w:lang w:val="lv-LV"/>
        </w:rPr>
        <w:t>, kurai ir īpašas grūtības iekļauties darba tirgū</w:t>
      </w:r>
      <w:r w:rsidRPr="00595533">
        <w:rPr>
          <w:lang w:val="lv-LV"/>
        </w:rPr>
        <w:t xml:space="preserve">. </w:t>
      </w:r>
      <w:r w:rsidR="00D83CAC" w:rsidRPr="00595533">
        <w:rPr>
          <w:lang w:val="lv-LV"/>
        </w:rPr>
        <w:t xml:space="preserve">Vienlaikus </w:t>
      </w:r>
      <w:r w:rsidRPr="00595533">
        <w:rPr>
          <w:lang w:val="lv-LV"/>
        </w:rPr>
        <w:t>nākotnē pastiprināms preven</w:t>
      </w:r>
      <w:r w:rsidR="00D83CAC" w:rsidRPr="00595533">
        <w:rPr>
          <w:lang w:val="lv-LV"/>
        </w:rPr>
        <w:t>tīvais</w:t>
      </w:r>
      <w:r w:rsidRPr="00595533">
        <w:rPr>
          <w:lang w:val="lv-LV"/>
        </w:rPr>
        <w:t xml:space="preserve"> darbs dažādās politikās, pievēršot uzmanību NEET cēloņiem, piemēram, negatīva mācīšanās pieredze, attiecības ar skolotājiem un vienaudžiem, problēmas ģimenē, atkarības problēmas, nespēja izgulēties, saskaņot darba/izglītības un ģimenes dzīvi, kā arī darba vietu trūkums lauku reģionos. </w:t>
      </w:r>
      <w:r w:rsidR="007B23A2" w:rsidRPr="00595533">
        <w:rPr>
          <w:lang w:val="lv-LV"/>
        </w:rPr>
        <w:t>Lai to īstenotu, l</w:t>
      </w:r>
      <w:r w:rsidRPr="00595533">
        <w:rPr>
          <w:lang w:val="lv-LV"/>
        </w:rPr>
        <w:t xml:space="preserve">abklājības ministrs aicinājis izstrādāt pastāvīgu valsts atbalsta programmu </w:t>
      </w:r>
      <w:r w:rsidR="007B23A2" w:rsidRPr="00595533">
        <w:rPr>
          <w:lang w:val="lv-LV"/>
        </w:rPr>
        <w:t>j</w:t>
      </w:r>
      <w:r w:rsidRPr="00595533">
        <w:rPr>
          <w:lang w:val="lv-LV"/>
        </w:rPr>
        <w:t>auniešu garantijas īstenošanai.</w:t>
      </w:r>
    </w:p>
    <w:p w14:paraId="1BA7CF52" w14:textId="7CA65E74" w:rsidR="00315B1F" w:rsidRPr="00595533" w:rsidRDefault="007B23A2" w:rsidP="00315B1F">
      <w:pPr>
        <w:rPr>
          <w:lang w:val="lv-LV"/>
        </w:rPr>
      </w:pPr>
      <w:r w:rsidRPr="00595533">
        <w:rPr>
          <w:lang w:val="lv-LV"/>
        </w:rPr>
        <w:t>Pārskata</w:t>
      </w:r>
      <w:r w:rsidR="00315B1F" w:rsidRPr="00595533">
        <w:rPr>
          <w:lang w:val="lv-LV"/>
        </w:rPr>
        <w:t xml:space="preserve"> periodā </w:t>
      </w:r>
      <w:r w:rsidRPr="00595533">
        <w:rPr>
          <w:lang w:val="lv-LV"/>
        </w:rPr>
        <w:t xml:space="preserve">valsts </w:t>
      </w:r>
      <w:r w:rsidR="00315B1F" w:rsidRPr="00595533">
        <w:rPr>
          <w:lang w:val="lv-LV"/>
        </w:rPr>
        <w:t xml:space="preserve">atbalstījusi </w:t>
      </w:r>
      <w:r w:rsidR="00315B1F" w:rsidRPr="00595533">
        <w:rPr>
          <w:b/>
          <w:lang w:val="lv-LV"/>
        </w:rPr>
        <w:t>cilvēku ar invaliditāti</w:t>
      </w:r>
      <w:r w:rsidR="00315B1F" w:rsidRPr="00595533">
        <w:rPr>
          <w:lang w:val="lv-LV"/>
        </w:rPr>
        <w:t xml:space="preserve"> nodarbinātības izredzes, ar valsts budžeta līdzekļiem paplašinot asistenta pakalpojums nokļūšanai līdz izglītības </w:t>
      </w:r>
      <w:r w:rsidR="00315B1F" w:rsidRPr="00F63D5E">
        <w:rPr>
          <w:lang w:val="lv-LV"/>
        </w:rPr>
        <w:t>iestādei vai darbavietai.  Ļoti lieli izaicinājumi</w:t>
      </w:r>
      <w:r w:rsidR="00315B1F" w:rsidRPr="00595533">
        <w:rPr>
          <w:lang w:val="lv-LV"/>
        </w:rPr>
        <w:t xml:space="preserve"> attiecībā uz nodarbinātību ir cilvēkiem ar smagu invaliditāti un personām ar garīga rakstura traucējumiem. Ar profesionālās rehabilitācijas pasākumiem 100 personas uzsāks integrāciju sabiedrībā un darba tirgū.</w:t>
      </w:r>
      <w:r w:rsidR="00315B1F" w:rsidRPr="00595533">
        <w:rPr>
          <w:vertAlign w:val="superscript"/>
          <w:lang w:val="lv-LV"/>
        </w:rPr>
        <w:footnoteReference w:id="37"/>
      </w:r>
      <w:r w:rsidR="00315B1F" w:rsidRPr="00595533">
        <w:rPr>
          <w:lang w:val="lv-LV"/>
        </w:rPr>
        <w:t xml:space="preserve"> </w:t>
      </w:r>
    </w:p>
    <w:p w14:paraId="0FC92CAC" w14:textId="3ABD9437" w:rsidR="00315B1F" w:rsidRPr="00595533" w:rsidRDefault="00315B1F" w:rsidP="00315B1F">
      <w:pPr>
        <w:rPr>
          <w:lang w:val="lv-LV"/>
        </w:rPr>
      </w:pPr>
      <w:r w:rsidRPr="00595533">
        <w:rPr>
          <w:lang w:val="lv-LV"/>
        </w:rPr>
        <w:t>V</w:t>
      </w:r>
      <w:r w:rsidR="006C5335" w:rsidRPr="00595533">
        <w:rPr>
          <w:lang w:val="lv-LV"/>
        </w:rPr>
        <w:t>ienlaikus v</w:t>
      </w:r>
      <w:r w:rsidRPr="00595533">
        <w:rPr>
          <w:lang w:val="lv-LV"/>
        </w:rPr>
        <w:t>eikti arī sagatav</w:t>
      </w:r>
      <w:r w:rsidR="006C5335" w:rsidRPr="00595533">
        <w:rPr>
          <w:lang w:val="lv-LV"/>
        </w:rPr>
        <w:t>ošanās darbi sabiedrībā balstītu</w:t>
      </w:r>
      <w:r w:rsidRPr="00595533">
        <w:rPr>
          <w:lang w:val="lv-LV"/>
        </w:rPr>
        <w:t xml:space="preserve"> sociālo pakalpojumu sistēmas izveidei pieaugušajām personām ar garīgās veselības traucējumiem, kuras būs atstājušas valsts ilgstošas sociālās aprūpes institūcijas un uzsākušas dzīvi sabiedrībā, kā arī tiem, kuri jau dzīvo sabiedrīb</w:t>
      </w:r>
      <w:r w:rsidR="006C5335" w:rsidRPr="00595533">
        <w:rPr>
          <w:lang w:val="lv-LV"/>
        </w:rPr>
        <w:t>ā</w:t>
      </w:r>
      <w:r w:rsidRPr="00595533">
        <w:rPr>
          <w:lang w:val="lv-LV"/>
        </w:rPr>
        <w:t>.  Grozījumi Sociālo pakalpojumu un sociālās palīdzības likumā nosaka valsts atbalstu sabiedrībā balstītajiem sociālās aprūpes pakalpojumiem (“naud</w:t>
      </w:r>
      <w:r w:rsidR="006C5335" w:rsidRPr="00595533">
        <w:rPr>
          <w:lang w:val="lv-LV"/>
        </w:rPr>
        <w:t>a sekos klientam”) tām personām</w:t>
      </w:r>
      <w:r w:rsidRPr="00595533">
        <w:rPr>
          <w:lang w:val="lv-LV"/>
        </w:rPr>
        <w:t>, kas izies no institūcijām.  Plānošanas reģioni uzsākuši izstrādāt individuālos plānus 2100 pilngadīgām personām un 2016.</w:t>
      </w:r>
      <w:r w:rsidR="006C5335" w:rsidRPr="00595533">
        <w:rPr>
          <w:lang w:val="lv-LV"/>
        </w:rPr>
        <w:t> </w:t>
      </w:r>
      <w:r w:rsidRPr="00595533">
        <w:rPr>
          <w:lang w:val="lv-LV"/>
        </w:rPr>
        <w:t>gadā uzsāktajā izmēģinājuma projektā 200 pilngadīgie saņēm</w:t>
      </w:r>
      <w:r w:rsidR="006C5335" w:rsidRPr="00595533">
        <w:rPr>
          <w:lang w:val="lv-LV"/>
        </w:rPr>
        <w:t>uši</w:t>
      </w:r>
      <w:r w:rsidRPr="00595533">
        <w:rPr>
          <w:lang w:val="lv-LV"/>
        </w:rPr>
        <w:t xml:space="preserve"> to vajadzībām atbilstošus sabiedrībā balstītus sociālos pakalpojumus. </w:t>
      </w:r>
    </w:p>
    <w:p w14:paraId="6CF5CB83" w14:textId="5D7EF7D2" w:rsidR="00315B1F" w:rsidRPr="00595533" w:rsidRDefault="00315B1F" w:rsidP="00315B1F">
      <w:pPr>
        <w:rPr>
          <w:lang w:val="lv-LV"/>
        </w:rPr>
      </w:pPr>
      <w:r w:rsidRPr="00595533">
        <w:rPr>
          <w:lang w:val="lv-LV"/>
        </w:rPr>
        <w:t>Atbilstoši plānošanas reģionu “deinstitucionalizācijas” plāniem paredzēti ieguldījumi pašvaldību sociālaj</w:t>
      </w:r>
      <w:r w:rsidR="006C5335" w:rsidRPr="00595533">
        <w:rPr>
          <w:lang w:val="lv-LV"/>
        </w:rPr>
        <w:t>ā infrastruktūrā, piemēram,</w:t>
      </w:r>
      <w:r w:rsidRPr="00595533">
        <w:rPr>
          <w:lang w:val="lv-LV"/>
        </w:rPr>
        <w:t xml:space="preserve"> grupu mājām un dienas centriem, </w:t>
      </w:r>
      <w:r w:rsidR="006C5335" w:rsidRPr="00595533">
        <w:rPr>
          <w:lang w:val="lv-LV"/>
        </w:rPr>
        <w:t>taču konkursa izsludināšana</w:t>
      </w:r>
      <w:r w:rsidRPr="00595533">
        <w:rPr>
          <w:lang w:val="lv-LV"/>
        </w:rPr>
        <w:t xml:space="preserve"> pašvaldībām kavējas. N</w:t>
      </w:r>
      <w:r w:rsidR="00812D35" w:rsidRPr="00595533">
        <w:rPr>
          <w:lang w:val="lv-LV"/>
        </w:rPr>
        <w:t>ākotnē n</w:t>
      </w:r>
      <w:r w:rsidRPr="00595533">
        <w:rPr>
          <w:lang w:val="lv-LV"/>
        </w:rPr>
        <w:t>odrošināma darbību saskaņošan</w:t>
      </w:r>
      <w:r w:rsidR="00812D35" w:rsidRPr="00595533">
        <w:rPr>
          <w:lang w:val="lv-LV"/>
        </w:rPr>
        <w:t>a, lai individuālie novērtējumi personām tiktu izstrādāti</w:t>
      </w:r>
      <w:r w:rsidRPr="00595533">
        <w:rPr>
          <w:lang w:val="lv-LV"/>
        </w:rPr>
        <w:t xml:space="preserve"> īsi pirms pāriešanas no valsts finansētām ilgstošas aprūpes ins</w:t>
      </w:r>
      <w:r w:rsidR="00812D35" w:rsidRPr="00595533">
        <w:rPr>
          <w:lang w:val="lv-LV"/>
        </w:rPr>
        <w:t xml:space="preserve">titūcijām uz dzīvi sabiedrībā. Tāpat jāseko </w:t>
      </w:r>
      <w:r w:rsidR="00812D35" w:rsidRPr="00595533">
        <w:rPr>
          <w:lang w:val="lv-LV"/>
        </w:rPr>
        <w:lastRenderedPageBreak/>
        <w:t>līdzi un j</w:t>
      </w:r>
      <w:r w:rsidRPr="00595533">
        <w:rPr>
          <w:lang w:val="lv-LV"/>
        </w:rPr>
        <w:t>ānodrošina, ka sabiedrībā balstītie pakalpoju</w:t>
      </w:r>
      <w:r w:rsidR="00812D35" w:rsidRPr="00595533">
        <w:rPr>
          <w:lang w:val="lv-LV"/>
        </w:rPr>
        <w:t>mi uzlabos, nevis pasliktinātās</w:t>
      </w:r>
      <w:r w:rsidRPr="00595533">
        <w:rPr>
          <w:lang w:val="lv-LV"/>
        </w:rPr>
        <w:t xml:space="preserve"> </w:t>
      </w:r>
      <w:r w:rsidR="00812D35" w:rsidRPr="00595533">
        <w:rPr>
          <w:lang w:val="lv-LV"/>
        </w:rPr>
        <w:t xml:space="preserve">cilvēku drošību un labklājību. </w:t>
      </w:r>
    </w:p>
    <w:p w14:paraId="2C8D4332" w14:textId="77777777" w:rsidR="00315B1F" w:rsidRPr="00595533" w:rsidRDefault="00315B1F" w:rsidP="001724E9">
      <w:pPr>
        <w:rPr>
          <w:b/>
          <w:u w:val="single"/>
          <w:lang w:val="lv-LV"/>
        </w:rPr>
      </w:pPr>
      <w:r w:rsidRPr="00595533">
        <w:rPr>
          <w:b/>
          <w:u w:val="single"/>
          <w:lang w:val="lv-LV"/>
        </w:rPr>
        <w:t>Nodarbināto labklājības līmenis</w:t>
      </w:r>
    </w:p>
    <w:p w14:paraId="4257B080" w14:textId="560DEA45" w:rsidR="00315B1F" w:rsidRPr="00595533" w:rsidRDefault="00651460" w:rsidP="00315B1F">
      <w:pPr>
        <w:rPr>
          <w:lang w:val="lv-LV"/>
        </w:rPr>
      </w:pPr>
      <w:r w:rsidRPr="00595533">
        <w:rPr>
          <w:lang w:val="lv-LV"/>
        </w:rPr>
        <w:t>Laika posmā no 2014. līdz 2016. </w:t>
      </w:r>
      <w:r w:rsidR="00315B1F" w:rsidRPr="00595533">
        <w:rPr>
          <w:lang w:val="lv-LV"/>
        </w:rPr>
        <w:t>gada</w:t>
      </w:r>
      <w:r w:rsidRPr="00595533">
        <w:rPr>
          <w:lang w:val="lv-LV"/>
        </w:rPr>
        <w:t>m</w:t>
      </w:r>
      <w:r w:rsidR="00315B1F" w:rsidRPr="00595533">
        <w:rPr>
          <w:lang w:val="lv-LV"/>
        </w:rPr>
        <w:t xml:space="preserve"> valdība ik gadu palielināj</w:t>
      </w:r>
      <w:r w:rsidRPr="00595533">
        <w:rPr>
          <w:lang w:val="lv-LV"/>
        </w:rPr>
        <w:t>usi</w:t>
      </w:r>
      <w:r w:rsidR="00315B1F" w:rsidRPr="00595533">
        <w:rPr>
          <w:b/>
          <w:lang w:val="lv-LV"/>
        </w:rPr>
        <w:t xml:space="preserve"> minimālo darba algu</w:t>
      </w:r>
      <w:r w:rsidRPr="00595533">
        <w:rPr>
          <w:lang w:val="lv-LV"/>
        </w:rPr>
        <w:t>, k</w:t>
      </w:r>
      <w:r w:rsidR="00315B1F" w:rsidRPr="00595533">
        <w:rPr>
          <w:lang w:val="lv-LV"/>
        </w:rPr>
        <w:t xml:space="preserve">as </w:t>
      </w:r>
      <w:r w:rsidRPr="00595533">
        <w:rPr>
          <w:lang w:val="lv-LV"/>
        </w:rPr>
        <w:t>pieaugusi</w:t>
      </w:r>
      <w:r w:rsidR="00315B1F" w:rsidRPr="00595533">
        <w:rPr>
          <w:lang w:val="lv-LV"/>
        </w:rPr>
        <w:t xml:space="preserve"> no 285 euro mēnesī līdz 370 euro mēnesī. Papildus pasākumiem, kas bija paredzēti NAP2020 uzdevumu ietvaros, valsts nodrošināj</w:t>
      </w:r>
      <w:r w:rsidR="00A60430" w:rsidRPr="00595533">
        <w:rPr>
          <w:lang w:val="lv-LV"/>
        </w:rPr>
        <w:t>usi</w:t>
      </w:r>
      <w:r w:rsidR="00315B1F" w:rsidRPr="00595533">
        <w:rPr>
          <w:lang w:val="lv-LV"/>
        </w:rPr>
        <w:t xml:space="preserve"> </w:t>
      </w:r>
      <w:r w:rsidR="00A60430" w:rsidRPr="00595533">
        <w:rPr>
          <w:lang w:val="lv-LV"/>
        </w:rPr>
        <w:t>z</w:t>
      </w:r>
      <w:r w:rsidR="00315B1F" w:rsidRPr="00595533">
        <w:rPr>
          <w:lang w:val="lv-LV"/>
        </w:rPr>
        <w:t xml:space="preserve">emāko mēneša darba algu izlīdzināšanu, minimālo mēnešalgu paaugstināšanu valsts </w:t>
      </w:r>
      <w:r w:rsidR="00A60430" w:rsidRPr="00595533">
        <w:rPr>
          <w:lang w:val="lv-LV"/>
        </w:rPr>
        <w:t>p</w:t>
      </w:r>
      <w:r w:rsidR="00315B1F" w:rsidRPr="00595533">
        <w:rPr>
          <w:lang w:val="lv-LV"/>
        </w:rPr>
        <w:t>ārvaldes iestādēs. Valsts arī palielināj</w:t>
      </w:r>
      <w:r w:rsidR="00A60430" w:rsidRPr="00595533">
        <w:rPr>
          <w:lang w:val="lv-LV"/>
        </w:rPr>
        <w:t>usi</w:t>
      </w:r>
      <w:r w:rsidR="00315B1F" w:rsidRPr="00595533">
        <w:rPr>
          <w:lang w:val="lv-LV"/>
        </w:rPr>
        <w:t xml:space="preserve"> atalgojumu valsts pārvaldes da</w:t>
      </w:r>
      <w:r w:rsidR="00A60430" w:rsidRPr="00595533">
        <w:rPr>
          <w:lang w:val="lv-LV"/>
        </w:rPr>
        <w:t>r</w:t>
      </w:r>
      <w:r w:rsidR="00F54FA9">
        <w:rPr>
          <w:lang w:val="lv-LV"/>
        </w:rPr>
        <w:t xml:space="preserve">biniekiem ar zemiem ienākumiem – </w:t>
      </w:r>
      <w:r w:rsidR="00A60430" w:rsidRPr="00595533">
        <w:rPr>
          <w:lang w:val="lv-LV"/>
        </w:rPr>
        <w:t>P</w:t>
      </w:r>
      <w:r w:rsidR="00315B1F" w:rsidRPr="00595533">
        <w:rPr>
          <w:lang w:val="lv-LV"/>
        </w:rPr>
        <w:t>robācijas dienest</w:t>
      </w:r>
      <w:r w:rsidR="00A60430" w:rsidRPr="00595533">
        <w:rPr>
          <w:lang w:val="lv-LV"/>
        </w:rPr>
        <w:t>ā strādājošiem</w:t>
      </w:r>
      <w:r w:rsidR="00315B1F" w:rsidRPr="00595533">
        <w:rPr>
          <w:lang w:val="lv-LV"/>
        </w:rPr>
        <w:t xml:space="preserve">, </w:t>
      </w:r>
      <w:r w:rsidR="00A60430" w:rsidRPr="00595533">
        <w:rPr>
          <w:lang w:val="lv-LV"/>
        </w:rPr>
        <w:t>ā</w:t>
      </w:r>
      <w:r w:rsidR="00315B1F" w:rsidRPr="00595533">
        <w:rPr>
          <w:lang w:val="lv-LV"/>
        </w:rPr>
        <w:t>rstniecības person</w:t>
      </w:r>
      <w:r w:rsidR="00407D16" w:rsidRPr="00595533">
        <w:rPr>
          <w:lang w:val="lv-LV"/>
        </w:rPr>
        <w:t>ām un pārējiem</w:t>
      </w:r>
      <w:r w:rsidR="00315B1F" w:rsidRPr="00595533">
        <w:rPr>
          <w:lang w:val="lv-LV"/>
        </w:rPr>
        <w:t xml:space="preserve"> veselības aprūpes sistēmā nodarbināt</w:t>
      </w:r>
      <w:r w:rsidR="00407D16" w:rsidRPr="00595533">
        <w:rPr>
          <w:lang w:val="lv-LV"/>
        </w:rPr>
        <w:t>iem</w:t>
      </w:r>
      <w:r w:rsidR="00315B1F" w:rsidRPr="00595533">
        <w:rPr>
          <w:lang w:val="lv-LV"/>
        </w:rPr>
        <w:t>, Ieslodzījumu vietu pārvaldes amatpersonām ar speciālajām dienesta pakāpēm, Iekšlietu ministrijas sistēmas iestāžu amatpersonām ar speciālajām dienesta pakāpēm</w:t>
      </w:r>
      <w:r w:rsidR="00F54FA9">
        <w:rPr>
          <w:lang w:val="lv-LV"/>
        </w:rPr>
        <w:t xml:space="preserve">, kā arī </w:t>
      </w:r>
      <w:r w:rsidR="00F54FA9" w:rsidRPr="00595533">
        <w:rPr>
          <w:lang w:val="lv-LV"/>
        </w:rPr>
        <w:t>pedagogu darba samaksas reformas ieviešanai,</w:t>
      </w:r>
      <w:r w:rsidR="00315B1F" w:rsidRPr="00595533">
        <w:rPr>
          <w:lang w:val="lv-LV"/>
        </w:rPr>
        <w:t>.</w:t>
      </w:r>
    </w:p>
    <w:p w14:paraId="391B0873" w14:textId="28F9BF55" w:rsidR="00315B1F" w:rsidRPr="00595533" w:rsidRDefault="00315B1F" w:rsidP="00315B1F">
      <w:pPr>
        <w:rPr>
          <w:lang w:val="lv-LV"/>
        </w:rPr>
      </w:pPr>
      <w:r w:rsidRPr="00595533">
        <w:rPr>
          <w:lang w:val="lv-LV"/>
        </w:rPr>
        <w:t xml:space="preserve">Lai mazinātu </w:t>
      </w:r>
      <w:r w:rsidRPr="00595533">
        <w:rPr>
          <w:b/>
          <w:lang w:val="lv-LV"/>
        </w:rPr>
        <w:t>darbaspēka nodokļu</w:t>
      </w:r>
      <w:r w:rsidRPr="00595533">
        <w:rPr>
          <w:lang w:val="lv-LV"/>
        </w:rPr>
        <w:t xml:space="preserve"> regresivitāti, 2016.</w:t>
      </w:r>
      <w:r w:rsidR="00407D16" w:rsidRPr="00595533">
        <w:rPr>
          <w:lang w:val="lv-LV"/>
        </w:rPr>
        <w:t> </w:t>
      </w:r>
      <w:r w:rsidRPr="00595533">
        <w:rPr>
          <w:lang w:val="lv-LV"/>
        </w:rPr>
        <w:t>gadā ievies</w:t>
      </w:r>
      <w:r w:rsidR="00407D16" w:rsidRPr="00595533">
        <w:rPr>
          <w:lang w:val="lv-LV"/>
        </w:rPr>
        <w:t>ts</w:t>
      </w:r>
      <w:r w:rsidRPr="00595533">
        <w:rPr>
          <w:lang w:val="lv-LV"/>
        </w:rPr>
        <w:t xml:space="preserve"> “solidaritātes nodokli</w:t>
      </w:r>
      <w:r w:rsidR="00407D16" w:rsidRPr="00595533">
        <w:rPr>
          <w:lang w:val="lv-LV"/>
        </w:rPr>
        <w:t>s” aptuveni 4 700 personām ar algām virs 48 </w:t>
      </w:r>
      <w:r w:rsidRPr="00595533">
        <w:rPr>
          <w:lang w:val="lv-LV"/>
        </w:rPr>
        <w:t>000 e</w:t>
      </w:r>
      <w:r w:rsidR="00407D16" w:rsidRPr="00595533">
        <w:rPr>
          <w:lang w:val="lv-LV"/>
        </w:rPr>
        <w:t>u</w:t>
      </w:r>
      <w:r w:rsidRPr="00595533">
        <w:rPr>
          <w:lang w:val="lv-LV"/>
        </w:rPr>
        <w:t>ro.  No 2018.</w:t>
      </w:r>
      <w:r w:rsidR="00407D16" w:rsidRPr="00595533">
        <w:rPr>
          <w:lang w:val="lv-LV"/>
        </w:rPr>
        <w:t> </w:t>
      </w:r>
      <w:r w:rsidRPr="00595533">
        <w:rPr>
          <w:lang w:val="lv-LV"/>
        </w:rPr>
        <w:t>g</w:t>
      </w:r>
      <w:r w:rsidR="00407D16" w:rsidRPr="00595533">
        <w:rPr>
          <w:lang w:val="lv-LV"/>
        </w:rPr>
        <w:t>ada</w:t>
      </w:r>
      <w:r w:rsidRPr="00595533">
        <w:rPr>
          <w:lang w:val="lv-LV"/>
        </w:rPr>
        <w:t xml:space="preserve"> šo nodokli paredzēts pārveidot, k</w:t>
      </w:r>
      <w:r w:rsidR="00407D16" w:rsidRPr="00595533">
        <w:rPr>
          <w:lang w:val="lv-LV"/>
        </w:rPr>
        <w:t>ā</w:t>
      </w:r>
      <w:r w:rsidRPr="00595533">
        <w:rPr>
          <w:lang w:val="lv-LV"/>
        </w:rPr>
        <w:t xml:space="preserve"> arī ieviest progresīvu iedzīvotāju ienākuma nodokļa sistēmu, kas mazinās IIN slogu mazāk atalgotajai sabiedrības daļai (ienākumam līdz 20</w:t>
      </w:r>
      <w:r w:rsidR="00407D16" w:rsidRPr="00595533">
        <w:rPr>
          <w:lang w:val="lv-LV"/>
        </w:rPr>
        <w:t> </w:t>
      </w:r>
      <w:r w:rsidRPr="00595533">
        <w:rPr>
          <w:lang w:val="lv-LV"/>
        </w:rPr>
        <w:t xml:space="preserve">000 </w:t>
      </w:r>
      <w:r w:rsidR="00407D16" w:rsidRPr="00595533">
        <w:rPr>
          <w:lang w:val="lv-LV"/>
        </w:rPr>
        <w:t>euro</w:t>
      </w:r>
      <w:r w:rsidRPr="00595533">
        <w:rPr>
          <w:lang w:val="lv-LV"/>
        </w:rPr>
        <w:t xml:space="preserve"> gadā - 20%, ienākumam (tā starpībai) no 20</w:t>
      </w:r>
      <w:r w:rsidR="00407D16" w:rsidRPr="00595533">
        <w:rPr>
          <w:lang w:val="lv-LV"/>
        </w:rPr>
        <w:t> </w:t>
      </w:r>
      <w:r w:rsidRPr="00595533">
        <w:rPr>
          <w:lang w:val="lv-LV"/>
        </w:rPr>
        <w:t>000 līdz 55</w:t>
      </w:r>
      <w:r w:rsidR="00407D16" w:rsidRPr="00595533">
        <w:rPr>
          <w:lang w:val="lv-LV"/>
        </w:rPr>
        <w:t> </w:t>
      </w:r>
      <w:r w:rsidRPr="00595533">
        <w:rPr>
          <w:lang w:val="lv-LV"/>
        </w:rPr>
        <w:t xml:space="preserve">000 </w:t>
      </w:r>
      <w:r w:rsidR="00407D16" w:rsidRPr="00595533">
        <w:rPr>
          <w:lang w:val="lv-LV"/>
        </w:rPr>
        <w:t xml:space="preserve">euro gadā - </w:t>
      </w:r>
      <w:r w:rsidRPr="00595533">
        <w:rPr>
          <w:lang w:val="lv-LV"/>
        </w:rPr>
        <w:t>23%, ienākuma daļai, kas pārsniegs 55</w:t>
      </w:r>
      <w:r w:rsidR="00407D16" w:rsidRPr="00595533">
        <w:rPr>
          <w:lang w:val="lv-LV"/>
        </w:rPr>
        <w:t> </w:t>
      </w:r>
      <w:r w:rsidRPr="00595533">
        <w:rPr>
          <w:lang w:val="lv-LV"/>
        </w:rPr>
        <w:t>000 EUR gadā - 31,4%) un regresīva neapliekamā minimuma saglabāšanu, kas no 2018.</w:t>
      </w:r>
      <w:r w:rsidR="00407D16" w:rsidRPr="00595533">
        <w:rPr>
          <w:lang w:val="lv-LV"/>
        </w:rPr>
        <w:t> </w:t>
      </w:r>
      <w:r w:rsidRPr="00595533">
        <w:rPr>
          <w:lang w:val="lv-LV"/>
        </w:rPr>
        <w:t>gada būs vienāds ar minimālo darba algu, savukārt, ienākumam pārsniedzot 1</w:t>
      </w:r>
      <w:r w:rsidR="00407D16" w:rsidRPr="00595533">
        <w:rPr>
          <w:lang w:val="lv-LV"/>
        </w:rPr>
        <w:t> </w:t>
      </w:r>
      <w:r w:rsidRPr="00595533">
        <w:rPr>
          <w:lang w:val="lv-LV"/>
        </w:rPr>
        <w:t>000 EUR (2020.</w:t>
      </w:r>
      <w:r w:rsidR="00407D16" w:rsidRPr="00595533">
        <w:rPr>
          <w:lang w:val="lv-LV"/>
        </w:rPr>
        <w:t> </w:t>
      </w:r>
      <w:r w:rsidRPr="00595533">
        <w:rPr>
          <w:lang w:val="lv-LV"/>
        </w:rPr>
        <w:t>gadā – 1</w:t>
      </w:r>
      <w:r w:rsidR="00407D16" w:rsidRPr="00595533">
        <w:rPr>
          <w:lang w:val="lv-LV"/>
        </w:rPr>
        <w:t> </w:t>
      </w:r>
      <w:r w:rsidRPr="00595533">
        <w:rPr>
          <w:lang w:val="lv-LV"/>
        </w:rPr>
        <w:t>200 EUR), neapliekamais minimums būs 0 EUR. Vienlaikus, atsevišķi reformas aspekti nelielā mērā devalvē nabadzības riska mazināšanas efektus, t.sk. darba ņēmēja VSAO</w:t>
      </w:r>
      <w:r w:rsidR="00E0535E">
        <w:rPr>
          <w:lang w:val="lv-LV"/>
        </w:rPr>
        <w:t>I iemaksu paaugstināšana par 0,</w:t>
      </w:r>
      <w:r w:rsidRPr="00595533">
        <w:rPr>
          <w:lang w:val="lv-LV"/>
        </w:rPr>
        <w:t>5%, ņemot vērā, ka tās tiek maksātas par visu darba samaksu, atsevišķām nodarināto kategorijām, īpaši ar apgādībā esošām personām, neto darba samaksa samazināsies. Turklāt nabadzības riskam pakļautākā sabiedrības daļa, kas vienlaikus ir nodarbināta, atsevišķos gadījumos nespēs pilnā apmērā izmantot visus atvieglojumus, ko paredz IIN regulējums.</w:t>
      </w:r>
    </w:p>
    <w:p w14:paraId="5D1FF779" w14:textId="729FDC1E" w:rsidR="00315B1F" w:rsidRPr="00595533" w:rsidRDefault="00315B1F" w:rsidP="00315B1F">
      <w:pPr>
        <w:rPr>
          <w:lang w:val="lv-LV"/>
        </w:rPr>
      </w:pPr>
      <w:r w:rsidRPr="00595533">
        <w:rPr>
          <w:b/>
          <w:lang w:val="lv-LV"/>
        </w:rPr>
        <w:t>Reģistrēta un</w:t>
      </w:r>
      <w:r w:rsidRPr="00595533">
        <w:rPr>
          <w:lang w:val="lv-LV"/>
        </w:rPr>
        <w:t xml:space="preserve"> </w:t>
      </w:r>
      <w:r w:rsidRPr="00595533">
        <w:rPr>
          <w:b/>
          <w:lang w:val="lv-LV"/>
        </w:rPr>
        <w:t>sociāli atbildīga uzņēmējdarbība</w:t>
      </w:r>
      <w:r w:rsidRPr="00595533">
        <w:rPr>
          <w:lang w:val="lv-LV"/>
        </w:rPr>
        <w:t xml:space="preserve"> ir nepieciešana, lai uzlabotu strādājošo labklājību, uzņēmumiem maksājot darba ņēmējiem godīgu atalgojumu ar nodokļiem, kas nodrošina sociālo atbalstu un veselības aprūpi, gādājot par drošību un labklājību. Par uzdevumu primāri atbild darba devēji un darba ņēmēji, tāpēc </w:t>
      </w:r>
      <w:r w:rsidR="00DA10CF" w:rsidRPr="00595533">
        <w:rPr>
          <w:lang w:val="lv-LV"/>
        </w:rPr>
        <w:t>pozitīvi vērtējams</w:t>
      </w:r>
      <w:r w:rsidRPr="00595533">
        <w:rPr>
          <w:lang w:val="lv-LV"/>
        </w:rPr>
        <w:t xml:space="preserve"> Korporatīvās ilgtspējas un atbildības institūta darbs ar Latvijas Brīvo arodbiedrības savienību (LBAS) un Latvijas Darba devēju </w:t>
      </w:r>
      <w:r w:rsidR="00E0535E">
        <w:rPr>
          <w:lang w:val="lv-LV"/>
        </w:rPr>
        <w:t>konfederāciju</w:t>
      </w:r>
      <w:r w:rsidRPr="00595533">
        <w:rPr>
          <w:lang w:val="lv-LV"/>
        </w:rPr>
        <w:t xml:space="preserve"> (LDDK), </w:t>
      </w:r>
      <w:r w:rsidR="00DA10CF" w:rsidRPr="00595533">
        <w:rPr>
          <w:lang w:val="lv-LV"/>
        </w:rPr>
        <w:t>izstrādājot</w:t>
      </w:r>
      <w:r w:rsidRPr="00595533">
        <w:rPr>
          <w:lang w:val="lv-LV"/>
        </w:rPr>
        <w:t xml:space="preserve"> ilgtspējas indeksu, ar kuru var vērtēt uzņēmumu atbildību. Šo iespēju izmantojuši tikai 200 pārsvarā lielie uzņēmumi. LBAS aizstā</w:t>
      </w:r>
      <w:r w:rsidR="00877336" w:rsidRPr="00595533">
        <w:rPr>
          <w:lang w:val="lv-LV"/>
        </w:rPr>
        <w:t>v</w:t>
      </w:r>
      <w:r w:rsidRPr="00595533">
        <w:rPr>
          <w:lang w:val="lv-LV"/>
        </w:rPr>
        <w:t xml:space="preserve"> strādājošo intereses, iestājoties par ēnu ekonomikas mazināšanu, garantijām koplīgumos attiecībā uz izglītību, sociālā dialoga uzlabošanu </w:t>
      </w:r>
      <w:r w:rsidR="00877336" w:rsidRPr="00595533">
        <w:rPr>
          <w:lang w:val="lv-LV"/>
        </w:rPr>
        <w:t>piecu</w:t>
      </w:r>
      <w:r w:rsidRPr="00595533">
        <w:rPr>
          <w:lang w:val="lv-LV"/>
        </w:rPr>
        <w:t xml:space="preserve"> nozaru arodbiedrībām, taču arodbiedrības pārstāv tikai nelielu īpatsvaru no strādājošiem Latvijā</w:t>
      </w:r>
      <w:r w:rsidRPr="00595533">
        <w:rPr>
          <w:vertAlign w:val="superscript"/>
          <w:lang w:val="lv-LV"/>
        </w:rPr>
        <w:footnoteReference w:id="38"/>
      </w:r>
      <w:r w:rsidRPr="00595533">
        <w:rPr>
          <w:lang w:val="lv-LV"/>
        </w:rPr>
        <w:t xml:space="preserve">. </w:t>
      </w:r>
    </w:p>
    <w:p w14:paraId="2E65B2AD" w14:textId="01247F05" w:rsidR="00315B1F" w:rsidRPr="00595533" w:rsidRDefault="00315B1F" w:rsidP="00315B1F">
      <w:pPr>
        <w:rPr>
          <w:lang w:val="lv-LV"/>
        </w:rPr>
      </w:pPr>
      <w:r w:rsidRPr="00595533">
        <w:rPr>
          <w:lang w:val="lv-LV"/>
        </w:rPr>
        <w:t xml:space="preserve">Savukārt valsts veicina reģistrētu </w:t>
      </w:r>
      <w:r w:rsidR="00877336" w:rsidRPr="00595533">
        <w:rPr>
          <w:lang w:val="lv-LV"/>
        </w:rPr>
        <w:t>un atbildīgu uzņēmējdarbību ar ē</w:t>
      </w:r>
      <w:r w:rsidRPr="00595533">
        <w:rPr>
          <w:lang w:val="lv-LV"/>
        </w:rPr>
        <w:t>nu ekonomikas</w:t>
      </w:r>
      <w:r w:rsidR="00877336" w:rsidRPr="00595533">
        <w:rPr>
          <w:lang w:val="lv-LV"/>
        </w:rPr>
        <w:t xml:space="preserve"> mazināšanas</w:t>
      </w:r>
      <w:r w:rsidRPr="00595533">
        <w:rPr>
          <w:lang w:val="lv-LV"/>
        </w:rPr>
        <w:t xml:space="preserve"> un darba drošības</w:t>
      </w:r>
      <w:r w:rsidR="00877336" w:rsidRPr="00595533">
        <w:rPr>
          <w:lang w:val="lv-LV"/>
        </w:rPr>
        <w:t xml:space="preserve"> pasākumiem</w:t>
      </w:r>
      <w:r w:rsidRPr="00595533">
        <w:rPr>
          <w:lang w:val="lv-LV"/>
        </w:rPr>
        <w:t xml:space="preserve">. Darba likums </w:t>
      </w:r>
      <w:r w:rsidR="00877336" w:rsidRPr="00595533">
        <w:rPr>
          <w:lang w:val="lv-LV"/>
        </w:rPr>
        <w:t>grozīts</w:t>
      </w:r>
      <w:r w:rsidRPr="00595533">
        <w:rPr>
          <w:lang w:val="lv-LV"/>
        </w:rPr>
        <w:t xml:space="preserve"> 2016.</w:t>
      </w:r>
      <w:r w:rsidR="00877336" w:rsidRPr="00595533">
        <w:rPr>
          <w:lang w:val="lv-LV"/>
        </w:rPr>
        <w:t> </w:t>
      </w:r>
      <w:r w:rsidRPr="00595533">
        <w:rPr>
          <w:lang w:val="lv-LV"/>
        </w:rPr>
        <w:t>gadā, nosakot darba devējiem pienākumu uzrādīt darba līgumus kontrolējošām ie</w:t>
      </w:r>
      <w:r w:rsidR="00877336" w:rsidRPr="00595533">
        <w:rPr>
          <w:lang w:val="lv-LV"/>
        </w:rPr>
        <w:t xml:space="preserve">stādēm. Turpretim Darba inspekcija fokusējusies uz to, </w:t>
      </w:r>
      <w:r w:rsidRPr="00595533">
        <w:rPr>
          <w:lang w:val="lv-LV"/>
        </w:rPr>
        <w:t>lai samazinātu smagos nelaimes gadījumos darbā cietušo un bojā gājušo skaitu, kā arī mazināt</w:t>
      </w:r>
      <w:r w:rsidR="005C4760" w:rsidRPr="00595533">
        <w:rPr>
          <w:lang w:val="lv-LV"/>
        </w:rPr>
        <w:t>u</w:t>
      </w:r>
      <w:r w:rsidRPr="00595533">
        <w:rPr>
          <w:lang w:val="lv-LV"/>
        </w:rPr>
        <w:t xml:space="preserve"> arodslimnieku skaitu.  </w:t>
      </w:r>
    </w:p>
    <w:p w14:paraId="0E8468E6" w14:textId="12E85AE6" w:rsidR="00315B1F" w:rsidRPr="00595533" w:rsidRDefault="00315B1F" w:rsidP="00315B1F">
      <w:pPr>
        <w:rPr>
          <w:lang w:val="lv-LV"/>
        </w:rPr>
      </w:pPr>
      <w:r w:rsidRPr="00595533">
        <w:rPr>
          <w:lang w:val="lv-LV"/>
        </w:rPr>
        <w:t>Ņemot vērā to, ka grūti nodarbināmajiem nepieciešama c</w:t>
      </w:r>
      <w:r w:rsidR="005C4760" w:rsidRPr="00595533">
        <w:rPr>
          <w:lang w:val="lv-LV"/>
        </w:rPr>
        <w:t>ita veida sociālā atbildība,</w:t>
      </w:r>
      <w:r w:rsidRPr="00595533">
        <w:rPr>
          <w:lang w:val="lv-LV"/>
        </w:rPr>
        <w:t xml:space="preserve"> ar izmēģinājuma projektu uzsākta </w:t>
      </w:r>
      <w:r w:rsidRPr="00595533">
        <w:rPr>
          <w:b/>
          <w:lang w:val="lv-LV"/>
        </w:rPr>
        <w:t>sociālās uzņēmējdarbības atbalsta sistēmas izstrāde</w:t>
      </w:r>
      <w:r w:rsidRPr="00595533">
        <w:rPr>
          <w:lang w:val="lv-LV"/>
        </w:rPr>
        <w:t>.  2016.</w:t>
      </w:r>
      <w:r w:rsidR="005C4760" w:rsidRPr="00595533">
        <w:rPr>
          <w:lang w:val="lv-LV"/>
        </w:rPr>
        <w:t> </w:t>
      </w:r>
      <w:r w:rsidRPr="00595533">
        <w:rPr>
          <w:lang w:val="lv-LV"/>
        </w:rPr>
        <w:t>g</w:t>
      </w:r>
      <w:r w:rsidR="005C4760" w:rsidRPr="00595533">
        <w:rPr>
          <w:lang w:val="lv-LV"/>
        </w:rPr>
        <w:t>adā</w:t>
      </w:r>
      <w:r w:rsidRPr="00595533">
        <w:rPr>
          <w:lang w:val="lv-LV"/>
        </w:rPr>
        <w:t xml:space="preserve"> </w:t>
      </w:r>
      <w:r w:rsidR="005C4760" w:rsidRPr="00595533">
        <w:rPr>
          <w:lang w:val="lv-LV"/>
        </w:rPr>
        <w:t>b</w:t>
      </w:r>
      <w:r w:rsidRPr="00595533">
        <w:rPr>
          <w:lang w:val="lv-LV"/>
        </w:rPr>
        <w:t>iedrība “Providus” izstrādāj</w:t>
      </w:r>
      <w:r w:rsidR="005C4760" w:rsidRPr="00595533">
        <w:rPr>
          <w:lang w:val="lv-LV"/>
        </w:rPr>
        <w:t>usi</w:t>
      </w:r>
      <w:r w:rsidRPr="00595533">
        <w:rPr>
          <w:lang w:val="lv-LV"/>
        </w:rPr>
        <w:t xml:space="preserve"> metodiku </w:t>
      </w:r>
      <w:r w:rsidR="00B83839" w:rsidRPr="00595533">
        <w:rPr>
          <w:lang w:val="lv-LV"/>
        </w:rPr>
        <w:t xml:space="preserve">sociālās uzņēmējdarbības </w:t>
      </w:r>
      <w:r w:rsidRPr="00595533">
        <w:rPr>
          <w:lang w:val="lv-LV"/>
        </w:rPr>
        <w:t xml:space="preserve">atlases kritērijiem un atbalsta instrumentiem, </w:t>
      </w:r>
      <w:r w:rsidR="00B83839" w:rsidRPr="00595533">
        <w:rPr>
          <w:lang w:val="lv-LV"/>
        </w:rPr>
        <w:t xml:space="preserve">bet Saeimā </w:t>
      </w:r>
      <w:r w:rsidR="00334938">
        <w:rPr>
          <w:lang w:val="lv-LV"/>
        </w:rPr>
        <w:t>pieņemts</w:t>
      </w:r>
      <w:r w:rsidR="00B83839" w:rsidRPr="00595533">
        <w:rPr>
          <w:lang w:val="lv-LV"/>
        </w:rPr>
        <w:t xml:space="preserve"> </w:t>
      </w:r>
      <w:r w:rsidRPr="00595533">
        <w:rPr>
          <w:lang w:val="lv-LV"/>
        </w:rPr>
        <w:lastRenderedPageBreak/>
        <w:t xml:space="preserve">“Sociālā uzņēmuma likums”.  Paredzēts, ka </w:t>
      </w:r>
      <w:r w:rsidR="00B83839" w:rsidRPr="00595533">
        <w:rPr>
          <w:lang w:val="lv-LV"/>
        </w:rPr>
        <w:t xml:space="preserve">komersanti sociālā uzņēmuma statusu Latvijā varēs iegūt sākot ar </w:t>
      </w:r>
      <w:r w:rsidRPr="00595533">
        <w:rPr>
          <w:lang w:val="lv-LV"/>
        </w:rPr>
        <w:t>2018</w:t>
      </w:r>
      <w:r w:rsidR="00B83839" w:rsidRPr="00595533">
        <w:rPr>
          <w:lang w:val="lv-LV"/>
        </w:rPr>
        <w:t> </w:t>
      </w:r>
      <w:r w:rsidRPr="00595533">
        <w:rPr>
          <w:lang w:val="lv-LV"/>
        </w:rPr>
        <w:t>.g</w:t>
      </w:r>
      <w:r w:rsidR="00B83839" w:rsidRPr="00595533">
        <w:rPr>
          <w:lang w:val="lv-LV"/>
        </w:rPr>
        <w:t>adu</w:t>
      </w:r>
      <w:r w:rsidRPr="00595533">
        <w:rPr>
          <w:lang w:val="lv-LV"/>
        </w:rPr>
        <w:t xml:space="preserve">. </w:t>
      </w:r>
      <w:r w:rsidR="00B83839" w:rsidRPr="00595533">
        <w:rPr>
          <w:lang w:val="lv-LV"/>
        </w:rPr>
        <w:t>Plānots, ka šai uzņēmumu grupai</w:t>
      </w:r>
      <w:r w:rsidRPr="00595533">
        <w:rPr>
          <w:lang w:val="lv-LV"/>
        </w:rPr>
        <w:t xml:space="preserve"> LM </w:t>
      </w:r>
      <w:r w:rsidR="00B83839" w:rsidRPr="00595533">
        <w:rPr>
          <w:lang w:val="lv-LV"/>
        </w:rPr>
        <w:t xml:space="preserve">izveidos </w:t>
      </w:r>
      <w:r w:rsidRPr="00595533">
        <w:rPr>
          <w:lang w:val="lv-LV"/>
        </w:rPr>
        <w:t>Pasākuma dalībnieku reģistr</w:t>
      </w:r>
      <w:r w:rsidR="00B83839" w:rsidRPr="00595533">
        <w:rPr>
          <w:lang w:val="lv-LV"/>
        </w:rPr>
        <w:t>u, savukārt</w:t>
      </w:r>
      <w:r w:rsidRPr="00595533">
        <w:rPr>
          <w:lang w:val="lv-LV"/>
        </w:rPr>
        <w:t xml:space="preserve"> ALTUM varēs nodrošināt atbalstu</w:t>
      </w:r>
      <w:r w:rsidR="00B83839" w:rsidRPr="00595533">
        <w:rPr>
          <w:lang w:val="lv-LV"/>
        </w:rPr>
        <w:t xml:space="preserve"> sociālās uzņēmējdarbības uzsākšanai</w:t>
      </w:r>
      <w:r w:rsidRPr="00595533">
        <w:rPr>
          <w:lang w:val="lv-LV"/>
        </w:rPr>
        <w:t xml:space="preserve">. </w:t>
      </w:r>
      <w:r w:rsidR="00B83839" w:rsidRPr="00595533">
        <w:rPr>
          <w:lang w:val="lv-LV"/>
        </w:rPr>
        <w:t>Domājams, ka sociālā</w:t>
      </w:r>
      <w:r w:rsidR="0019075C" w:rsidRPr="00595533">
        <w:rPr>
          <w:lang w:val="lv-LV"/>
        </w:rPr>
        <w:t>s</w:t>
      </w:r>
      <w:r w:rsidR="00B83839" w:rsidRPr="00595533">
        <w:rPr>
          <w:lang w:val="lv-LV"/>
        </w:rPr>
        <w:t xml:space="preserve"> uzņēmējdarbības sistēmu bez ES fondu atbalsta </w:t>
      </w:r>
      <w:r w:rsidR="0019075C" w:rsidRPr="00595533">
        <w:rPr>
          <w:lang w:val="lv-LV"/>
        </w:rPr>
        <w:t>Latvija varēs nodrošināt p</w:t>
      </w:r>
      <w:r w:rsidRPr="00595533">
        <w:rPr>
          <w:lang w:val="lv-LV"/>
        </w:rPr>
        <w:t>ēc 2023.</w:t>
      </w:r>
      <w:r w:rsidR="0019075C" w:rsidRPr="00595533">
        <w:rPr>
          <w:lang w:val="lv-LV"/>
        </w:rPr>
        <w:t> </w:t>
      </w:r>
      <w:r w:rsidRPr="00595533">
        <w:rPr>
          <w:lang w:val="lv-LV"/>
        </w:rPr>
        <w:t>gada.</w:t>
      </w:r>
    </w:p>
    <w:p w14:paraId="08B8EF10" w14:textId="5447D140" w:rsidR="00315B1F" w:rsidRPr="00595533" w:rsidRDefault="0019075C" w:rsidP="00315B1F">
      <w:pPr>
        <w:rPr>
          <w:b/>
          <w:u w:val="single"/>
          <w:lang w:val="lv-LV"/>
        </w:rPr>
      </w:pPr>
      <w:r w:rsidRPr="00595533">
        <w:rPr>
          <w:b/>
          <w:u w:val="single"/>
          <w:lang w:val="lv-LV"/>
        </w:rPr>
        <w:t>Monitoringa sistēma</w:t>
      </w:r>
    </w:p>
    <w:p w14:paraId="60DC59F3" w14:textId="78B5478F" w:rsidR="00315B1F" w:rsidRPr="00595533" w:rsidRDefault="00315B1F" w:rsidP="00315B1F">
      <w:pPr>
        <w:rPr>
          <w:lang w:val="lv-LV"/>
        </w:rPr>
      </w:pPr>
      <w:r w:rsidRPr="00595533">
        <w:rPr>
          <w:lang w:val="lv-LV"/>
        </w:rPr>
        <w:t>Kopš 2016.</w:t>
      </w:r>
      <w:r w:rsidR="00EA0E68" w:rsidRPr="00595533">
        <w:rPr>
          <w:lang w:val="lv-LV"/>
        </w:rPr>
        <w:t> </w:t>
      </w:r>
      <w:r w:rsidRPr="00595533">
        <w:rPr>
          <w:lang w:val="lv-LV"/>
        </w:rPr>
        <w:t xml:space="preserve">gada augusta ar ES fondu atbalstu </w:t>
      </w:r>
      <w:r w:rsidR="00EA0E68" w:rsidRPr="00595533">
        <w:rPr>
          <w:lang w:val="lv-LV"/>
        </w:rPr>
        <w:t>tiek</w:t>
      </w:r>
      <w:r w:rsidRPr="00595533">
        <w:rPr>
          <w:lang w:val="lv-LV"/>
        </w:rPr>
        <w:t xml:space="preserve"> izstrādāta </w:t>
      </w:r>
      <w:r w:rsidRPr="00595533">
        <w:rPr>
          <w:b/>
          <w:lang w:val="lv-LV"/>
        </w:rPr>
        <w:t>Darba tirgus apstei</w:t>
      </w:r>
      <w:r w:rsidR="00E0535E">
        <w:rPr>
          <w:b/>
          <w:lang w:val="lv-LV"/>
        </w:rPr>
        <w:t>dzošā pārkārtojumu</w:t>
      </w:r>
      <w:r w:rsidR="00EA0E68" w:rsidRPr="00595533">
        <w:rPr>
          <w:b/>
          <w:lang w:val="lv-LV"/>
        </w:rPr>
        <w:t xml:space="preserve"> sistēma (DTAPS)</w:t>
      </w:r>
      <w:r w:rsidR="00EA0E68" w:rsidRPr="00595533">
        <w:rPr>
          <w:lang w:val="lv-LV"/>
        </w:rPr>
        <w:t xml:space="preserve"> jeb </w:t>
      </w:r>
      <w:r w:rsidRPr="00595533">
        <w:rPr>
          <w:lang w:val="lv-LV"/>
        </w:rPr>
        <w:t>organizatoriskā sistēma savlaicīg</w:t>
      </w:r>
      <w:r w:rsidR="00EA0E68" w:rsidRPr="00595533">
        <w:rPr>
          <w:lang w:val="lv-LV"/>
        </w:rPr>
        <w:t>ai</w:t>
      </w:r>
      <w:r w:rsidRPr="00595533">
        <w:rPr>
          <w:lang w:val="lv-LV"/>
        </w:rPr>
        <w:t xml:space="preserve"> un saskaņot</w:t>
      </w:r>
      <w:r w:rsidR="00EA0E68" w:rsidRPr="00595533">
        <w:rPr>
          <w:lang w:val="lv-LV"/>
        </w:rPr>
        <w:t>ai</w:t>
      </w:r>
      <w:r w:rsidRPr="00595533">
        <w:rPr>
          <w:lang w:val="lv-LV"/>
        </w:rPr>
        <w:t xml:space="preserve"> valsts institūciju un nevalstisko organizāciju savstarpēj</w:t>
      </w:r>
      <w:r w:rsidR="00EA0E68" w:rsidRPr="00595533">
        <w:rPr>
          <w:lang w:val="lv-LV"/>
        </w:rPr>
        <w:t>ai</w:t>
      </w:r>
      <w:r w:rsidRPr="00595533">
        <w:rPr>
          <w:lang w:val="lv-LV"/>
        </w:rPr>
        <w:t xml:space="preserve"> sadarbīb</w:t>
      </w:r>
      <w:r w:rsidR="00EA0E68" w:rsidRPr="00595533">
        <w:rPr>
          <w:lang w:val="lv-LV"/>
        </w:rPr>
        <w:t>ai</w:t>
      </w:r>
      <w:r w:rsidRPr="00595533">
        <w:rPr>
          <w:lang w:val="lv-LV"/>
        </w:rPr>
        <w:t xml:space="preserve"> darba tirgus pārmaiņu paredzēšanai un nepi</w:t>
      </w:r>
      <w:r w:rsidR="00E0535E">
        <w:rPr>
          <w:lang w:val="lv-LV"/>
        </w:rPr>
        <w:t>eciešamo pārkārtojumu ieviešana</w:t>
      </w:r>
      <w:r w:rsidRPr="00595533">
        <w:rPr>
          <w:lang w:val="lv-LV"/>
        </w:rPr>
        <w:t xml:space="preserve">. </w:t>
      </w:r>
      <w:r w:rsidR="00EA0E68" w:rsidRPr="00595533">
        <w:rPr>
          <w:lang w:val="lv-LV"/>
        </w:rPr>
        <w:t>Kopš tās ieviešanas j</w:t>
      </w:r>
      <w:r w:rsidRPr="00595533">
        <w:rPr>
          <w:lang w:val="lv-LV"/>
        </w:rPr>
        <w:t>au veikts pētījums par s</w:t>
      </w:r>
      <w:r w:rsidR="00EA0E68" w:rsidRPr="00595533">
        <w:rPr>
          <w:lang w:val="lv-LV"/>
        </w:rPr>
        <w:t>istēmas sasaisti ar politikām,</w:t>
      </w:r>
      <w:r w:rsidRPr="00595533">
        <w:rPr>
          <w:lang w:val="lv-LV"/>
        </w:rPr>
        <w:t xml:space="preserve"> pilnveidota</w:t>
      </w:r>
      <w:r w:rsidR="00EA0E68" w:rsidRPr="00595533">
        <w:rPr>
          <w:lang w:val="lv-LV"/>
        </w:rPr>
        <w:t>s</w:t>
      </w:r>
      <w:r w:rsidRPr="00595533">
        <w:rPr>
          <w:lang w:val="lv-LV"/>
        </w:rPr>
        <w:t xml:space="preserve"> īstermiņa darba tirgus progn</w:t>
      </w:r>
      <w:r w:rsidR="00EA0E68" w:rsidRPr="00595533">
        <w:rPr>
          <w:lang w:val="lv-LV"/>
        </w:rPr>
        <w:t>ozēšanas metodes un 2018.-2019. </w:t>
      </w:r>
      <w:r w:rsidRPr="00595533">
        <w:rPr>
          <w:lang w:val="lv-LV"/>
        </w:rPr>
        <w:t xml:space="preserve">gadā tiks publiskota ērti lietojama web bāzēta platforma (IKT risinājums) par nākotnes darba tirgus vajadzībām izglītības, tautsaimniecības un nodarbinātības politiku plānotājiem un ieviesējiem, karjeras konsultantiem, kā arī plašākai sabiedrībai </w:t>
      </w:r>
      <w:r w:rsidR="00EA585F" w:rsidRPr="00595533">
        <w:rPr>
          <w:lang w:val="lv-LV"/>
        </w:rPr>
        <w:t>–</w:t>
      </w:r>
      <w:r w:rsidRPr="00595533">
        <w:rPr>
          <w:lang w:val="lv-LV"/>
        </w:rPr>
        <w:t xml:space="preserve"> nodarbinātajiem, kurus interesē iespējama karjeras maiņa, bezdarbniekiem, darba meklētājiem, skolēniem, studentiem un citiem interesentiem. </w:t>
      </w:r>
    </w:p>
    <w:p w14:paraId="3AC7CA56" w14:textId="77777777" w:rsidR="00315B1F" w:rsidRPr="00595533" w:rsidRDefault="00315B1F" w:rsidP="00315B1F">
      <w:pPr>
        <w:rPr>
          <w:sz w:val="6"/>
          <w:szCs w:val="6"/>
          <w:lang w:val="lv-LV"/>
        </w:rPr>
      </w:pPr>
    </w:p>
    <w:p w14:paraId="1C5317E1" w14:textId="212F890C" w:rsidR="00315B1F" w:rsidRPr="00595533" w:rsidRDefault="00315B1F" w:rsidP="00315B1F">
      <w:pPr>
        <w:pStyle w:val="Heading3"/>
        <w:rPr>
          <w:lang w:val="lv-LV"/>
        </w:rPr>
      </w:pPr>
      <w:bookmarkStart w:id="45" w:name="_Toc498690627"/>
      <w:r w:rsidRPr="00595533">
        <w:rPr>
          <w:lang w:val="lv-LV"/>
        </w:rPr>
        <w:t>PROGRESA NOVĒRTĒJUMS</w:t>
      </w:r>
      <w:bookmarkEnd w:id="45"/>
    </w:p>
    <w:p w14:paraId="70A7A111" w14:textId="69DAECC1" w:rsidR="00ED0778" w:rsidRPr="00595533" w:rsidRDefault="00ED0778" w:rsidP="00EA585F">
      <w:pPr>
        <w:rPr>
          <w:lang w:val="lv-LV"/>
        </w:rPr>
      </w:pPr>
      <w:r w:rsidRPr="009B535A">
        <w:rPr>
          <w:lang w:val="lv-LV"/>
        </w:rPr>
        <w:t xml:space="preserve">Rīcības virziena </w:t>
      </w:r>
      <w:r w:rsidRPr="009B535A">
        <w:rPr>
          <w:i/>
          <w:iCs/>
          <w:lang w:val="lv-LV"/>
        </w:rPr>
        <w:t>Cienīgs darbs</w:t>
      </w:r>
      <w:r w:rsidRPr="009B535A">
        <w:rPr>
          <w:lang w:val="lv-LV"/>
        </w:rPr>
        <w:t xml:space="preserve"> mērķu sasniegšanai sākotnēji tika plānots investēt kopumā 566,4 mlj. euro. Uz starpposma izvērtējuma brīdi rīcības virziena uzdevumu īstenošanai jau ir apzinātas kopējās investīcijas 928,7 mlj. euro apmērā jeb par 64% vairāk nekā sākotnēji plānots. Papildus apjoms palielinājies, jo sākotnēji netika ieplānota minimālās algas un nodokļu politikas uzdevumu ietekme uz cienīgu darbu. No minētajām investīcijām lielāko daļu jeb 59% veido nacionālais finansējums, savukārt ES fondu finansējums sastāda 39,8%, bet cits ārvalstu finansējums vien 1,2%. Jāatzīmē, ka liels finansējuma īpatsvars veltīts Nodarbinātības valsts aģentūras apmācībām un citiem pasākumiem, jo bāzes budžets (ap 6 mlj euro) nosedz primāri atalgojumu, bet gandrīz visas apmācības un citi nodarbinātības pakalpojumi tiek finansēti no ES fondu līdzekļiem.</w:t>
      </w:r>
    </w:p>
    <w:p w14:paraId="02EE334C" w14:textId="5D87231F" w:rsidR="004E7092" w:rsidRPr="00595533" w:rsidRDefault="004E7092" w:rsidP="00787E32">
      <w:pPr>
        <w:rPr>
          <w:lang w:val="lv-LV"/>
        </w:rPr>
      </w:pPr>
      <w:r w:rsidRPr="00595533">
        <w:rPr>
          <w:lang w:val="lv-LV"/>
        </w:rPr>
        <w:t>Vērtējot izmaiņas indikatorā, kas raksturo nodarbināto labklājības līmeni, proti, nabadzības riskam pakļauto strādājošo īpatsvaru, vērojams, ka pēdējo gadu laikā tas svārstās 9,4% līdz 8,3% robežās</w:t>
      </w:r>
      <w:r w:rsidR="00904FE7" w:rsidRPr="00595533">
        <w:rPr>
          <w:lang w:val="lv-LV"/>
        </w:rPr>
        <w:t xml:space="preserve">. Tas salīdzinājumā ar citām </w:t>
      </w:r>
      <w:r w:rsidR="000C5AE1">
        <w:rPr>
          <w:lang w:val="lv-LV"/>
        </w:rPr>
        <w:t>Ei</w:t>
      </w:r>
      <w:r w:rsidR="00595533" w:rsidRPr="00595533">
        <w:rPr>
          <w:lang w:val="lv-LV"/>
        </w:rPr>
        <w:t>ro</w:t>
      </w:r>
      <w:r w:rsidR="00904FE7" w:rsidRPr="00595533">
        <w:rPr>
          <w:lang w:val="lv-LV"/>
        </w:rPr>
        <w:t>pas valstīm uzskatāms par vidēji zemu rādītāju.</w:t>
      </w:r>
    </w:p>
    <w:p w14:paraId="07328F67" w14:textId="36AD8486" w:rsidR="00E13BDC" w:rsidRPr="00595533" w:rsidRDefault="00904FE7" w:rsidP="00787E32">
      <w:pPr>
        <w:rPr>
          <w:lang w:val="lv-LV"/>
        </w:rPr>
      </w:pPr>
      <w:r w:rsidRPr="00595533">
        <w:rPr>
          <w:lang w:val="lv-LV"/>
        </w:rPr>
        <w:t>Savukārt rādītājs par strādājošo reālo darba samaksu atspoguļo to, kā mainījusies vidējā neto darba samaksa attiecībā pret patēriņa cenu</w:t>
      </w:r>
      <w:r w:rsidR="00CA17BA" w:rsidRPr="00595533">
        <w:rPr>
          <w:lang w:val="lv-LV"/>
        </w:rPr>
        <w:t xml:space="preserve"> izmaiņām. Kā liecina dati, tad </w:t>
      </w:r>
      <w:r w:rsidRPr="00595533">
        <w:rPr>
          <w:lang w:val="lv-LV"/>
        </w:rPr>
        <w:t>2016.</w:t>
      </w:r>
      <w:r w:rsidR="00CA17BA" w:rsidRPr="00595533">
        <w:rPr>
          <w:lang w:val="lv-LV"/>
        </w:rPr>
        <w:t> </w:t>
      </w:r>
      <w:r w:rsidRPr="00595533">
        <w:rPr>
          <w:lang w:val="lv-LV"/>
        </w:rPr>
        <w:t>gadā strādājošo reālā darba samaksa salīdzinājumā ar 2014. un 2015.</w:t>
      </w:r>
      <w:r w:rsidR="00CA17BA" w:rsidRPr="00595533">
        <w:rPr>
          <w:lang w:val="lv-LV"/>
        </w:rPr>
        <w:t> </w:t>
      </w:r>
      <w:r w:rsidRPr="00595533">
        <w:rPr>
          <w:lang w:val="lv-LV"/>
        </w:rPr>
        <w:t>gadu samazinājusies un ir atgriezusies aptuveni 2012./2013.gada līmenī</w:t>
      </w:r>
      <w:r w:rsidR="00517CFE" w:rsidRPr="00595533">
        <w:rPr>
          <w:lang w:val="lv-LV"/>
        </w:rPr>
        <w:t xml:space="preserve"> (2016. gadā 105% attiecībā pret 2005.gadu)</w:t>
      </w:r>
      <w:r w:rsidR="00E13BDC" w:rsidRPr="00595533">
        <w:rPr>
          <w:lang w:val="lv-LV"/>
        </w:rPr>
        <w:t xml:space="preserve">. Šāda situācija vērtējama piesardzīgi, jo turpinoties strādājošo reālās darba samaksas samazinājumam var pieaugt darbaspēka emigrācija. Vienlaikus gan jāatzīmē, ka izmaiņas ekonomiskās spriedzes indeksā liecina par to, ka materiālā nenodrošinātība </w:t>
      </w:r>
      <w:r w:rsidR="00CA17BA" w:rsidRPr="00595533">
        <w:rPr>
          <w:lang w:val="lv-LV"/>
        </w:rPr>
        <w:t xml:space="preserve">mazinās visās </w:t>
      </w:r>
      <w:r w:rsidR="00E13BDC" w:rsidRPr="00595533">
        <w:rPr>
          <w:lang w:val="lv-LV"/>
        </w:rPr>
        <w:t>sabiedrīb</w:t>
      </w:r>
      <w:r w:rsidR="00CA17BA" w:rsidRPr="00595533">
        <w:rPr>
          <w:lang w:val="lv-LV"/>
        </w:rPr>
        <w:t>as grupās, izņemot iedzīvotājus ar zemākiem ienākumiem (</w:t>
      </w:r>
      <w:r w:rsidR="00517CFE" w:rsidRPr="00595533">
        <w:rPr>
          <w:lang w:val="lv-LV"/>
        </w:rPr>
        <w:t>2016.</w:t>
      </w:r>
      <w:r w:rsidR="00DB4541" w:rsidRPr="00595533">
        <w:rPr>
          <w:lang w:val="lv-LV"/>
        </w:rPr>
        <w:t> </w:t>
      </w:r>
      <w:r w:rsidR="00517CFE" w:rsidRPr="00595533">
        <w:rPr>
          <w:lang w:val="lv-LV"/>
        </w:rPr>
        <w:t>gadā 43,9% sabiedrībā kopumā, 1.kvintilē – 72,2%</w:t>
      </w:r>
      <w:r w:rsidR="00CA17BA" w:rsidRPr="00595533">
        <w:rPr>
          <w:lang w:val="lv-LV"/>
        </w:rPr>
        <w:t>)</w:t>
      </w:r>
      <w:r w:rsidR="00E13BDC" w:rsidRPr="00595533">
        <w:rPr>
          <w:lang w:val="lv-LV"/>
        </w:rPr>
        <w:t>, bet nodarbinātība 20</w:t>
      </w:r>
      <w:r w:rsidR="00CA17BA" w:rsidRPr="00595533">
        <w:rPr>
          <w:lang w:val="lv-LV"/>
        </w:rPr>
        <w:t>–</w:t>
      </w:r>
      <w:r w:rsidR="00E13BDC" w:rsidRPr="00595533">
        <w:rPr>
          <w:lang w:val="lv-LV"/>
        </w:rPr>
        <w:t xml:space="preserve">64 gadus vecu iedzīvotāju vidū turpina pieaugt, </w:t>
      </w:r>
      <w:r w:rsidR="00CA17BA" w:rsidRPr="00595533">
        <w:rPr>
          <w:lang w:val="lv-LV"/>
        </w:rPr>
        <w:t>un attiecīgi</w:t>
      </w:r>
      <w:r w:rsidR="00E13BDC" w:rsidRPr="00595533">
        <w:rPr>
          <w:lang w:val="lv-LV"/>
        </w:rPr>
        <w:t xml:space="preserve"> nodarbinātības līmenis Latvijā </w:t>
      </w:r>
      <w:r w:rsidR="00CA17BA" w:rsidRPr="00595533">
        <w:rPr>
          <w:lang w:val="lv-LV"/>
        </w:rPr>
        <w:t>ir viens no augstākajiem starp Austrum</w:t>
      </w:r>
      <w:r w:rsidR="000C5AE1">
        <w:rPr>
          <w:lang w:val="lv-LV"/>
        </w:rPr>
        <w:t>ei</w:t>
      </w:r>
      <w:r w:rsidR="00595533" w:rsidRPr="00595533">
        <w:rPr>
          <w:lang w:val="lv-LV"/>
        </w:rPr>
        <w:t>ro</w:t>
      </w:r>
      <w:r w:rsidR="00CA17BA" w:rsidRPr="00595533">
        <w:rPr>
          <w:lang w:val="lv-LV"/>
        </w:rPr>
        <w:t>pas valstīm</w:t>
      </w:r>
      <w:r w:rsidR="00DB4541" w:rsidRPr="00595533">
        <w:rPr>
          <w:lang w:val="lv-LV"/>
        </w:rPr>
        <w:t xml:space="preserve"> (73,2% 2016. g</w:t>
      </w:r>
      <w:r w:rsidR="00517CFE" w:rsidRPr="00595533">
        <w:rPr>
          <w:lang w:val="lv-LV"/>
        </w:rPr>
        <w:t>adā)</w:t>
      </w:r>
      <w:r w:rsidR="00CA17BA" w:rsidRPr="00595533">
        <w:rPr>
          <w:lang w:val="lv-LV"/>
        </w:rPr>
        <w:t>, bet joprojām</w:t>
      </w:r>
      <w:r w:rsidR="00E13BDC" w:rsidRPr="00595533">
        <w:rPr>
          <w:lang w:val="lv-LV"/>
        </w:rPr>
        <w:t xml:space="preserve"> zemāks nekā lielākajā daļā Rietum</w:t>
      </w:r>
      <w:r w:rsidR="000C5AE1">
        <w:rPr>
          <w:lang w:val="lv-LV"/>
        </w:rPr>
        <w:t>ei</w:t>
      </w:r>
      <w:r w:rsidR="00595533" w:rsidRPr="00595533">
        <w:rPr>
          <w:lang w:val="lv-LV"/>
        </w:rPr>
        <w:t>ro</w:t>
      </w:r>
      <w:r w:rsidR="00E13BDC" w:rsidRPr="00595533">
        <w:rPr>
          <w:lang w:val="lv-LV"/>
        </w:rPr>
        <w:t>pas valstu un Skandināvijā.</w:t>
      </w:r>
      <w:r w:rsidR="00F817F5" w:rsidRPr="00595533">
        <w:rPr>
          <w:lang w:val="lv-LV"/>
        </w:rPr>
        <w:t xml:space="preserve"> </w:t>
      </w:r>
    </w:p>
    <w:p w14:paraId="33D61FBB" w14:textId="77777777" w:rsidR="00C2216D" w:rsidRDefault="00C2216D">
      <w:pPr>
        <w:spacing w:before="0" w:after="0"/>
        <w:jc w:val="left"/>
        <w:rPr>
          <w:b/>
          <w:color w:val="253356" w:themeColor="accent1" w:themeShade="80"/>
          <w:lang w:val="lv-LV"/>
        </w:rPr>
      </w:pPr>
      <w:r w:rsidRPr="000664FB">
        <w:rPr>
          <w:lang w:val="lv-LV"/>
        </w:rPr>
        <w:br w:type="page"/>
      </w:r>
    </w:p>
    <w:p w14:paraId="187F7355" w14:textId="39E674BB" w:rsidR="00294E1E" w:rsidRPr="00595533" w:rsidRDefault="00C2216D" w:rsidP="00294E1E">
      <w:pPr>
        <w:pStyle w:val="attelunosaukums"/>
      </w:pPr>
      <w:r>
        <w:lastRenderedPageBreak/>
        <w:t>18</w:t>
      </w:r>
      <w:r w:rsidR="00294E1E" w:rsidRPr="00595533">
        <w:t>.attēls.  Ekonomiskās spriedzes indekss (%)</w:t>
      </w:r>
    </w:p>
    <w:p w14:paraId="13238AE8" w14:textId="77777777" w:rsidR="00AF6830" w:rsidRDefault="0015787D" w:rsidP="00787E32">
      <w:pPr>
        <w:rPr>
          <w:lang w:val="lv-LV"/>
        </w:rPr>
      </w:pPr>
      <w:r>
        <w:rPr>
          <w:noProof/>
          <w:lang w:val="lv-LV" w:eastAsia="lv-LV"/>
        </w:rPr>
        <w:drawing>
          <wp:inline distT="0" distB="0" distL="0" distR="0" wp14:anchorId="7CFAA448" wp14:editId="1CDDD92E">
            <wp:extent cx="4476584" cy="2297927"/>
            <wp:effectExtent l="0" t="0" r="635"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B41D04" w14:textId="5594A3CC" w:rsidR="008C0AE1" w:rsidRPr="00595533" w:rsidRDefault="008C0AE1" w:rsidP="00787E32">
      <w:pPr>
        <w:rPr>
          <w:lang w:val="lv-LV"/>
        </w:rPr>
      </w:pPr>
      <w:r w:rsidRPr="00595533">
        <w:rPr>
          <w:lang w:val="lv-LV"/>
        </w:rPr>
        <w:t xml:space="preserve">Progresu attiecībā uz nodarbināto labklājības līmeņa paaugstināšanu viedokļu līderi </w:t>
      </w:r>
      <w:r w:rsidR="00DE0FDB" w:rsidRPr="00595533">
        <w:rPr>
          <w:lang w:val="lv-LV"/>
        </w:rPr>
        <w:t xml:space="preserve">kopumā </w:t>
      </w:r>
      <w:r w:rsidRPr="00595533">
        <w:rPr>
          <w:lang w:val="lv-LV"/>
        </w:rPr>
        <w:t xml:space="preserve">vērtē </w:t>
      </w:r>
      <w:r w:rsidR="00DE0FDB" w:rsidRPr="00595533">
        <w:rPr>
          <w:lang w:val="lv-LV"/>
        </w:rPr>
        <w:t>atzinīgi</w:t>
      </w:r>
      <w:r w:rsidR="006F008A" w:rsidRPr="00595533">
        <w:rPr>
          <w:lang w:val="lv-LV"/>
        </w:rPr>
        <w:t xml:space="preserve"> – daļa uzskata, ka tas ir drīzāk sekmīgs, </w:t>
      </w:r>
      <w:r w:rsidR="00DE0FDB" w:rsidRPr="00595533">
        <w:rPr>
          <w:lang w:val="lv-LV"/>
        </w:rPr>
        <w:t>tomēr</w:t>
      </w:r>
      <w:r w:rsidR="006F008A" w:rsidRPr="00595533">
        <w:rPr>
          <w:lang w:val="lv-LV"/>
        </w:rPr>
        <w:t xml:space="preserve"> tikpat daudzi domā, ka progress mērķa sasniegšanā ir drīzāk nesekmīgs. Līdzīgs vērtējums sniegts arī par otru rīcības virziena mērķi – nodarbinātības veicināšanu</w:t>
      </w:r>
      <w:r w:rsidR="00CA17BA" w:rsidRPr="00595533">
        <w:rPr>
          <w:lang w:val="lv-LV"/>
        </w:rPr>
        <w:t>, proti, 47% ekspertu uzskata, ka virzība uz nosprausto mērķu sasniegšanu ir sekmīga vai drīzāk sekmīga.</w:t>
      </w:r>
    </w:p>
    <w:p w14:paraId="4DC9EE92" w14:textId="36644652" w:rsidR="00BC5285" w:rsidRPr="00595533" w:rsidRDefault="00CA17BA" w:rsidP="00787E32">
      <w:pPr>
        <w:rPr>
          <w:lang w:val="lv-LV"/>
        </w:rPr>
      </w:pPr>
      <w:r w:rsidRPr="00595533">
        <w:rPr>
          <w:lang w:val="lv-LV"/>
        </w:rPr>
        <w:t>Kā galvenos iemeslus</w:t>
      </w:r>
      <w:r w:rsidR="00B503DF" w:rsidRPr="00595533">
        <w:rPr>
          <w:lang w:val="lv-LV"/>
        </w:rPr>
        <w:t xml:space="preserve"> tam, ka nodarbināto </w:t>
      </w:r>
      <w:r w:rsidRPr="00595533">
        <w:rPr>
          <w:lang w:val="lv-LV"/>
        </w:rPr>
        <w:t>labklājības līmenis nepieaug pietiekami</w:t>
      </w:r>
      <w:r w:rsidR="00B503DF" w:rsidRPr="00595533">
        <w:rPr>
          <w:lang w:val="lv-LV"/>
        </w:rPr>
        <w:t xml:space="preserve"> strauji</w:t>
      </w:r>
      <w:r w:rsidR="00787E32" w:rsidRPr="00595533">
        <w:rPr>
          <w:lang w:val="lv-LV"/>
        </w:rPr>
        <w:t>,</w:t>
      </w:r>
      <w:r w:rsidR="00B503DF" w:rsidRPr="00595533">
        <w:rPr>
          <w:lang w:val="lv-LV"/>
        </w:rPr>
        <w:t xml:space="preserve"> </w:t>
      </w:r>
      <w:r w:rsidRPr="00595533">
        <w:rPr>
          <w:lang w:val="lv-LV"/>
        </w:rPr>
        <w:t>viedokļu līderi min nepārdomātu, neefektīvu nodokļu politiku</w:t>
      </w:r>
      <w:r w:rsidR="00B503DF" w:rsidRPr="00595533">
        <w:rPr>
          <w:lang w:val="lv-LV"/>
        </w:rPr>
        <w:t xml:space="preserve"> un zem</w:t>
      </w:r>
      <w:r w:rsidRPr="00595533">
        <w:rPr>
          <w:lang w:val="lv-LV"/>
        </w:rPr>
        <w:t>u</w:t>
      </w:r>
      <w:r w:rsidR="00B503DF" w:rsidRPr="00595533">
        <w:rPr>
          <w:lang w:val="lv-LV"/>
        </w:rPr>
        <w:t xml:space="preserve"> vidēj</w:t>
      </w:r>
      <w:r w:rsidRPr="00595533">
        <w:rPr>
          <w:lang w:val="lv-LV"/>
        </w:rPr>
        <w:t>o atalgojumu</w:t>
      </w:r>
      <w:r w:rsidR="00B503DF" w:rsidRPr="00595533">
        <w:rPr>
          <w:lang w:val="lv-LV"/>
        </w:rPr>
        <w:t xml:space="preserve"> valstī. Eksperti norāda, ka vairākās tautsaimniecības nozarēs atalgojums joprojām ir saglabājies tādā līmenī, kāds tas bijis ekonomiskās krīzes laikā, bet minimālās algas celšana ienākumu pieaugumu strādājošiem negarantē. Tiek norādīts, ka pat publiskā sektora iestādēs </w:t>
      </w:r>
      <w:r w:rsidR="00BC5285" w:rsidRPr="00595533">
        <w:rPr>
          <w:lang w:val="lv-LV"/>
        </w:rPr>
        <w:t xml:space="preserve">darba līgumos tiek samazināts plānotais darba laiks tāpēc, ka atalgojuma fondā līdzekļu lielāku algu izmaksai nepietiek. Tikai daži viedokļu līderi </w:t>
      </w:r>
      <w:r w:rsidR="00787E32" w:rsidRPr="00595533">
        <w:rPr>
          <w:lang w:val="lv-LV"/>
        </w:rPr>
        <w:t>lēno</w:t>
      </w:r>
      <w:r w:rsidR="00BC5285" w:rsidRPr="00595533">
        <w:rPr>
          <w:lang w:val="lv-LV"/>
        </w:rPr>
        <w:t xml:space="preserve"> progresu nodarbināto labklājības līmeņa celšanā saista ar ēnu ekonomiku, īpaši reģionos, tāpat tiek </w:t>
      </w:r>
      <w:r w:rsidR="00F817F5" w:rsidRPr="00595533">
        <w:rPr>
          <w:lang w:val="lv-LV"/>
        </w:rPr>
        <w:t>norādīts uz arodbiedrību nespēju</w:t>
      </w:r>
      <w:r w:rsidR="00BC5285" w:rsidRPr="00595533">
        <w:rPr>
          <w:lang w:val="lv-LV"/>
        </w:rPr>
        <w:t xml:space="preserve"> aizstāvēt darba ņēmēju intereses.</w:t>
      </w:r>
    </w:p>
    <w:p w14:paraId="5F66FCB6" w14:textId="21F4A172" w:rsidR="00517CFE" w:rsidRPr="00595533" w:rsidRDefault="00517CFE" w:rsidP="00787E32">
      <w:pPr>
        <w:rPr>
          <w:lang w:val="lv-LV"/>
        </w:rPr>
      </w:pPr>
      <w:r w:rsidRPr="00595533">
        <w:rPr>
          <w:lang w:val="lv-LV"/>
        </w:rPr>
        <w:t>Tie, kuri uzskata, ka nodarbināto labklājības līmenis aug pietiekami strauji, progresu saista galvenokārt ar ekonomikas izaugsmi kopumā, kā rezultātā piea</w:t>
      </w:r>
      <w:r w:rsidR="00F37DD4" w:rsidRPr="00595533">
        <w:rPr>
          <w:lang w:val="lv-LV"/>
        </w:rPr>
        <w:t>u</w:t>
      </w:r>
      <w:r w:rsidRPr="00595533">
        <w:rPr>
          <w:lang w:val="lv-LV"/>
        </w:rPr>
        <w:t xml:space="preserve">dzis arī atalgojums. </w:t>
      </w:r>
    </w:p>
    <w:p w14:paraId="59846F95" w14:textId="26C41259" w:rsidR="00787E32" w:rsidRPr="00595533" w:rsidRDefault="00787E32" w:rsidP="00517CFE">
      <w:pPr>
        <w:rPr>
          <w:lang w:val="lv-LV"/>
        </w:rPr>
      </w:pPr>
      <w:r w:rsidRPr="00595533">
        <w:rPr>
          <w:lang w:val="lv-LV"/>
        </w:rPr>
        <w:t>Savukārt run</w:t>
      </w:r>
      <w:r w:rsidR="008823BA" w:rsidRPr="00595533">
        <w:rPr>
          <w:lang w:val="lv-LV"/>
        </w:rPr>
        <w:t>ājot par progresu nodarbinātībā</w:t>
      </w:r>
      <w:r w:rsidRPr="00595533">
        <w:rPr>
          <w:lang w:val="lv-LV"/>
        </w:rPr>
        <w:t xml:space="preserve">, viedokļu līderi uzskata, ka </w:t>
      </w:r>
      <w:r w:rsidR="00517CFE" w:rsidRPr="00595533">
        <w:rPr>
          <w:lang w:val="lv-LV"/>
        </w:rPr>
        <w:t>to bremzē galvenokārt darba vietu trūkums</w:t>
      </w:r>
      <w:r w:rsidRPr="00595533">
        <w:rPr>
          <w:lang w:val="lv-LV"/>
        </w:rPr>
        <w:t>, kā arī darba ti</w:t>
      </w:r>
      <w:r w:rsidR="00517CFE" w:rsidRPr="00595533">
        <w:rPr>
          <w:lang w:val="lv-LV"/>
        </w:rPr>
        <w:t>rgus prasībām neatbilstošas prasmes un motivācija</w:t>
      </w:r>
      <w:r w:rsidR="008823BA" w:rsidRPr="00595533">
        <w:rPr>
          <w:lang w:val="lv-LV"/>
        </w:rPr>
        <w:t xml:space="preserve"> cilvēkiem</w:t>
      </w:r>
      <w:r w:rsidRPr="00595533">
        <w:rPr>
          <w:lang w:val="lv-LV"/>
        </w:rPr>
        <w:t>:</w:t>
      </w:r>
    </w:p>
    <w:p w14:paraId="48B97A39" w14:textId="7AC20DA9" w:rsidR="00787E32" w:rsidRPr="00595533" w:rsidRDefault="00787E32" w:rsidP="002145DF">
      <w:pPr>
        <w:ind w:left="720"/>
        <w:rPr>
          <w:i/>
          <w:color w:val="374C80" w:themeColor="accent1" w:themeShade="BF"/>
          <w:lang w:val="lv-LV"/>
        </w:rPr>
      </w:pPr>
      <w:r w:rsidRPr="00595533">
        <w:rPr>
          <w:rFonts w:ascii="Calibri" w:hAnsi="Calibri"/>
          <w:i/>
          <w:color w:val="374C80" w:themeColor="accent1" w:themeShade="BF"/>
          <w:lang w:val="lv-LV"/>
        </w:rPr>
        <w:t>“Maz "vecā stila" darba vietu, kas neprasa iniciatīvu un īpašas prasm</w:t>
      </w:r>
      <w:r w:rsidR="00F817F5" w:rsidRPr="00595533">
        <w:rPr>
          <w:rFonts w:ascii="Calibri" w:hAnsi="Calibri"/>
          <w:i/>
          <w:color w:val="374C80" w:themeColor="accent1" w:themeShade="BF"/>
          <w:lang w:val="lv-LV"/>
        </w:rPr>
        <w:t xml:space="preserve">es. Cilvēki meklē “darba devēju” </w:t>
      </w:r>
      <w:r w:rsidRPr="00595533">
        <w:rPr>
          <w:rFonts w:ascii="Calibri" w:hAnsi="Calibri"/>
          <w:i/>
          <w:color w:val="374C80" w:themeColor="accent1" w:themeShade="BF"/>
          <w:lang w:val="lv-LV"/>
        </w:rPr>
        <w:t xml:space="preserve">nevis iespējas strādāt un sevi realizēt. Pārāk daudzi gaida, ka darbs (darba vieta, amats) sniegs algu, kas garantē labu dzīves līmeni. Bet tā ir paveicies tikai Latvijas bankas prezidentam un vēl dažiem - pārējiem jābūt ļoti inovatīviem un izdomas bagātiem, lai Latvijā spētu nodrošināt sev labus ienākumus un labus dzīves apstākļus.” </w:t>
      </w:r>
    </w:p>
    <w:p w14:paraId="4B00B3F4" w14:textId="4A35513C" w:rsidR="008823BA" w:rsidRPr="00595533" w:rsidRDefault="008823BA" w:rsidP="008823BA">
      <w:pPr>
        <w:rPr>
          <w:lang w:val="lv-LV"/>
        </w:rPr>
      </w:pPr>
      <w:r w:rsidRPr="00595533">
        <w:rPr>
          <w:lang w:val="lv-LV"/>
        </w:rPr>
        <w:t xml:space="preserve">Tāpat tiek uzskatīts, ka </w:t>
      </w:r>
      <w:r w:rsidR="007564C1">
        <w:rPr>
          <w:lang w:val="lv-LV"/>
        </w:rPr>
        <w:t>NVA</w:t>
      </w:r>
      <w:r w:rsidRPr="00595533">
        <w:rPr>
          <w:lang w:val="lv-LV"/>
        </w:rPr>
        <w:t xml:space="preserve">, organizējot apmācību un pārkvalifikācijas kursus, pietiekami elastīgi nereaģē uz izmaiņām darba tirgū reģionā, netiek arī nodrošināts darba tirgus vajadzībām atbilstošs profesionālās izglītības piedāvājums. </w:t>
      </w:r>
    </w:p>
    <w:p w14:paraId="0E92C769" w14:textId="40E252A1" w:rsidR="000707B6" w:rsidRPr="00595533" w:rsidRDefault="00430300" w:rsidP="002145DF">
      <w:pPr>
        <w:rPr>
          <w:lang w:val="lv-LV"/>
        </w:rPr>
      </w:pPr>
      <w:r w:rsidRPr="00595533">
        <w:rPr>
          <w:lang w:val="lv-LV"/>
        </w:rPr>
        <w:t>Lai mazinātu darba vietu trūkumu, tiek ieteikts samazināt administratīvo un nodokļu slogu soc</w:t>
      </w:r>
      <w:r w:rsidR="00F37DD4" w:rsidRPr="00595533">
        <w:rPr>
          <w:lang w:val="lv-LV"/>
        </w:rPr>
        <w:t>i</w:t>
      </w:r>
      <w:r w:rsidRPr="00595533">
        <w:rPr>
          <w:lang w:val="lv-LV"/>
        </w:rPr>
        <w:t>ālai uzņēmējdarbībai:</w:t>
      </w:r>
    </w:p>
    <w:p w14:paraId="2FF8AD6F" w14:textId="77777777" w:rsidR="00430300" w:rsidRPr="00595533" w:rsidRDefault="00430300" w:rsidP="002145DF">
      <w:pPr>
        <w:ind w:left="720"/>
        <w:rPr>
          <w:i/>
          <w:color w:val="374C80" w:themeColor="accent1" w:themeShade="BF"/>
          <w:lang w:val="lv-LV"/>
        </w:rPr>
      </w:pPr>
      <w:r w:rsidRPr="00595533">
        <w:rPr>
          <w:i/>
          <w:color w:val="374C80" w:themeColor="accent1" w:themeShade="BF"/>
          <w:lang w:val="lv-LV"/>
        </w:rPr>
        <w:t>“Iespējams, pašpaļāvības veicināšana palīdzētu. Valstij nevajadzētu aplikt ar nodokļiem un birokrātiju "saimniecisko darbību", kas notur cilvēkus virs nabadzības sliekšņa.”</w:t>
      </w:r>
    </w:p>
    <w:p w14:paraId="291EA9F5" w14:textId="4588B784" w:rsidR="004E7092" w:rsidRPr="00595533" w:rsidRDefault="00430300" w:rsidP="00F37DD4">
      <w:pPr>
        <w:rPr>
          <w:lang w:val="lv-LV"/>
        </w:rPr>
      </w:pPr>
      <w:r w:rsidRPr="00595533">
        <w:rPr>
          <w:lang w:val="lv-LV"/>
        </w:rPr>
        <w:lastRenderedPageBreak/>
        <w:t xml:space="preserve">Tāpat viedokļu līderi aicina uzlabot tālākizglītības, pārkvalifikācijas un profesionālās izglītības sistēmas, piedāvājot ar darba tirgus vajadzībām saskaņotas apmācību iespējas, kā arī attīstīt radošumu un uzņēmējpratību </w:t>
      </w:r>
      <w:r w:rsidR="004E7092" w:rsidRPr="00595533">
        <w:rPr>
          <w:lang w:val="lv-LV"/>
        </w:rPr>
        <w:t>vispārējās izglītības līmenī.</w:t>
      </w:r>
    </w:p>
    <w:p w14:paraId="28F5124E" w14:textId="77777777" w:rsidR="00F37DD4" w:rsidRPr="00595533" w:rsidRDefault="00F37DD4" w:rsidP="00F37DD4">
      <w:pPr>
        <w:rPr>
          <w:lang w:val="lv-LV"/>
        </w:rPr>
      </w:pPr>
    </w:p>
    <w:p w14:paraId="5A49726F" w14:textId="0528DE21" w:rsidR="00ED234D" w:rsidRPr="00595533" w:rsidRDefault="00654F5A" w:rsidP="00F37DD4">
      <w:pPr>
        <w:pStyle w:val="Heading2"/>
        <w:rPr>
          <w:lang w:val="lv-LV"/>
        </w:rPr>
      </w:pPr>
      <w:bookmarkStart w:id="46" w:name="_Toc498690629"/>
      <w:bookmarkStart w:id="47" w:name="_Toc499025316"/>
      <w:r>
        <w:rPr>
          <w:lang w:val="lv-LV"/>
        </w:rPr>
        <w:t xml:space="preserve">3.6. </w:t>
      </w:r>
      <w:r w:rsidR="00ED234D" w:rsidRPr="00595533">
        <w:rPr>
          <w:lang w:val="lv-LV"/>
        </w:rPr>
        <w:t>Stabili pamati tautas ataudzei</w:t>
      </w:r>
      <w:bookmarkEnd w:id="46"/>
      <w:bookmarkEnd w:id="47"/>
    </w:p>
    <w:p w14:paraId="4EB7E88F" w14:textId="77777777" w:rsidR="00ED234D" w:rsidRPr="00595533" w:rsidRDefault="00ED234D" w:rsidP="00F37DD4">
      <w:pPr>
        <w:rPr>
          <w:lang w:val="lv-LV"/>
        </w:rPr>
      </w:pPr>
      <w:r w:rsidRPr="00595533">
        <w:rPr>
          <w:lang w:val="lv-LV"/>
        </w:rPr>
        <w:t xml:space="preserve">Rīcības virzienam </w:t>
      </w:r>
      <w:r w:rsidRPr="00595533">
        <w:rPr>
          <w:i/>
          <w:lang w:val="lv-LV"/>
        </w:rPr>
        <w:t>Stabili pamati tautas ataudzei</w:t>
      </w:r>
      <w:r w:rsidRPr="00595533">
        <w:rPr>
          <w:lang w:val="lv-LV"/>
        </w:rPr>
        <w:t xml:space="preserve"> izvirzīti kopumā trīs mērķi – veicināt dzimstību, tādējādi nodrošinot tautas ataudzi, kas ir viens no trīs NAP2020 markomērķiem, samazināt ģimeņu ar bērniem nabadzības risku, prioritāri gādājot par viena vecāka ģimenēm un daudzbērnu ģimenēm, kā arī sekmēt to, ka bērni dzīvo drošā, labvēlīgā, no vardarbības brīvā ģimeniskā vai ģimenei pietuvinātā vidē. Lai īstenotu izvirzītos mērķus, NAP2020 paredzētas aktivitātes nodokļu un pabalstu sistēmas pilnveidošanai, kas vērstas uz pietiekamu ienākumu nodrošināšanu bērna piedzimšanas brīdī  un strādājošo ar nepilngadīgiem bērniem atbalstīšanu</w:t>
      </w:r>
      <w:r w:rsidR="00A72438" w:rsidRPr="00595533">
        <w:rPr>
          <w:lang w:val="lv-LV"/>
        </w:rPr>
        <w:t>, ģimenes un darba dzīves saskaņošanu, bērnu pirmsskolas izglītības pieejamības nodrošināšanu, alternatīvo ģimeņu kustības stiprināšanu, kā arī preventīva darba veikšanu ģimeņu un indivīdu atbalstam krīzes situācijās.</w:t>
      </w:r>
    </w:p>
    <w:p w14:paraId="094CE216" w14:textId="77777777" w:rsidR="00184FFF" w:rsidRPr="00595533" w:rsidRDefault="00184FFF" w:rsidP="00184FFF">
      <w:pPr>
        <w:pStyle w:val="NoSpacing"/>
        <w:rPr>
          <w:sz w:val="10"/>
          <w:szCs w:val="10"/>
          <w:lang w:val="lv-LV"/>
        </w:rPr>
      </w:pPr>
    </w:p>
    <w:p w14:paraId="658A0DDA" w14:textId="77777777" w:rsidR="00184FFF" w:rsidRPr="00595533" w:rsidRDefault="00184FFF" w:rsidP="00184FFF">
      <w:pPr>
        <w:pStyle w:val="Heading3"/>
        <w:rPr>
          <w:lang w:val="lv-LV"/>
        </w:rPr>
      </w:pPr>
      <w:bookmarkStart w:id="48" w:name="_Toc498690630"/>
      <w:r w:rsidRPr="00595533">
        <w:rPr>
          <w:lang w:val="lv-LV"/>
        </w:rPr>
        <w:t>UZDEVUMU ĪSTENOŠANAS PROGRESS</w:t>
      </w:r>
      <w:bookmarkEnd w:id="48"/>
    </w:p>
    <w:p w14:paraId="6BE7F63F" w14:textId="54E8F631" w:rsidR="00025A31" w:rsidRPr="00595533" w:rsidRDefault="00025A31" w:rsidP="001C59CF">
      <w:pPr>
        <w:rPr>
          <w:rFonts w:ascii="Cambria" w:hAnsi="Cambria"/>
          <w:i/>
          <w:color w:val="374C80" w:themeColor="accent1" w:themeShade="BF"/>
          <w:lang w:val="lv-LV"/>
        </w:rPr>
      </w:pPr>
      <w:r w:rsidRPr="00595533">
        <w:rPr>
          <w:rFonts w:ascii="Cambria" w:hAnsi="Cambria"/>
          <w:lang w:val="lv-LV"/>
        </w:rPr>
        <w:t xml:space="preserve">Lai veicinātu tautsaimniecības </w:t>
      </w:r>
      <w:r w:rsidR="003E5D8A" w:rsidRPr="00595533">
        <w:rPr>
          <w:rFonts w:ascii="Cambria" w:hAnsi="Cambria"/>
          <w:lang w:val="lv-LV"/>
        </w:rPr>
        <w:t>izaugsmi</w:t>
      </w:r>
      <w:r w:rsidRPr="00595533">
        <w:rPr>
          <w:rFonts w:ascii="Cambria" w:hAnsi="Cambria"/>
          <w:lang w:val="lv-LV"/>
        </w:rPr>
        <w:t>, iedzīvotā</w:t>
      </w:r>
      <w:r w:rsidR="003E5D8A" w:rsidRPr="00595533">
        <w:rPr>
          <w:rFonts w:ascii="Cambria" w:hAnsi="Cambria"/>
          <w:lang w:val="lv-LV"/>
        </w:rPr>
        <w:t>ju drošību un labklājību, 2018. </w:t>
      </w:r>
      <w:r w:rsidRPr="00595533">
        <w:rPr>
          <w:rFonts w:ascii="Cambria" w:hAnsi="Cambria"/>
          <w:lang w:val="lv-LV"/>
        </w:rPr>
        <w:t xml:space="preserve">gadā spēkā stājas kompleksa </w:t>
      </w:r>
      <w:r w:rsidRPr="00595533">
        <w:rPr>
          <w:rFonts w:ascii="Cambria" w:hAnsi="Cambria"/>
          <w:b/>
          <w:lang w:val="lv-LV"/>
        </w:rPr>
        <w:t xml:space="preserve">nodokļu </w:t>
      </w:r>
      <w:r w:rsidR="003E5D8A" w:rsidRPr="00595533">
        <w:rPr>
          <w:rFonts w:ascii="Cambria" w:hAnsi="Cambria"/>
          <w:b/>
          <w:lang w:val="lv-LV"/>
        </w:rPr>
        <w:t xml:space="preserve">politikas </w:t>
      </w:r>
      <w:r w:rsidRPr="00595533">
        <w:rPr>
          <w:rFonts w:ascii="Cambria" w:hAnsi="Cambria"/>
          <w:b/>
          <w:lang w:val="lv-LV"/>
        </w:rPr>
        <w:t>reforma</w:t>
      </w:r>
      <w:r w:rsidRPr="00595533">
        <w:rPr>
          <w:rFonts w:ascii="Cambria" w:hAnsi="Cambria"/>
          <w:lang w:val="lv-LV"/>
        </w:rPr>
        <w:t>, kas individuāli skars visus iedzīvotājus – turīgākos un trūcīgākos, darba devējus un darba ņēmējus. Reforma paredz par 13% paaug</w:t>
      </w:r>
      <w:r w:rsidR="003E5D8A" w:rsidRPr="00595533">
        <w:rPr>
          <w:rFonts w:ascii="Cambria" w:hAnsi="Cambria"/>
          <w:lang w:val="lv-LV"/>
        </w:rPr>
        <w:t xml:space="preserve">stināt minimālo </w:t>
      </w:r>
      <w:r w:rsidR="00502FD4" w:rsidRPr="00595533">
        <w:rPr>
          <w:rFonts w:ascii="Cambria" w:hAnsi="Cambria"/>
          <w:lang w:val="lv-LV"/>
        </w:rPr>
        <w:t xml:space="preserve">darba </w:t>
      </w:r>
      <w:r w:rsidR="003E5D8A" w:rsidRPr="00595533">
        <w:rPr>
          <w:rFonts w:ascii="Cambria" w:hAnsi="Cambria"/>
          <w:lang w:val="lv-LV"/>
        </w:rPr>
        <w:t>algu valstī, kam</w:t>
      </w:r>
      <w:r w:rsidRPr="00595533">
        <w:rPr>
          <w:rFonts w:ascii="Cambria" w:hAnsi="Cambria"/>
          <w:lang w:val="lv-LV"/>
        </w:rPr>
        <w:t xml:space="preserve"> </w:t>
      </w:r>
      <w:r w:rsidR="003E5D8A" w:rsidRPr="00595533">
        <w:rPr>
          <w:rFonts w:ascii="Cambria" w:hAnsi="Cambria"/>
          <w:lang w:val="lv-LV"/>
        </w:rPr>
        <w:t>vajadzētu mazināt</w:t>
      </w:r>
      <w:r w:rsidRPr="00595533">
        <w:rPr>
          <w:rFonts w:ascii="Cambria" w:hAnsi="Cambria"/>
          <w:lang w:val="lv-LV"/>
        </w:rPr>
        <w:t xml:space="preserve"> </w:t>
      </w:r>
      <w:r w:rsidR="003E5D8A" w:rsidRPr="00595533">
        <w:rPr>
          <w:rFonts w:ascii="Cambria" w:hAnsi="Cambria"/>
          <w:lang w:val="lv-LV"/>
        </w:rPr>
        <w:t>nabadzības riskam p</w:t>
      </w:r>
      <w:r w:rsidR="00502FD4" w:rsidRPr="00595533">
        <w:rPr>
          <w:rFonts w:ascii="Cambria" w:hAnsi="Cambria"/>
          <w:lang w:val="lv-LV"/>
        </w:rPr>
        <w:t>akļauto strādājošo skaitu</w:t>
      </w:r>
      <w:r w:rsidR="003E5D8A" w:rsidRPr="00595533">
        <w:rPr>
          <w:rFonts w:ascii="Cambria" w:hAnsi="Cambria"/>
          <w:lang w:val="lv-LV"/>
        </w:rPr>
        <w:t>. T</w:t>
      </w:r>
      <w:r w:rsidRPr="00595533">
        <w:rPr>
          <w:rFonts w:ascii="Cambria" w:hAnsi="Cambria"/>
          <w:lang w:val="lv-LV"/>
        </w:rPr>
        <w:t>āpat tiks diferencētas IIN likmes, mazāko algu saņēmējiem piemērojot mazāku likmi (20%), bet lielākām algām – augstāku (34,1%). Atkarībā no ienākumiem tiks paaugstināts neapliekamais minimums (līdz 20</w:t>
      </w:r>
      <w:r w:rsidR="003E5D8A" w:rsidRPr="00595533">
        <w:rPr>
          <w:rFonts w:ascii="Cambria" w:hAnsi="Cambria"/>
          <w:lang w:val="lv-LV"/>
        </w:rPr>
        <w:t>0-250 euro algām līdz 440 euro), bet,</w:t>
      </w:r>
      <w:r w:rsidRPr="00595533">
        <w:rPr>
          <w:rFonts w:ascii="Cambria" w:hAnsi="Cambria"/>
          <w:lang w:val="lv-LV"/>
        </w:rPr>
        <w:t xml:space="preserve"> algai pārsniedzot 1</w:t>
      </w:r>
      <w:r w:rsidR="003E5D8A" w:rsidRPr="00595533">
        <w:rPr>
          <w:rFonts w:ascii="Cambria" w:hAnsi="Cambria"/>
          <w:lang w:val="lv-LV"/>
        </w:rPr>
        <w:t> </w:t>
      </w:r>
      <w:r w:rsidRPr="00595533">
        <w:rPr>
          <w:rFonts w:ascii="Cambria" w:hAnsi="Cambria"/>
          <w:lang w:val="lv-LV"/>
        </w:rPr>
        <w:t>000 euro, tas vairs netik</w:t>
      </w:r>
      <w:r w:rsidR="003E5D8A" w:rsidRPr="00595533">
        <w:rPr>
          <w:rFonts w:ascii="Cambria" w:hAnsi="Cambria"/>
          <w:lang w:val="lv-LV"/>
        </w:rPr>
        <w:t>s attiecināts.</w:t>
      </w:r>
      <w:r w:rsidR="003E5D8A" w:rsidRPr="00595533">
        <w:rPr>
          <w:rFonts w:ascii="Cambria" w:hAnsi="Cambria"/>
          <w:i/>
          <w:color w:val="374C80" w:themeColor="accent1" w:themeShade="BF"/>
          <w:lang w:val="lv-LV"/>
        </w:rPr>
        <w:t xml:space="preserve"> </w:t>
      </w:r>
      <w:r w:rsidRPr="00595533">
        <w:rPr>
          <w:rFonts w:ascii="Cambria" w:hAnsi="Cambria"/>
          <w:lang w:val="lv-LV"/>
        </w:rPr>
        <w:t xml:space="preserve">Tomēr apgādājamo skaitam nav saistības ar neapliekamā minimuma diferenciāciju, </w:t>
      </w:r>
      <w:r w:rsidR="003E5D8A" w:rsidRPr="00595533">
        <w:rPr>
          <w:rFonts w:ascii="Cambria" w:hAnsi="Cambria"/>
          <w:lang w:val="lv-LV"/>
        </w:rPr>
        <w:t>kamdēļ</w:t>
      </w:r>
      <w:r w:rsidRPr="00595533">
        <w:rPr>
          <w:rFonts w:ascii="Cambria" w:hAnsi="Cambria"/>
          <w:lang w:val="lv-LV"/>
        </w:rPr>
        <w:t xml:space="preserve"> ģimenes ar bērniem šīs reformas rezultātā iegūs mazāk nekā mājsaimniecības bez bērniem. Reformas ietvaros plānots arī pakāpeniski paaugst</w:t>
      </w:r>
      <w:r w:rsidR="003E5D8A" w:rsidRPr="00595533">
        <w:rPr>
          <w:rFonts w:ascii="Cambria" w:hAnsi="Cambria"/>
          <w:lang w:val="lv-LV"/>
        </w:rPr>
        <w:t>ināt atvieglojumu par apgādājamo</w:t>
      </w:r>
      <w:r w:rsidRPr="00595533">
        <w:rPr>
          <w:rFonts w:ascii="Cambria" w:hAnsi="Cambria"/>
          <w:lang w:val="lv-LV"/>
        </w:rPr>
        <w:t xml:space="preserve"> līdz 200</w:t>
      </w:r>
      <w:r w:rsidR="003E5D8A" w:rsidRPr="00595533">
        <w:rPr>
          <w:rFonts w:ascii="Cambria" w:hAnsi="Cambria"/>
          <w:lang w:val="lv-LV"/>
        </w:rPr>
        <w:t> – </w:t>
      </w:r>
      <w:r w:rsidRPr="00595533">
        <w:rPr>
          <w:rFonts w:ascii="Cambria" w:hAnsi="Cambria"/>
          <w:lang w:val="lv-LV"/>
        </w:rPr>
        <w:t>250 euro (46</w:t>
      </w:r>
      <w:r w:rsidR="003E5D8A" w:rsidRPr="00595533">
        <w:rPr>
          <w:rFonts w:ascii="Cambria" w:hAnsi="Cambria"/>
          <w:lang w:val="lv-LV"/>
        </w:rPr>
        <w:t> – </w:t>
      </w:r>
      <w:r w:rsidRPr="00595533">
        <w:rPr>
          <w:rFonts w:ascii="Cambria" w:hAnsi="Cambria"/>
          <w:lang w:val="lv-LV"/>
        </w:rPr>
        <w:t>58% no minimālās algas), atjaunojot tiesī</w:t>
      </w:r>
      <w:r w:rsidR="003E5D8A" w:rsidRPr="00595533">
        <w:rPr>
          <w:rFonts w:ascii="Cambria" w:hAnsi="Cambria"/>
          <w:lang w:val="lv-LV"/>
        </w:rPr>
        <w:t>bas</w:t>
      </w:r>
      <w:r w:rsidRPr="00595533">
        <w:rPr>
          <w:rFonts w:ascii="Cambria" w:hAnsi="Cambria"/>
          <w:lang w:val="lv-LV"/>
        </w:rPr>
        <w:t xml:space="preserve"> to attiecināt arī uz laulāto, kas negūst ienākumus un aprūpē mājās bērnus. Lai atbalstītu personu ar bērniem</w:t>
      </w:r>
      <w:r w:rsidR="003E5D8A" w:rsidRPr="00595533">
        <w:rPr>
          <w:rFonts w:ascii="Cambria" w:hAnsi="Cambria"/>
          <w:lang w:val="lv-LV"/>
        </w:rPr>
        <w:t xml:space="preserve"> iesaisti darba tirgū, no </w:t>
      </w:r>
      <w:r w:rsidRPr="00595533">
        <w:rPr>
          <w:rFonts w:ascii="Cambria" w:hAnsi="Cambria"/>
          <w:lang w:val="lv-LV"/>
        </w:rPr>
        <w:t>2018</w:t>
      </w:r>
      <w:r w:rsidR="003E5D8A" w:rsidRPr="00595533">
        <w:rPr>
          <w:rFonts w:ascii="Cambria" w:hAnsi="Cambria"/>
          <w:lang w:val="lv-LV"/>
        </w:rPr>
        <w:t>. gada 1. jūlija</w:t>
      </w:r>
      <w:r w:rsidRPr="00595533">
        <w:rPr>
          <w:rFonts w:ascii="Cambria" w:hAnsi="Cambria"/>
          <w:lang w:val="lv-LV"/>
        </w:rPr>
        <w:t xml:space="preserve"> noteiktas izmaiņas IIN atvieglojumos par nestrādājošu laulāto, kura apgādībā ir </w:t>
      </w:r>
      <w:r w:rsidR="00FC6D39" w:rsidRPr="00595533">
        <w:rPr>
          <w:rFonts w:ascii="Cambria" w:hAnsi="Cambria"/>
          <w:lang w:val="lv-LV"/>
        </w:rPr>
        <w:t>(a)</w:t>
      </w:r>
      <w:r w:rsidR="003E5D8A" w:rsidRPr="00595533">
        <w:rPr>
          <w:rFonts w:ascii="Cambria" w:hAnsi="Cambria"/>
          <w:lang w:val="lv-LV"/>
        </w:rPr>
        <w:t xml:space="preserve"> </w:t>
      </w:r>
      <w:r w:rsidRPr="00595533">
        <w:rPr>
          <w:rFonts w:ascii="Cambria" w:hAnsi="Cambria"/>
          <w:lang w:val="lv-LV"/>
        </w:rPr>
        <w:t>bērns vecumā līdz 3 gadiem</w:t>
      </w:r>
      <w:r w:rsidR="003E5D8A" w:rsidRPr="00595533">
        <w:rPr>
          <w:rFonts w:ascii="Cambria" w:hAnsi="Cambria"/>
          <w:lang w:val="lv-LV"/>
        </w:rPr>
        <w:t>, (b) trīs</w:t>
      </w:r>
      <w:r w:rsidRPr="00595533">
        <w:rPr>
          <w:rFonts w:ascii="Cambria" w:hAnsi="Cambria"/>
          <w:lang w:val="lv-LV"/>
        </w:rPr>
        <w:t xml:space="preserve"> vai vairāki bērni līdz 18 gadu vecumam vai līdz 24 gadu vecumam, kamēr bērns turpina vispārējās profesionālās, augstākās vai speciālās izglītības iegūšanu, no kuriem vismaz </w:t>
      </w:r>
      <w:r w:rsidR="003E5D8A" w:rsidRPr="00595533">
        <w:rPr>
          <w:rFonts w:ascii="Cambria" w:hAnsi="Cambria"/>
          <w:lang w:val="lv-LV"/>
        </w:rPr>
        <w:t>viens ir jaunāks par 7 gadiem vai</w:t>
      </w:r>
      <w:r w:rsidRPr="00595533">
        <w:rPr>
          <w:rFonts w:ascii="Cambria" w:hAnsi="Cambria"/>
          <w:lang w:val="lv-LV"/>
        </w:rPr>
        <w:t xml:space="preserve"> </w:t>
      </w:r>
      <w:r w:rsidR="003E5D8A" w:rsidRPr="00595533">
        <w:rPr>
          <w:rFonts w:ascii="Cambria" w:hAnsi="Cambria"/>
          <w:lang w:val="lv-LV"/>
        </w:rPr>
        <w:t>(c) pieci</w:t>
      </w:r>
      <w:r w:rsidRPr="00595533">
        <w:rPr>
          <w:rFonts w:ascii="Cambria" w:hAnsi="Cambria"/>
          <w:lang w:val="lv-LV"/>
        </w:rPr>
        <w:t xml:space="preserve"> bērni līdz 18 gadu vecumam vai līdz 24 gadu vecumam, kamēr bērns turpina vispārējās profesionālās, augstākās vai speciālās izglītības iegūšanu.</w:t>
      </w:r>
    </w:p>
    <w:p w14:paraId="3CDEBC6F" w14:textId="716D646A" w:rsidR="00025A31" w:rsidRPr="00595533" w:rsidRDefault="00025A31" w:rsidP="001C59CF">
      <w:pPr>
        <w:rPr>
          <w:rFonts w:ascii="Cambria" w:hAnsi="Cambria"/>
          <w:lang w:val="lv-LV"/>
        </w:rPr>
      </w:pPr>
      <w:r w:rsidRPr="00595533">
        <w:rPr>
          <w:rFonts w:ascii="Cambria" w:hAnsi="Cambria"/>
          <w:lang w:val="lv-LV"/>
        </w:rPr>
        <w:t xml:space="preserve">Jāatzīmē, ka reforma arī paredz atmaksāt 20% attaisnoto izdevumu, kas papildus izdevumiem par medicīnu, izglītību un iemaksām pensiju fondos </w:t>
      </w:r>
      <w:r w:rsidR="00FC6D39" w:rsidRPr="00595533">
        <w:rPr>
          <w:rFonts w:ascii="Cambria" w:hAnsi="Cambria"/>
          <w:lang w:val="lv-LV"/>
        </w:rPr>
        <w:t>ietver</w:t>
      </w:r>
      <w:r w:rsidRPr="00595533">
        <w:rPr>
          <w:rFonts w:ascii="Cambria" w:hAnsi="Cambria"/>
          <w:lang w:val="lv-LV"/>
        </w:rPr>
        <w:t xml:space="preserve"> arī izdevum</w:t>
      </w:r>
      <w:r w:rsidR="00FC6D39" w:rsidRPr="00595533">
        <w:rPr>
          <w:rFonts w:ascii="Cambria" w:hAnsi="Cambria"/>
          <w:lang w:val="lv-LV"/>
        </w:rPr>
        <w:t>us par bērnu interešu izglītību</w:t>
      </w:r>
      <w:r w:rsidRPr="00595533">
        <w:rPr>
          <w:rFonts w:ascii="Cambria" w:hAnsi="Cambria"/>
          <w:lang w:val="lv-LV"/>
        </w:rPr>
        <w:t xml:space="preserve"> par summu līdz 600 euro katram ģimenes loceklim, bet ne vairāk kā 50% no apliekamā ienākuma apjoma.</w:t>
      </w:r>
    </w:p>
    <w:p w14:paraId="47EFB761" w14:textId="657DD9B7" w:rsidR="00025A31" w:rsidRPr="00595533" w:rsidRDefault="00FC6D39" w:rsidP="001C59CF">
      <w:pPr>
        <w:rPr>
          <w:rFonts w:ascii="Cambria" w:hAnsi="Cambria"/>
          <w:lang w:val="lv-LV"/>
        </w:rPr>
      </w:pPr>
      <w:r w:rsidRPr="00595533">
        <w:rPr>
          <w:rFonts w:ascii="Cambria" w:hAnsi="Cambria"/>
          <w:lang w:val="lv-LV"/>
        </w:rPr>
        <w:t>Ņemot vērā nodokļu reformas sagaidāmo ietekmi uz ģimenēm ar bērniem,</w:t>
      </w:r>
      <w:r w:rsidR="00025A31" w:rsidRPr="00595533">
        <w:rPr>
          <w:rFonts w:ascii="Cambria" w:hAnsi="Cambria"/>
          <w:lang w:val="lv-LV"/>
        </w:rPr>
        <w:t xml:space="preserve"> nepieciešams apsvērt sociāla rakstura atbalsta mehānismus</w:t>
      </w:r>
      <w:r w:rsidRPr="00595533">
        <w:rPr>
          <w:rFonts w:ascii="Cambria" w:hAnsi="Cambria"/>
          <w:lang w:val="lv-LV"/>
        </w:rPr>
        <w:t xml:space="preserve"> zemo ienākumu mājsaimniecībām, kurās aug bērni,</w:t>
      </w:r>
      <w:r w:rsidR="00025A31" w:rsidRPr="00595533">
        <w:rPr>
          <w:rFonts w:ascii="Cambria" w:hAnsi="Cambria"/>
          <w:lang w:val="lv-LV"/>
        </w:rPr>
        <w:t xml:space="preserve"> lai nepieļauto šo ģimeņu nokļūšanu vēl dziļākā nabadzībā.</w:t>
      </w:r>
    </w:p>
    <w:p w14:paraId="4322EDF0" w14:textId="1A118DAE" w:rsidR="00167BA9" w:rsidRPr="00595533" w:rsidRDefault="00B16516" w:rsidP="001C59CF">
      <w:pPr>
        <w:rPr>
          <w:rFonts w:ascii="Cambria" w:hAnsi="Cambria" w:cs="Times New Roman"/>
          <w:lang w:val="lv-LV"/>
        </w:rPr>
      </w:pPr>
      <w:r w:rsidRPr="00595533">
        <w:rPr>
          <w:rFonts w:ascii="Cambria" w:hAnsi="Cambria"/>
          <w:lang w:val="lv-LV"/>
        </w:rPr>
        <w:t>D</w:t>
      </w:r>
      <w:r w:rsidR="00025A31" w:rsidRPr="00595533">
        <w:rPr>
          <w:rFonts w:ascii="Cambria" w:hAnsi="Cambria"/>
          <w:lang w:val="lv-LV"/>
        </w:rPr>
        <w:t xml:space="preserve">zimstības veicināšanā būtiska nozīme ir </w:t>
      </w:r>
      <w:r w:rsidRPr="00595533">
        <w:rPr>
          <w:rFonts w:ascii="Cambria" w:hAnsi="Cambria"/>
          <w:lang w:val="lv-LV"/>
        </w:rPr>
        <w:t>ne tikai valsts kopējai ekonomiskai</w:t>
      </w:r>
      <w:r w:rsidR="00FC6D39" w:rsidRPr="00595533">
        <w:rPr>
          <w:rFonts w:ascii="Cambria" w:hAnsi="Cambria"/>
          <w:lang w:val="lv-LV"/>
        </w:rPr>
        <w:t xml:space="preserve"> un ģimenes ienākumu stabilitāte</w:t>
      </w:r>
      <w:r w:rsidRPr="00595533">
        <w:rPr>
          <w:rFonts w:ascii="Cambria" w:hAnsi="Cambria"/>
          <w:lang w:val="lv-LV"/>
        </w:rPr>
        <w:t>i</w:t>
      </w:r>
      <w:r w:rsidR="00FC6D39" w:rsidRPr="00595533">
        <w:rPr>
          <w:rFonts w:ascii="Cambria" w:hAnsi="Cambria"/>
          <w:lang w:val="lv-LV"/>
        </w:rPr>
        <w:t>, ģimenei piemērota mājokļa esamība</w:t>
      </w:r>
      <w:r w:rsidRPr="00595533">
        <w:rPr>
          <w:rFonts w:ascii="Cambria" w:hAnsi="Cambria"/>
          <w:lang w:val="lv-LV"/>
        </w:rPr>
        <w:t>i</w:t>
      </w:r>
      <w:r w:rsidR="00FC6D39" w:rsidRPr="00595533">
        <w:rPr>
          <w:rFonts w:ascii="Cambria" w:hAnsi="Cambria"/>
          <w:lang w:val="lv-LV"/>
        </w:rPr>
        <w:t xml:space="preserve">, </w:t>
      </w:r>
      <w:r w:rsidRPr="00595533">
        <w:rPr>
          <w:rFonts w:ascii="Cambria" w:hAnsi="Cambria"/>
          <w:lang w:val="lv-LV"/>
        </w:rPr>
        <w:t>bet arī</w:t>
      </w:r>
      <w:r w:rsidR="00025A31" w:rsidRPr="00595533">
        <w:rPr>
          <w:rFonts w:ascii="Cambria" w:hAnsi="Cambria"/>
          <w:lang w:val="lv-LV"/>
        </w:rPr>
        <w:t xml:space="preserve"> sociālā atbalsta </w:t>
      </w:r>
      <w:r w:rsidRPr="00595533">
        <w:rPr>
          <w:rFonts w:ascii="Cambria" w:hAnsi="Cambria"/>
          <w:lang w:val="lv-LV"/>
        </w:rPr>
        <w:t xml:space="preserve">un pabalstu </w:t>
      </w:r>
      <w:r w:rsidR="00502FD4" w:rsidRPr="00595533">
        <w:rPr>
          <w:rFonts w:ascii="Cambria" w:hAnsi="Cambria"/>
          <w:lang w:val="lv-LV"/>
        </w:rPr>
        <w:t>sistēmai kopumā</w:t>
      </w:r>
      <w:r w:rsidRPr="00595533">
        <w:rPr>
          <w:rFonts w:ascii="Cambria" w:hAnsi="Cambria"/>
          <w:lang w:val="lv-LV"/>
        </w:rPr>
        <w:t xml:space="preserve">. </w:t>
      </w:r>
      <w:r w:rsidR="00167BA9" w:rsidRPr="00595533">
        <w:rPr>
          <w:rFonts w:ascii="Cambria" w:hAnsi="Cambria" w:cs="Times New Roman"/>
          <w:lang w:val="lv-LV"/>
        </w:rPr>
        <w:t xml:space="preserve">Lai atbalstītu bērnu dzimšanu, 2013. – 2014. gadā pakāpeniski tika palielināts </w:t>
      </w:r>
      <w:r w:rsidR="00167BA9" w:rsidRPr="00595533">
        <w:rPr>
          <w:rFonts w:ascii="Cambria" w:hAnsi="Cambria" w:cs="Times New Roman"/>
          <w:b/>
          <w:lang w:val="lv-LV"/>
        </w:rPr>
        <w:t>bērna kopšanas pabalsts</w:t>
      </w:r>
      <w:r w:rsidR="00167BA9" w:rsidRPr="00595533">
        <w:rPr>
          <w:rFonts w:ascii="Cambria" w:hAnsi="Cambria" w:cs="Times New Roman"/>
          <w:lang w:val="lv-LV"/>
        </w:rPr>
        <w:t xml:space="preserve"> līdz bērna pusotra gada vecumam, sasniedzot </w:t>
      </w:r>
      <w:r w:rsidR="00502FD4" w:rsidRPr="00595533">
        <w:rPr>
          <w:rFonts w:ascii="Cambria" w:hAnsi="Cambria" w:cs="Times New Roman"/>
          <w:lang w:val="lv-LV"/>
        </w:rPr>
        <w:t>171 euro mēnesī. Vienlaicīgi</w:t>
      </w:r>
      <w:r w:rsidR="00167BA9" w:rsidRPr="00595533">
        <w:rPr>
          <w:rFonts w:ascii="Cambria" w:hAnsi="Cambria" w:cs="Times New Roman"/>
          <w:lang w:val="lv-LV"/>
        </w:rPr>
        <w:t xml:space="preserve"> no 2014. gada 1. oktobra ieviestas </w:t>
      </w:r>
      <w:r w:rsidR="00167BA9" w:rsidRPr="00595533">
        <w:rPr>
          <w:rFonts w:ascii="Cambria" w:hAnsi="Cambria" w:cs="Times New Roman"/>
          <w:lang w:val="lv-LV"/>
        </w:rPr>
        <w:lastRenderedPageBreak/>
        <w:t>būtiskas izmaiņas bērna kopšanas pabalsta un vecāku pabalsta izmaksas kārtībā, dodot iespēju izvēlēties pabalsta saņemšanas ilgumu</w:t>
      </w:r>
      <w:r w:rsidR="005169A9" w:rsidRPr="00595533">
        <w:rPr>
          <w:rFonts w:ascii="Cambria" w:hAnsi="Cambria" w:cs="Times New Roman"/>
          <w:lang w:val="lv-LV"/>
        </w:rPr>
        <w:t xml:space="preserve"> </w:t>
      </w:r>
      <w:r w:rsidR="00167BA9" w:rsidRPr="00595533">
        <w:rPr>
          <w:rFonts w:ascii="Cambria" w:hAnsi="Cambria" w:cs="Times New Roman"/>
          <w:lang w:val="lv-LV"/>
        </w:rPr>
        <w:t>un atkarībā no tā not</w:t>
      </w:r>
      <w:r w:rsidR="00502FD4" w:rsidRPr="00595533">
        <w:rPr>
          <w:rFonts w:ascii="Cambria" w:hAnsi="Cambria" w:cs="Times New Roman"/>
          <w:lang w:val="lv-LV"/>
        </w:rPr>
        <w:t>eikt pabalsta apmēru. Kopā</w:t>
      </w:r>
      <w:r w:rsidR="00167BA9" w:rsidRPr="00595533">
        <w:rPr>
          <w:rFonts w:ascii="Cambria" w:hAnsi="Cambria" w:cs="Times New Roman"/>
          <w:lang w:val="lv-LV"/>
        </w:rPr>
        <w:t xml:space="preserve"> ar vecāku pabalstu tiek izmaksāts arī bērna kopšanas pabalsts, kā arī vecāku pabalstu izmaksā 30% apmērā no piešķirtās pabalsta summas, ja persona pabalsta saņemšanas laikā strādā. Nākotnē būtu nepieciešams pilnveidot vecāku pabalsta piešķiršanas nosacījumus, paredzot, ka tiek nodrošinātas tiesības uz vecāku pabalstu arī tad, ja darba tiesiskās attiecības ir bijušas grūtniecības</w:t>
      </w:r>
      <w:r w:rsidR="00167BA9" w:rsidRPr="00595533">
        <w:rPr>
          <w:rFonts w:ascii="Cambria" w:hAnsi="Cambria" w:cs="Times New Roman"/>
          <w:bCs/>
          <w:lang w:val="lv-LV"/>
        </w:rPr>
        <w:t xml:space="preserve"> vai dzemdību atvaļinājuma iestāšanās brīdi, bet beigušās šī atvaļinājuma laikā.</w:t>
      </w:r>
    </w:p>
    <w:p w14:paraId="600716B1" w14:textId="70560B28" w:rsidR="00025A31" w:rsidRPr="00595533" w:rsidRDefault="00025A31" w:rsidP="001C59CF">
      <w:pPr>
        <w:rPr>
          <w:rFonts w:ascii="Cambria" w:hAnsi="Cambria"/>
          <w:lang w:val="lv-LV"/>
        </w:rPr>
      </w:pPr>
      <w:r w:rsidRPr="00595533">
        <w:rPr>
          <w:rFonts w:ascii="Cambria" w:hAnsi="Cambria"/>
          <w:lang w:val="lv-LV"/>
        </w:rPr>
        <w:t>T</w:t>
      </w:r>
      <w:r w:rsidR="00B16516" w:rsidRPr="00595533">
        <w:rPr>
          <w:rFonts w:ascii="Cambria" w:hAnsi="Cambria"/>
          <w:lang w:val="lv-LV"/>
        </w:rPr>
        <w:t>aču, lai mazinātu nabadzības risku ģimenēm pēc bērna 1,5 gadu vecuma sasniegšanas</w:t>
      </w:r>
      <w:r w:rsidR="00EC0B83" w:rsidRPr="00595533">
        <w:rPr>
          <w:rFonts w:ascii="Cambria" w:hAnsi="Cambria"/>
          <w:lang w:val="lv-LV"/>
        </w:rPr>
        <w:t>, pārskata periodā īstenota</w:t>
      </w:r>
      <w:r w:rsidRPr="00595533">
        <w:rPr>
          <w:rFonts w:ascii="Cambria" w:hAnsi="Cambria"/>
          <w:lang w:val="lv-LV"/>
        </w:rPr>
        <w:t xml:space="preserve"> </w:t>
      </w:r>
      <w:r w:rsidRPr="00595533">
        <w:rPr>
          <w:rFonts w:ascii="Cambria" w:hAnsi="Cambria"/>
          <w:b/>
          <w:lang w:val="lv-LV"/>
        </w:rPr>
        <w:t>ģim</w:t>
      </w:r>
      <w:r w:rsidR="00EC0B83" w:rsidRPr="00595533">
        <w:rPr>
          <w:rFonts w:ascii="Cambria" w:hAnsi="Cambria"/>
          <w:b/>
          <w:lang w:val="lv-LV"/>
        </w:rPr>
        <w:t>enes valsts pabalsta</w:t>
      </w:r>
      <w:r w:rsidR="00EC0B83" w:rsidRPr="00595533">
        <w:rPr>
          <w:rFonts w:ascii="Cambria" w:hAnsi="Cambria"/>
          <w:lang w:val="lv-LV"/>
        </w:rPr>
        <w:t xml:space="preserve"> pakāpeniska paaugstināšana</w:t>
      </w:r>
      <w:r w:rsidRPr="00595533">
        <w:rPr>
          <w:rFonts w:ascii="Cambria" w:hAnsi="Cambria"/>
          <w:lang w:val="lv-LV"/>
        </w:rPr>
        <w:t xml:space="preserve">. </w:t>
      </w:r>
      <w:r w:rsidR="00EC0B83" w:rsidRPr="00595533">
        <w:rPr>
          <w:rFonts w:ascii="Cambria" w:hAnsi="Cambria"/>
          <w:lang w:val="lv-LV"/>
        </w:rPr>
        <w:t>Tā ar 2015. </w:t>
      </w:r>
      <w:r w:rsidRPr="00595533">
        <w:rPr>
          <w:rFonts w:ascii="Cambria" w:hAnsi="Cambria"/>
          <w:lang w:val="lv-LV"/>
        </w:rPr>
        <w:t>gadu ģimenes va</w:t>
      </w:r>
      <w:r w:rsidR="00EC0B83" w:rsidRPr="00595533">
        <w:rPr>
          <w:rFonts w:ascii="Cambria" w:hAnsi="Cambria"/>
          <w:lang w:val="lv-LV"/>
        </w:rPr>
        <w:t>lsts pabalsts par pirmo bērnu</w:t>
      </w:r>
      <w:r w:rsidRPr="00595533">
        <w:rPr>
          <w:rFonts w:ascii="Cambria" w:hAnsi="Cambria"/>
          <w:lang w:val="lv-LV"/>
        </w:rPr>
        <w:t xml:space="preserve"> noteikts 11,38 euro, par otro bērnu – 22,76 euro, bet par trešo un turpmākiem bērniem </w:t>
      </w:r>
      <w:r w:rsidR="00EC0B83" w:rsidRPr="00595533">
        <w:rPr>
          <w:rFonts w:ascii="Cambria" w:hAnsi="Cambria"/>
          <w:lang w:val="lv-LV"/>
        </w:rPr>
        <w:t>–</w:t>
      </w:r>
      <w:r w:rsidRPr="00595533">
        <w:rPr>
          <w:rFonts w:ascii="Cambria" w:hAnsi="Cambria"/>
          <w:lang w:val="lv-LV"/>
        </w:rPr>
        <w:t xml:space="preserve"> 34,14 euro mēnesī. Turpinot ģimenes valsts pabalsta paaugstināšanu</w:t>
      </w:r>
      <w:r w:rsidR="00EC0B83" w:rsidRPr="00595533">
        <w:rPr>
          <w:rFonts w:ascii="Cambria" w:hAnsi="Cambria"/>
          <w:lang w:val="lv-LV"/>
        </w:rPr>
        <w:t>,</w:t>
      </w:r>
      <w:r w:rsidRPr="00595533">
        <w:rPr>
          <w:rFonts w:ascii="Cambria" w:hAnsi="Cambria"/>
          <w:lang w:val="lv-LV"/>
        </w:rPr>
        <w:t xml:space="preserve"> 2017.</w:t>
      </w:r>
      <w:r w:rsidR="00EC0B83" w:rsidRPr="00595533">
        <w:rPr>
          <w:rFonts w:ascii="Cambria" w:hAnsi="Cambria"/>
          <w:lang w:val="lv-LV"/>
        </w:rPr>
        <w:t> </w:t>
      </w:r>
      <w:r w:rsidRPr="00595533">
        <w:rPr>
          <w:rFonts w:ascii="Cambria" w:hAnsi="Cambria"/>
          <w:lang w:val="lv-LV"/>
        </w:rPr>
        <w:t>gadā ģimenes valsts pabalsta apmērs mēnesī</w:t>
      </w:r>
      <w:r w:rsidR="00EC0B83" w:rsidRPr="00595533">
        <w:rPr>
          <w:rFonts w:ascii="Cambria" w:hAnsi="Cambria"/>
          <w:lang w:val="lv-LV"/>
        </w:rPr>
        <w:t xml:space="preserve"> ģimenēm ar četriem un vairāk bērniem noteikts 50,07 euro. A</w:t>
      </w:r>
      <w:r w:rsidRPr="00595533">
        <w:rPr>
          <w:rFonts w:ascii="Cambria" w:hAnsi="Cambria"/>
          <w:lang w:val="lv-LV"/>
        </w:rPr>
        <w:t>rī 2018.</w:t>
      </w:r>
      <w:r w:rsidR="00EC0B83" w:rsidRPr="00595533">
        <w:rPr>
          <w:rFonts w:ascii="Cambria" w:hAnsi="Cambria"/>
          <w:lang w:val="lv-LV"/>
        </w:rPr>
        <w:t> </w:t>
      </w:r>
      <w:r w:rsidRPr="00595533">
        <w:rPr>
          <w:rFonts w:ascii="Cambria" w:hAnsi="Cambria"/>
          <w:lang w:val="lv-LV"/>
        </w:rPr>
        <w:t xml:space="preserve">gadā paredzēts paaugstināt ģimenes valsts pabalstu un būtiskāku atbalstu sniegt ģimenēm ar diviem, trim vai vairākiem bērniem, tādējādi panākot, ka pabalsts efektīvāk mazina nabadzības riskus tieši kuplajās ģimenēs. </w:t>
      </w:r>
    </w:p>
    <w:p w14:paraId="7E7FD932" w14:textId="6618CCC1" w:rsidR="00025A31" w:rsidRDefault="00025A31" w:rsidP="001C59CF">
      <w:pPr>
        <w:rPr>
          <w:rFonts w:ascii="Cambria" w:hAnsi="Cambria"/>
          <w:lang w:val="lv-LV"/>
        </w:rPr>
      </w:pPr>
      <w:r w:rsidRPr="00595533">
        <w:rPr>
          <w:rFonts w:ascii="Cambria" w:hAnsi="Cambria"/>
          <w:lang w:val="lv-LV"/>
        </w:rPr>
        <w:t>Atsevišķi jāizceļ atbalsts daudzbērnu ģimenēm</w:t>
      </w:r>
      <w:r w:rsidR="00167BA9" w:rsidRPr="00595533">
        <w:rPr>
          <w:rFonts w:ascii="Cambria" w:hAnsi="Cambria"/>
          <w:lang w:val="lv-LV"/>
        </w:rPr>
        <w:t>.</w:t>
      </w:r>
      <w:r w:rsidRPr="00595533">
        <w:rPr>
          <w:rFonts w:ascii="Cambria" w:hAnsi="Cambria"/>
          <w:lang w:val="lv-LV"/>
        </w:rPr>
        <w:t xml:space="preserve"> </w:t>
      </w:r>
      <w:r w:rsidR="00167BA9" w:rsidRPr="00595533">
        <w:rPr>
          <w:rFonts w:ascii="Cambria" w:hAnsi="Cambria"/>
          <w:lang w:val="lv-LV"/>
        </w:rPr>
        <w:t>NAP2020</w:t>
      </w:r>
      <w:r w:rsidRPr="00595533">
        <w:rPr>
          <w:rFonts w:ascii="Cambria" w:hAnsi="Cambria"/>
          <w:lang w:val="lv-LV"/>
        </w:rPr>
        <w:t xml:space="preserve"> </w:t>
      </w:r>
      <w:r w:rsidR="00167BA9" w:rsidRPr="00595533">
        <w:rPr>
          <w:rFonts w:ascii="Cambria" w:hAnsi="Cambria"/>
          <w:lang w:val="lv-LV"/>
        </w:rPr>
        <w:t xml:space="preserve">darbības periodā ieviesta </w:t>
      </w:r>
      <w:r w:rsidRPr="00595533">
        <w:rPr>
          <w:rFonts w:ascii="Cambria" w:hAnsi="Cambria"/>
          <w:b/>
          <w:lang w:val="lv-LV"/>
        </w:rPr>
        <w:t xml:space="preserve">“Goda ģimenes” </w:t>
      </w:r>
      <w:r w:rsidR="00167BA9" w:rsidRPr="00595533">
        <w:rPr>
          <w:rFonts w:ascii="Cambria" w:hAnsi="Cambria"/>
          <w:b/>
          <w:lang w:val="lv-LV"/>
        </w:rPr>
        <w:t>programma</w:t>
      </w:r>
      <w:r w:rsidR="00167BA9" w:rsidRPr="00595533">
        <w:rPr>
          <w:rFonts w:ascii="Cambria" w:hAnsi="Cambria"/>
          <w:lang w:val="lv-LV"/>
        </w:rPr>
        <w:t>, kuras</w:t>
      </w:r>
      <w:r w:rsidRPr="00595533">
        <w:rPr>
          <w:rFonts w:ascii="Cambria" w:hAnsi="Cambria"/>
          <w:lang w:val="lv-LV"/>
        </w:rPr>
        <w:t xml:space="preserve"> ietvaros noteiktas atlaides nekustamā īpašuma reģistrācijai, atlaides automašīnas ekspluatācijas nodoklim, kultūras pasākumu biļetēm, apjomīgāks atbalsts ģimenei, kas vēlas iegādāties mājok</w:t>
      </w:r>
      <w:r w:rsidR="00167BA9" w:rsidRPr="00595533">
        <w:rPr>
          <w:rFonts w:ascii="Cambria" w:hAnsi="Cambria"/>
          <w:lang w:val="lv-LV"/>
        </w:rPr>
        <w:t>li, izmantojot “Altum” galvojuma programmu, kā arī 2017. gadā ieviestas speciālas atlaides braukšanas maksai starppilsētu sabiedriskajā transportā.</w:t>
      </w:r>
      <w:r w:rsidR="00502FD4" w:rsidRPr="00595533">
        <w:rPr>
          <w:rFonts w:ascii="Cambria" w:hAnsi="Cambria"/>
          <w:lang w:val="lv-LV"/>
        </w:rPr>
        <w:t xml:space="preserve"> Šīs programmas sekmīgā realizāc</w:t>
      </w:r>
      <w:r w:rsidR="00691AA9" w:rsidRPr="00595533">
        <w:rPr>
          <w:rFonts w:ascii="Cambria" w:hAnsi="Cambria"/>
          <w:lang w:val="lv-LV"/>
        </w:rPr>
        <w:t>ijā nozīmīga loma ir valsts, pašvaldību un pri</w:t>
      </w:r>
      <w:r w:rsidR="00502FD4" w:rsidRPr="00595533">
        <w:rPr>
          <w:rFonts w:ascii="Cambria" w:hAnsi="Cambria"/>
          <w:lang w:val="lv-LV"/>
        </w:rPr>
        <w:t xml:space="preserve">vātā sektora </w:t>
      </w:r>
      <w:r w:rsidR="00691AA9" w:rsidRPr="00595533">
        <w:rPr>
          <w:rFonts w:ascii="Cambria" w:hAnsi="Cambria"/>
          <w:lang w:val="lv-LV"/>
        </w:rPr>
        <w:t>institūciju sadarbībai.</w:t>
      </w:r>
    </w:p>
    <w:p w14:paraId="55495B75" w14:textId="66D5F584" w:rsidR="00425777" w:rsidRPr="00595533" w:rsidRDefault="00425777" w:rsidP="00425777">
      <w:pPr>
        <w:rPr>
          <w:rFonts w:ascii="Cambria" w:hAnsi="Cambria"/>
          <w:lang w:val="lv-LV"/>
        </w:rPr>
      </w:pPr>
      <w:r w:rsidRPr="00425777">
        <w:rPr>
          <w:rFonts w:ascii="Cambria" w:hAnsi="Cambria"/>
          <w:lang w:val="lv-LV"/>
        </w:rPr>
        <w:t xml:space="preserve">Lai pēc iespējas mazinātu nabadzības riskus visvairāk tam pakļautajā grupā </w:t>
      </w:r>
      <w:r w:rsidR="00C40FD2">
        <w:rPr>
          <w:rFonts w:ascii="Cambria" w:hAnsi="Cambria"/>
          <w:lang w:val="lv-LV"/>
        </w:rPr>
        <w:t>–</w:t>
      </w:r>
      <w:r w:rsidRPr="00425777">
        <w:rPr>
          <w:rFonts w:ascii="Cambria" w:hAnsi="Cambria"/>
          <w:lang w:val="lv-LV"/>
        </w:rPr>
        <w:t xml:space="preserve"> </w:t>
      </w:r>
      <w:r w:rsidRPr="005541FC">
        <w:rPr>
          <w:rFonts w:ascii="Cambria" w:hAnsi="Cambria"/>
          <w:b/>
          <w:lang w:val="lv-LV"/>
        </w:rPr>
        <w:t>viena vecāka ģimenēs</w:t>
      </w:r>
      <w:r w:rsidR="00C40FD2">
        <w:rPr>
          <w:rFonts w:ascii="Cambria" w:hAnsi="Cambria"/>
          <w:lang w:val="lv-LV"/>
        </w:rPr>
        <w:t> –</w:t>
      </w:r>
      <w:r w:rsidRPr="00425777">
        <w:rPr>
          <w:rFonts w:ascii="Cambria" w:hAnsi="Cambria"/>
          <w:lang w:val="lv-LV"/>
        </w:rPr>
        <w:t xml:space="preserve"> no 2017.</w:t>
      </w:r>
      <w:r w:rsidR="00C40FD2">
        <w:rPr>
          <w:rFonts w:ascii="Cambria" w:hAnsi="Cambria"/>
          <w:lang w:val="lv-LV"/>
        </w:rPr>
        <w:t> </w:t>
      </w:r>
      <w:r w:rsidRPr="00425777">
        <w:rPr>
          <w:rFonts w:ascii="Cambria" w:hAnsi="Cambria"/>
          <w:lang w:val="lv-LV"/>
        </w:rPr>
        <w:t>gada</w:t>
      </w:r>
      <w:r w:rsidR="00C40FD2">
        <w:rPr>
          <w:rFonts w:ascii="Cambria" w:hAnsi="Cambria"/>
          <w:lang w:val="lv-LV"/>
        </w:rPr>
        <w:t xml:space="preserve"> </w:t>
      </w:r>
      <w:r w:rsidRPr="00425777">
        <w:rPr>
          <w:rFonts w:ascii="Cambria" w:hAnsi="Cambria"/>
          <w:lang w:val="lv-LV"/>
        </w:rPr>
        <w:t xml:space="preserve">1. janvāra paaugstināts </w:t>
      </w:r>
      <w:r w:rsidR="00C40FD2">
        <w:rPr>
          <w:rFonts w:ascii="Cambria" w:hAnsi="Cambria"/>
          <w:lang w:val="lv-LV"/>
        </w:rPr>
        <w:t>minimālais uzturlīdzekļu apmērs u</w:t>
      </w:r>
      <w:r w:rsidRPr="00425777">
        <w:rPr>
          <w:rFonts w:ascii="Cambria" w:hAnsi="Cambria"/>
          <w:lang w:val="lv-LV"/>
        </w:rPr>
        <w:t>n izstrādāt</w:t>
      </w:r>
      <w:r w:rsidR="00C40FD2">
        <w:rPr>
          <w:rFonts w:ascii="Cambria" w:hAnsi="Cambria"/>
          <w:lang w:val="lv-LV"/>
        </w:rPr>
        <w:t>a</w:t>
      </w:r>
      <w:r w:rsidRPr="00425777">
        <w:rPr>
          <w:rFonts w:ascii="Cambria" w:hAnsi="Cambria"/>
          <w:lang w:val="lv-LV"/>
        </w:rPr>
        <w:t xml:space="preserve"> atvieglotāka uzturlīdzekļu saņemšanas kārtība.</w:t>
      </w:r>
      <w:r w:rsidR="00C40FD2">
        <w:rPr>
          <w:rFonts w:ascii="Cambria" w:hAnsi="Cambria"/>
          <w:lang w:val="lv-LV"/>
        </w:rPr>
        <w:t xml:space="preserve"> </w:t>
      </w:r>
      <w:r w:rsidRPr="00425777">
        <w:rPr>
          <w:rFonts w:ascii="Cambria" w:hAnsi="Cambria"/>
          <w:lang w:val="lv-LV"/>
        </w:rPr>
        <w:t>Minimālais uzturlīdzekļu apmērs 2017. gadā noteikts</w:t>
      </w:r>
      <w:r w:rsidR="00C40FD2">
        <w:rPr>
          <w:rFonts w:ascii="Cambria" w:hAnsi="Cambria"/>
          <w:lang w:val="lv-LV"/>
        </w:rPr>
        <w:t xml:space="preserve"> </w:t>
      </w:r>
      <w:r w:rsidRPr="00425777">
        <w:rPr>
          <w:rFonts w:ascii="Cambria" w:hAnsi="Cambria"/>
          <w:lang w:val="lv-LV"/>
        </w:rPr>
        <w:t>25% apmērā no valstī noteiktās minimālās mēneša darba algas katram bērnam no viņa dzimšanas līdz 7 gadu vecumam (95 e</w:t>
      </w:r>
      <w:r w:rsidR="0077260D">
        <w:rPr>
          <w:rFonts w:ascii="Cambria" w:hAnsi="Cambria"/>
          <w:lang w:val="lv-LV"/>
        </w:rPr>
        <w:t xml:space="preserve">uro </w:t>
      </w:r>
      <w:r w:rsidRPr="00425777">
        <w:rPr>
          <w:rFonts w:ascii="Cambria" w:hAnsi="Cambria"/>
          <w:lang w:val="lv-LV"/>
        </w:rPr>
        <w:t>mēnesī) un 30% apmērā no valstī noteiktās minimālās mēneša darba algas katram bērnam no 7 gadu vecuma līdz 18 gadu vecuma sasniegšanai (114 eiro</w:t>
      </w:r>
      <w:r w:rsidR="0077260D">
        <w:rPr>
          <w:rFonts w:ascii="Cambria" w:hAnsi="Cambria"/>
          <w:lang w:val="lv-LV"/>
        </w:rPr>
        <w:t xml:space="preserve"> </w:t>
      </w:r>
      <w:r w:rsidRPr="00425777">
        <w:rPr>
          <w:rFonts w:ascii="Cambria" w:hAnsi="Cambria"/>
          <w:lang w:val="lv-LV"/>
        </w:rPr>
        <w:t xml:space="preserve">mēnesī). </w:t>
      </w:r>
      <w:r w:rsidR="0077260D">
        <w:rPr>
          <w:rFonts w:ascii="Cambria" w:hAnsi="Cambria"/>
          <w:lang w:val="lv-LV"/>
        </w:rPr>
        <w:t xml:space="preserve">Tomēr, ņemot vērā </w:t>
      </w:r>
      <w:r w:rsidR="00EF04E0">
        <w:rPr>
          <w:rFonts w:ascii="Cambria" w:hAnsi="Cambria"/>
          <w:lang w:val="lv-LV"/>
        </w:rPr>
        <w:t xml:space="preserve">augsto </w:t>
      </w:r>
      <w:r w:rsidRPr="00425777">
        <w:rPr>
          <w:rFonts w:ascii="Cambria" w:hAnsi="Cambria"/>
          <w:lang w:val="lv-LV"/>
        </w:rPr>
        <w:t>nabadzības risk</w:t>
      </w:r>
      <w:r w:rsidR="00EF04E0">
        <w:rPr>
          <w:rFonts w:ascii="Cambria" w:hAnsi="Cambria"/>
          <w:lang w:val="lv-LV"/>
        </w:rPr>
        <w:t>u</w:t>
      </w:r>
      <w:r w:rsidRPr="00425777">
        <w:rPr>
          <w:rFonts w:ascii="Cambria" w:hAnsi="Cambria"/>
          <w:lang w:val="lv-LV"/>
        </w:rPr>
        <w:t xml:space="preserve"> vien</w:t>
      </w:r>
      <w:r w:rsidR="0077260D">
        <w:rPr>
          <w:rFonts w:ascii="Cambria" w:hAnsi="Cambria"/>
          <w:lang w:val="lv-LV"/>
        </w:rPr>
        <w:t>a</w:t>
      </w:r>
      <w:r w:rsidRPr="00425777">
        <w:rPr>
          <w:rFonts w:ascii="Cambria" w:hAnsi="Cambria"/>
          <w:lang w:val="lv-LV"/>
        </w:rPr>
        <w:t xml:space="preserve"> vecāk</w:t>
      </w:r>
      <w:r w:rsidR="0077260D">
        <w:rPr>
          <w:rFonts w:ascii="Cambria" w:hAnsi="Cambria"/>
          <w:lang w:val="lv-LV"/>
        </w:rPr>
        <w:t>a</w:t>
      </w:r>
      <w:r w:rsidRPr="00425777">
        <w:rPr>
          <w:rFonts w:ascii="Cambria" w:hAnsi="Cambria"/>
          <w:lang w:val="lv-LV"/>
        </w:rPr>
        <w:t xml:space="preserve"> ģimenēs</w:t>
      </w:r>
      <w:r w:rsidR="00EF04E0">
        <w:rPr>
          <w:rFonts w:ascii="Cambria" w:hAnsi="Cambria"/>
          <w:lang w:val="lv-LV"/>
        </w:rPr>
        <w:t>,</w:t>
      </w:r>
      <w:r w:rsidRPr="00425777">
        <w:rPr>
          <w:rFonts w:ascii="Cambria" w:hAnsi="Cambria"/>
          <w:lang w:val="lv-LV"/>
        </w:rPr>
        <w:t xml:space="preserve"> </w:t>
      </w:r>
      <w:r w:rsidR="00EF04E0">
        <w:rPr>
          <w:rFonts w:ascii="Cambria" w:hAnsi="Cambria"/>
          <w:lang w:val="lv-LV"/>
        </w:rPr>
        <w:t xml:space="preserve">garantētais </w:t>
      </w:r>
      <w:r w:rsidRPr="00425777">
        <w:rPr>
          <w:rFonts w:ascii="Cambria" w:hAnsi="Cambria"/>
          <w:lang w:val="lv-LV"/>
        </w:rPr>
        <w:t>atbalst</w:t>
      </w:r>
      <w:r w:rsidR="00EF04E0">
        <w:rPr>
          <w:rFonts w:ascii="Cambria" w:hAnsi="Cambria"/>
          <w:lang w:val="lv-LV"/>
        </w:rPr>
        <w:t>a apjoms visticamāk nav</w:t>
      </w:r>
      <w:r w:rsidRPr="00425777">
        <w:rPr>
          <w:rFonts w:ascii="Cambria" w:hAnsi="Cambria"/>
          <w:lang w:val="lv-LV"/>
        </w:rPr>
        <w:t xml:space="preserve"> pietiekošs un ir jā</w:t>
      </w:r>
      <w:r w:rsidR="007564C1">
        <w:rPr>
          <w:rFonts w:ascii="Cambria" w:hAnsi="Cambria"/>
          <w:lang w:val="lv-LV"/>
        </w:rPr>
        <w:t>piedāvā</w:t>
      </w:r>
      <w:r w:rsidRPr="00425777">
        <w:rPr>
          <w:rFonts w:ascii="Cambria" w:hAnsi="Cambria"/>
          <w:lang w:val="lv-LV"/>
        </w:rPr>
        <w:t xml:space="preserve"> papildus instrumenti ģimenēm, kur</w:t>
      </w:r>
      <w:r w:rsidR="005541FC">
        <w:rPr>
          <w:rFonts w:ascii="Cambria" w:hAnsi="Cambria"/>
          <w:lang w:val="lv-LV"/>
        </w:rPr>
        <w:t>ās</w:t>
      </w:r>
      <w:r w:rsidRPr="00425777">
        <w:rPr>
          <w:rFonts w:ascii="Cambria" w:hAnsi="Cambria"/>
          <w:lang w:val="lv-LV"/>
        </w:rPr>
        <w:t xml:space="preserve"> bērnus audzina viens pieaugušai</w:t>
      </w:r>
      <w:r w:rsidR="00EF04E0">
        <w:rPr>
          <w:rFonts w:ascii="Cambria" w:hAnsi="Cambria"/>
          <w:lang w:val="lv-LV"/>
        </w:rPr>
        <w:t>s</w:t>
      </w:r>
      <w:r w:rsidRPr="00425777">
        <w:rPr>
          <w:rFonts w:ascii="Cambria" w:hAnsi="Cambria"/>
          <w:lang w:val="lv-LV"/>
        </w:rPr>
        <w:t>.</w:t>
      </w:r>
    </w:p>
    <w:p w14:paraId="40A4B426" w14:textId="5D600A3B" w:rsidR="00FB5D6A" w:rsidRPr="00595533" w:rsidRDefault="00FB5D6A" w:rsidP="00FB5D6A">
      <w:pPr>
        <w:rPr>
          <w:rFonts w:ascii="Cambria" w:hAnsi="Cambria" w:cs="Times New Roman"/>
          <w:lang w:val="lv-LV"/>
        </w:rPr>
      </w:pPr>
      <w:r w:rsidRPr="00595533">
        <w:rPr>
          <w:rFonts w:ascii="Cambria" w:hAnsi="Cambria" w:cs="Times New Roman"/>
          <w:lang w:val="lv-LV"/>
        </w:rPr>
        <w:t>Lai sekmētu darba un ģimenes dzīves saskaņošanu un turpinātu nodrošināt sistemātisku un vienlīdzīgu atbalstu vecākiem</w:t>
      </w:r>
      <w:r w:rsidR="001C59CF" w:rsidRPr="00595533">
        <w:rPr>
          <w:rFonts w:ascii="Cambria" w:hAnsi="Cambria" w:cs="Times New Roman"/>
          <w:lang w:val="lv-LV"/>
        </w:rPr>
        <w:t>,</w:t>
      </w:r>
      <w:r w:rsidRPr="00595533">
        <w:rPr>
          <w:rFonts w:ascii="Cambria" w:hAnsi="Cambria" w:cs="Times New Roman"/>
          <w:lang w:val="lv-LV"/>
        </w:rPr>
        <w:t xml:space="preserve"> no 2014.</w:t>
      </w:r>
      <w:r w:rsidR="001C59CF" w:rsidRPr="00595533">
        <w:rPr>
          <w:rFonts w:ascii="Cambria" w:hAnsi="Cambria" w:cs="Times New Roman"/>
          <w:lang w:val="lv-LV"/>
        </w:rPr>
        <w:t xml:space="preserve"> gada </w:t>
      </w:r>
      <w:r w:rsidRPr="00595533">
        <w:rPr>
          <w:rFonts w:ascii="Cambria" w:hAnsi="Cambria" w:cs="Times New Roman"/>
          <w:lang w:val="lv-LV"/>
        </w:rPr>
        <w:t>1.</w:t>
      </w:r>
      <w:r w:rsidR="001C59CF" w:rsidRPr="00595533">
        <w:rPr>
          <w:rFonts w:ascii="Cambria" w:hAnsi="Cambria" w:cs="Times New Roman"/>
          <w:lang w:val="lv-LV"/>
        </w:rPr>
        <w:t> </w:t>
      </w:r>
      <w:r w:rsidRPr="00595533">
        <w:rPr>
          <w:rFonts w:ascii="Cambria" w:hAnsi="Cambria" w:cs="Times New Roman"/>
          <w:lang w:val="lv-LV"/>
        </w:rPr>
        <w:t>janvāra līdz 2016.</w:t>
      </w:r>
      <w:r w:rsidR="001C59CF" w:rsidRPr="00595533">
        <w:rPr>
          <w:rFonts w:ascii="Cambria" w:hAnsi="Cambria" w:cs="Times New Roman"/>
          <w:lang w:val="lv-LV"/>
        </w:rPr>
        <w:t xml:space="preserve"> gada </w:t>
      </w:r>
      <w:r w:rsidRPr="00595533">
        <w:rPr>
          <w:rFonts w:ascii="Cambria" w:hAnsi="Cambria" w:cs="Times New Roman"/>
          <w:lang w:val="lv-LV"/>
        </w:rPr>
        <w:t>31.</w:t>
      </w:r>
      <w:r w:rsidR="001C59CF" w:rsidRPr="00595533">
        <w:rPr>
          <w:rFonts w:ascii="Cambria" w:hAnsi="Cambria" w:cs="Times New Roman"/>
          <w:lang w:val="lv-LV"/>
        </w:rPr>
        <w:t> </w:t>
      </w:r>
      <w:r w:rsidRPr="00595533">
        <w:rPr>
          <w:rFonts w:ascii="Cambria" w:hAnsi="Cambria" w:cs="Times New Roman"/>
          <w:lang w:val="lv-LV"/>
        </w:rPr>
        <w:t>maijam tika piešķ</w:t>
      </w:r>
      <w:r w:rsidR="00381D0C" w:rsidRPr="00595533">
        <w:rPr>
          <w:rFonts w:ascii="Cambria" w:hAnsi="Cambria" w:cs="Times New Roman"/>
          <w:lang w:val="lv-LV"/>
        </w:rPr>
        <w:t xml:space="preserve">irts valsts atbalsts </w:t>
      </w:r>
      <w:r w:rsidR="00381D0C" w:rsidRPr="00595533">
        <w:rPr>
          <w:rFonts w:ascii="Cambria" w:hAnsi="Cambria" w:cs="Times New Roman"/>
          <w:b/>
          <w:lang w:val="lv-LV"/>
        </w:rPr>
        <w:t>privāto</w:t>
      </w:r>
      <w:r w:rsidRPr="00595533">
        <w:rPr>
          <w:rFonts w:ascii="Cambria" w:hAnsi="Cambria" w:cs="Times New Roman"/>
          <w:b/>
          <w:lang w:val="lv-LV"/>
        </w:rPr>
        <w:t xml:space="preserve"> bērnu uzraudzības pakalpojumu </w:t>
      </w:r>
      <w:r w:rsidR="00381D0C" w:rsidRPr="00595533">
        <w:rPr>
          <w:rFonts w:ascii="Cambria" w:hAnsi="Cambria" w:cs="Times New Roman"/>
          <w:b/>
          <w:lang w:val="lv-LV"/>
        </w:rPr>
        <w:t>nodrošināšanai</w:t>
      </w:r>
      <w:r w:rsidRPr="00595533">
        <w:rPr>
          <w:rFonts w:ascii="Cambria" w:hAnsi="Cambria" w:cs="Times New Roman"/>
          <w:lang w:val="lv-LV"/>
        </w:rPr>
        <w:t xml:space="preserve"> tiem vecākiem, kuru bērniem pēc pusotra gada vecuma nebija vietas pašvaldības pirmsskolas izglītības iestādē.</w:t>
      </w:r>
      <w:r w:rsidR="00381D0C" w:rsidRPr="00595533">
        <w:rPr>
          <w:rFonts w:ascii="Cambria" w:hAnsi="Cambria" w:cs="Times New Roman"/>
          <w:lang w:val="lv-LV"/>
        </w:rPr>
        <w:t xml:space="preserve"> Šobrīd, ievērojot vienotu</w:t>
      </w:r>
      <w:r w:rsidR="00691AA9" w:rsidRPr="00595533">
        <w:rPr>
          <w:rFonts w:ascii="Cambria" w:hAnsi="Cambria" w:cs="Times New Roman"/>
          <w:lang w:val="lv-LV"/>
        </w:rPr>
        <w:t xml:space="preserve"> regulējumu, atbalsta sniegšanu</w:t>
      </w:r>
      <w:r w:rsidR="00381D0C" w:rsidRPr="00595533">
        <w:rPr>
          <w:rFonts w:ascii="Cambria" w:hAnsi="Cambria" w:cs="Times New Roman"/>
          <w:lang w:val="lv-LV"/>
        </w:rPr>
        <w:t xml:space="preserve"> nodrošina pašvaldības. </w:t>
      </w:r>
    </w:p>
    <w:p w14:paraId="5C407A65" w14:textId="3161F2A6" w:rsidR="00FB5D6A" w:rsidRPr="006E2A51" w:rsidRDefault="00FB5D6A" w:rsidP="00025A31">
      <w:pPr>
        <w:rPr>
          <w:rFonts w:ascii="Cambria" w:hAnsi="Cambria" w:cs="Times New Roman"/>
          <w:lang w:val="lv-LV"/>
        </w:rPr>
      </w:pPr>
      <w:r w:rsidRPr="00595533">
        <w:rPr>
          <w:rFonts w:ascii="Cambria" w:hAnsi="Cambria" w:cs="Times New Roman"/>
          <w:lang w:val="lv-LV"/>
        </w:rPr>
        <w:t>Sākot no 2015.</w:t>
      </w:r>
      <w:r w:rsidR="00381D0C" w:rsidRPr="00595533">
        <w:rPr>
          <w:rFonts w:ascii="Cambria" w:hAnsi="Cambria" w:cs="Times New Roman"/>
          <w:lang w:val="lv-LV"/>
        </w:rPr>
        <w:t> </w:t>
      </w:r>
      <w:r w:rsidRPr="00595533">
        <w:rPr>
          <w:rFonts w:ascii="Cambria" w:hAnsi="Cambria" w:cs="Times New Roman"/>
          <w:lang w:val="lv-LV"/>
        </w:rPr>
        <w:t>gada 1.</w:t>
      </w:r>
      <w:r w:rsidR="00381D0C" w:rsidRPr="00595533">
        <w:rPr>
          <w:rFonts w:ascii="Cambria" w:hAnsi="Cambria" w:cs="Times New Roman"/>
          <w:lang w:val="lv-LV"/>
        </w:rPr>
        <w:t> </w:t>
      </w:r>
      <w:r w:rsidRPr="00595533">
        <w:rPr>
          <w:rFonts w:ascii="Cambria" w:hAnsi="Cambria" w:cs="Times New Roman"/>
          <w:lang w:val="lv-LV"/>
        </w:rPr>
        <w:t>augusta LM īsteno ES Nodarbinātības un sociālās inovācijas</w:t>
      </w:r>
      <w:r w:rsidR="00381D0C" w:rsidRPr="00595533">
        <w:rPr>
          <w:rFonts w:ascii="Cambria" w:hAnsi="Cambria" w:cs="Times New Roman"/>
          <w:lang w:val="lv-LV"/>
        </w:rPr>
        <w:t xml:space="preserve"> programmas (EaSI) līdzfinansētu projektu, kura </w:t>
      </w:r>
      <w:r w:rsidRPr="00595533">
        <w:rPr>
          <w:rFonts w:ascii="Cambria" w:hAnsi="Cambria" w:cs="Times New Roman"/>
          <w:lang w:val="lv-LV"/>
        </w:rPr>
        <w:t xml:space="preserve">ietvaros tiek attīstīti elastīgi bērnu aprūpes pakalpojumi bērnu vecākiem, kas strādā nestandarta darba laiku. Lai arī kopumā ekspertu skatījumā </w:t>
      </w:r>
      <w:r w:rsidR="00381D0C" w:rsidRPr="00595533">
        <w:rPr>
          <w:rFonts w:ascii="Cambria" w:hAnsi="Cambria" w:cs="Times New Roman"/>
          <w:lang w:val="lv-LV"/>
        </w:rPr>
        <w:t>projekta īstenošana sekmējusies</w:t>
      </w:r>
      <w:r w:rsidRPr="00595533">
        <w:rPr>
          <w:rFonts w:ascii="Cambria" w:hAnsi="Cambria" w:cs="Times New Roman"/>
          <w:lang w:val="lv-LV"/>
        </w:rPr>
        <w:t xml:space="preserve"> salīdzinoši veiksmīgi, zemā darba devēju atsaucība un </w:t>
      </w:r>
      <w:r w:rsidR="00381D0C" w:rsidRPr="00595533">
        <w:rPr>
          <w:rFonts w:ascii="Cambria" w:hAnsi="Cambria" w:cs="Times New Roman"/>
          <w:lang w:val="lv-LV"/>
        </w:rPr>
        <w:t>nevēlēšanās iesaistīties projektā</w:t>
      </w:r>
      <w:r w:rsidRPr="00595533">
        <w:rPr>
          <w:rFonts w:ascii="Cambria" w:hAnsi="Cambria" w:cs="Times New Roman"/>
          <w:lang w:val="lv-LV"/>
        </w:rPr>
        <w:t xml:space="preserve"> liecina par izpratnes trūkumu sabiedrībā un potenciālo ieguvu</w:t>
      </w:r>
      <w:r w:rsidR="00381D0C" w:rsidRPr="00595533">
        <w:rPr>
          <w:rFonts w:ascii="Cambria" w:hAnsi="Cambria" w:cs="Times New Roman"/>
          <w:lang w:val="lv-LV"/>
        </w:rPr>
        <w:t>mu</w:t>
      </w:r>
      <w:r w:rsidRPr="00595533">
        <w:rPr>
          <w:rFonts w:ascii="Cambria" w:hAnsi="Cambria" w:cs="Times New Roman"/>
          <w:lang w:val="lv-LV"/>
        </w:rPr>
        <w:t xml:space="preserve"> zemo novērtējumu. </w:t>
      </w:r>
      <w:r w:rsidR="00381D0C" w:rsidRPr="00595533">
        <w:rPr>
          <w:rFonts w:ascii="Cambria" w:hAnsi="Cambria" w:cs="Times New Roman"/>
          <w:lang w:val="lv-LV"/>
        </w:rPr>
        <w:t>Ņemot verā minēto, ir j</w:t>
      </w:r>
      <w:r w:rsidRPr="00595533">
        <w:rPr>
          <w:rFonts w:ascii="Cambria" w:hAnsi="Cambria" w:cs="Times New Roman"/>
          <w:lang w:val="lv-LV"/>
        </w:rPr>
        <w:t>āturpina īstenot pamatotas un izsvērtas izmaiņas, lai sakārtotu pirmsskolas vecuma bērnu pieskatīšanas sistēmu tā, lai bērnu aprūpe būtu pieejam</w:t>
      </w:r>
      <w:r w:rsidR="00381D0C" w:rsidRPr="00595533">
        <w:rPr>
          <w:rFonts w:ascii="Cambria" w:hAnsi="Cambria" w:cs="Times New Roman"/>
          <w:lang w:val="lv-LV"/>
        </w:rPr>
        <w:t>a</w:t>
      </w:r>
      <w:r w:rsidRPr="00595533">
        <w:rPr>
          <w:rFonts w:ascii="Cambria" w:hAnsi="Cambria" w:cs="Times New Roman"/>
          <w:lang w:val="lv-LV"/>
        </w:rPr>
        <w:t xml:space="preserve"> visiem bērniem, </w:t>
      </w:r>
      <w:r w:rsidR="00381D0C" w:rsidRPr="00595533">
        <w:rPr>
          <w:rFonts w:ascii="Cambria" w:hAnsi="Cambria" w:cs="Times New Roman"/>
          <w:lang w:val="lv-LV"/>
        </w:rPr>
        <w:t>aprūpes veidi</w:t>
      </w:r>
      <w:r w:rsidRPr="00595533">
        <w:rPr>
          <w:rFonts w:ascii="Cambria" w:hAnsi="Cambria" w:cs="Times New Roman"/>
          <w:lang w:val="lv-LV"/>
        </w:rPr>
        <w:t xml:space="preserve"> būtu daudzveidīgi un elastīgi at</w:t>
      </w:r>
      <w:r w:rsidR="00381D0C" w:rsidRPr="00595533">
        <w:rPr>
          <w:rFonts w:ascii="Cambria" w:hAnsi="Cambria" w:cs="Times New Roman"/>
          <w:lang w:val="lv-LV"/>
        </w:rPr>
        <w:t xml:space="preserve">karībā no </w:t>
      </w:r>
      <w:r w:rsidR="00E4053F" w:rsidRPr="00595533">
        <w:rPr>
          <w:rFonts w:ascii="Cambria" w:hAnsi="Cambria" w:cs="Times New Roman"/>
          <w:lang w:val="lv-LV"/>
        </w:rPr>
        <w:t>vecāku izvēles un darba laika</w:t>
      </w:r>
      <w:r w:rsidRPr="00595533">
        <w:rPr>
          <w:rFonts w:ascii="Cambria" w:hAnsi="Cambria" w:cs="Times New Roman"/>
          <w:lang w:val="lv-LV"/>
        </w:rPr>
        <w:t>.</w:t>
      </w:r>
      <w:r w:rsidR="00E4053F" w:rsidRPr="00595533">
        <w:rPr>
          <w:rFonts w:ascii="Cambria" w:hAnsi="Cambria" w:cs="Times New Roman"/>
          <w:lang w:val="lv-LV"/>
        </w:rPr>
        <w:t xml:space="preserve"> Vienlaikus j</w:t>
      </w:r>
      <w:r w:rsidRPr="00595533">
        <w:rPr>
          <w:rFonts w:ascii="Cambria" w:hAnsi="Cambria" w:cs="Times New Roman"/>
          <w:lang w:val="lv-LV"/>
        </w:rPr>
        <w:t>āveicina darba un privātās dzīves līdzsvara popularizēšana un ieviešanas prakse, jāuzlabo darba devēju izpratne par darba un privātās dzīves līdzsvara i</w:t>
      </w:r>
      <w:r w:rsidR="00E4053F" w:rsidRPr="00595533">
        <w:rPr>
          <w:rFonts w:ascii="Cambria" w:hAnsi="Cambria" w:cs="Times New Roman"/>
          <w:lang w:val="lv-LV"/>
        </w:rPr>
        <w:t xml:space="preserve">etekmi uz </w:t>
      </w:r>
      <w:r w:rsidR="00E4053F" w:rsidRPr="00595533">
        <w:rPr>
          <w:rFonts w:ascii="Cambria" w:hAnsi="Cambria" w:cs="Times New Roman"/>
          <w:lang w:val="lv-LV"/>
        </w:rPr>
        <w:lastRenderedPageBreak/>
        <w:t>darba produktivitāti, kā arī p</w:t>
      </w:r>
      <w:r w:rsidRPr="00595533">
        <w:rPr>
          <w:rFonts w:ascii="Cambria" w:hAnsi="Cambria" w:cs="Times New Roman"/>
          <w:lang w:val="lv-LV"/>
        </w:rPr>
        <w:t xml:space="preserve">ēc </w:t>
      </w:r>
      <w:r w:rsidRPr="006E2A51">
        <w:rPr>
          <w:rFonts w:ascii="Cambria" w:hAnsi="Cambria" w:cs="Times New Roman"/>
          <w:lang w:val="lv-LV"/>
        </w:rPr>
        <w:t xml:space="preserve">projekta „Elastīga bērnu uzraudzības pakalpojuma nodrošināšana darbiniekiem, kas strādā nestandarta darba laiku” īstenošanas ietekmes novērtējuma izstrādes </w:t>
      </w:r>
      <w:r w:rsidR="00E4053F" w:rsidRPr="006E2A51">
        <w:rPr>
          <w:rFonts w:ascii="Cambria" w:hAnsi="Cambria" w:cs="Times New Roman"/>
          <w:lang w:val="lv-LV"/>
        </w:rPr>
        <w:t>jāvērtē iespējas</w:t>
      </w:r>
      <w:r w:rsidRPr="006E2A51">
        <w:rPr>
          <w:rFonts w:ascii="Cambria" w:hAnsi="Cambria" w:cs="Times New Roman"/>
          <w:lang w:val="lv-LV"/>
        </w:rPr>
        <w:t xml:space="preserve"> turpinā</w:t>
      </w:r>
      <w:r w:rsidR="00E4053F" w:rsidRPr="006E2A51">
        <w:rPr>
          <w:rFonts w:ascii="Cambria" w:hAnsi="Cambria" w:cs="Times New Roman"/>
          <w:lang w:val="lv-LV"/>
        </w:rPr>
        <w:t>t uzsākto</w:t>
      </w:r>
      <w:r w:rsidRPr="006E2A51">
        <w:rPr>
          <w:rFonts w:ascii="Cambria" w:hAnsi="Cambria" w:cs="Times New Roman"/>
          <w:lang w:val="lv-LV"/>
        </w:rPr>
        <w:t>.</w:t>
      </w:r>
    </w:p>
    <w:p w14:paraId="7CF64342" w14:textId="2435A3A0" w:rsidR="00FB5D6A" w:rsidRPr="00595533" w:rsidRDefault="00FB5D6A" w:rsidP="00E4053F">
      <w:pPr>
        <w:rPr>
          <w:rFonts w:ascii="Cambria" w:hAnsi="Cambria"/>
          <w:lang w:val="lv-LV"/>
        </w:rPr>
      </w:pPr>
      <w:r w:rsidRPr="006E2A51">
        <w:rPr>
          <w:rFonts w:ascii="Cambria" w:hAnsi="Cambria"/>
          <w:lang w:val="lv-LV"/>
        </w:rPr>
        <w:t xml:space="preserve">Lai sniegtu </w:t>
      </w:r>
      <w:r w:rsidRPr="006E2A51">
        <w:rPr>
          <w:rFonts w:ascii="Cambria" w:hAnsi="Cambria"/>
          <w:b/>
          <w:lang w:val="lv-LV"/>
        </w:rPr>
        <w:t>atbalstu ģimenēm un indivīdiem krīzes situācijās</w:t>
      </w:r>
      <w:r w:rsidRPr="006E2A51">
        <w:rPr>
          <w:rFonts w:ascii="Cambria" w:hAnsi="Cambria"/>
          <w:lang w:val="lv-LV"/>
        </w:rPr>
        <w:t>, Valsts</w:t>
      </w:r>
      <w:r w:rsidRPr="00595533">
        <w:rPr>
          <w:rFonts w:ascii="Cambria" w:hAnsi="Cambria"/>
          <w:lang w:val="lv-LV"/>
        </w:rPr>
        <w:t xml:space="preserve"> bērnu tiesību inspekcija (VBTA</w:t>
      </w:r>
      <w:r w:rsidR="00E4053F" w:rsidRPr="00595533">
        <w:rPr>
          <w:rFonts w:ascii="Cambria" w:hAnsi="Cambria"/>
          <w:lang w:val="lv-LV"/>
        </w:rPr>
        <w:t>I) nodrošina Bērnu un pusaudžu u</w:t>
      </w:r>
      <w:r w:rsidRPr="00595533">
        <w:rPr>
          <w:rFonts w:ascii="Cambria" w:hAnsi="Cambria"/>
          <w:lang w:val="lv-LV"/>
        </w:rPr>
        <w:t>zticības tālruņa 116111 darbību, tādejādi sniedzot psiholoģiskās konsultācijas un palīdzību smagos un nozīmīgos krīzes gadījumos. Strādājot 24 stundu režīmā</w:t>
      </w:r>
      <w:r w:rsidR="00E4053F" w:rsidRPr="00595533">
        <w:rPr>
          <w:rFonts w:ascii="Cambria" w:hAnsi="Cambria"/>
          <w:lang w:val="lv-LV"/>
        </w:rPr>
        <w:t>,</w:t>
      </w:r>
      <w:r w:rsidRPr="00595533">
        <w:rPr>
          <w:rFonts w:ascii="Cambria" w:hAnsi="Cambria"/>
          <w:lang w:val="lv-LV"/>
        </w:rPr>
        <w:t xml:space="preserve"> konsultācijas bieži ir saistītas ar smagām psiholoģiskām krīzēm (suicīdu, vardarbību)</w:t>
      </w:r>
      <w:r w:rsidR="00E4053F" w:rsidRPr="00595533">
        <w:rPr>
          <w:rFonts w:ascii="Cambria" w:hAnsi="Cambria"/>
          <w:lang w:val="lv-LV"/>
        </w:rPr>
        <w:t>.</w:t>
      </w:r>
      <w:r w:rsidRPr="00595533">
        <w:rPr>
          <w:rFonts w:ascii="Cambria" w:hAnsi="Cambria"/>
          <w:lang w:val="lv-LV"/>
        </w:rPr>
        <w:t xml:space="preserve"> </w:t>
      </w:r>
    </w:p>
    <w:p w14:paraId="0E7F2467" w14:textId="3D24D73D" w:rsidR="00FB5D6A" w:rsidRPr="00595533" w:rsidRDefault="00FB5D6A" w:rsidP="00E4053F">
      <w:pPr>
        <w:rPr>
          <w:rFonts w:ascii="Cambria" w:hAnsi="Cambria"/>
          <w:lang w:val="lv-LV"/>
        </w:rPr>
      </w:pPr>
      <w:r w:rsidRPr="00595533">
        <w:rPr>
          <w:rFonts w:ascii="Cambria" w:hAnsi="Cambria"/>
          <w:lang w:val="lv-LV"/>
        </w:rPr>
        <w:t>Lai paaugstinātu speciālistu profesionalitāti darbam ar bērniem un pilnveidotu darba efektivitāti, kā arī lai mazinātu vardarbību ģimenē, vienlaikus nodrošinot sabiedrības izglī</w:t>
      </w:r>
      <w:r w:rsidR="00E4053F" w:rsidRPr="00595533">
        <w:rPr>
          <w:rFonts w:ascii="Cambria" w:hAnsi="Cambria"/>
          <w:lang w:val="lv-LV"/>
        </w:rPr>
        <w:t>tošanu par vardarbību, no 2016. gada 14. </w:t>
      </w:r>
      <w:r w:rsidRPr="00595533">
        <w:rPr>
          <w:rFonts w:ascii="Cambria" w:hAnsi="Cambria"/>
          <w:lang w:val="lv-LV"/>
        </w:rPr>
        <w:t>aprīļa līdz 2021.</w:t>
      </w:r>
      <w:r w:rsidR="00E4053F" w:rsidRPr="00595533">
        <w:rPr>
          <w:rFonts w:ascii="Cambria" w:hAnsi="Cambria"/>
          <w:lang w:val="lv-LV"/>
        </w:rPr>
        <w:t> </w:t>
      </w:r>
      <w:r w:rsidRPr="00595533">
        <w:rPr>
          <w:rFonts w:ascii="Cambria" w:hAnsi="Cambria"/>
          <w:lang w:val="lv-LV"/>
        </w:rPr>
        <w:t>gada 13.</w:t>
      </w:r>
      <w:r w:rsidR="00E4053F" w:rsidRPr="00595533">
        <w:rPr>
          <w:rFonts w:ascii="Cambria" w:hAnsi="Cambria"/>
          <w:lang w:val="lv-LV"/>
        </w:rPr>
        <w:t> </w:t>
      </w:r>
      <w:r w:rsidRPr="00595533">
        <w:rPr>
          <w:rFonts w:ascii="Cambria" w:hAnsi="Cambria"/>
          <w:lang w:val="lv-LV"/>
        </w:rPr>
        <w:t>martam VBTAI īsteno ESF līdzfinansēto projektu "Atbalsta sistēmas pilnveide bērniem ar saskarsmes grūtībām, uzvedības traucējumiem un vardarbību ģimenē".</w:t>
      </w:r>
    </w:p>
    <w:p w14:paraId="3EA44CC6" w14:textId="509D3D10" w:rsidR="00FB5D6A" w:rsidRPr="00595533" w:rsidRDefault="00FB5D6A" w:rsidP="00E4053F">
      <w:pPr>
        <w:rPr>
          <w:rFonts w:ascii="Cambria" w:hAnsi="Cambria"/>
          <w:lang w:val="lv-LV"/>
        </w:rPr>
      </w:pPr>
      <w:r w:rsidRPr="00595533">
        <w:rPr>
          <w:rFonts w:ascii="Cambria" w:hAnsi="Cambria"/>
          <w:lang w:val="lv-LV"/>
        </w:rPr>
        <w:t>Ar mērķi paaugstināt pašvaldību sociālo dienestu darba efektivitāti un pilnveidot pašvaldību sociālā darba speciālistu profesionālo kompetenci, kas ir viens no nozīmīgākajiem faktoriem, lai personas krīzes situācijā saņemtu maksimāli kvalitatīv</w:t>
      </w:r>
      <w:r w:rsidR="00E4053F" w:rsidRPr="00595533">
        <w:rPr>
          <w:rFonts w:ascii="Cambria" w:hAnsi="Cambria"/>
          <w:lang w:val="lv-LV"/>
        </w:rPr>
        <w:t>u un efektīvu atbalstu no 2015. </w:t>
      </w:r>
      <w:r w:rsidRPr="00595533">
        <w:rPr>
          <w:rFonts w:ascii="Cambria" w:hAnsi="Cambria"/>
          <w:lang w:val="lv-LV"/>
        </w:rPr>
        <w:t>gada aprīļa līdz 2022. gada decembrim Labklājības ministrija īsteno ESF projektu “Profesionāla sociā</w:t>
      </w:r>
      <w:r w:rsidR="00E4053F" w:rsidRPr="00595533">
        <w:rPr>
          <w:rFonts w:ascii="Cambria" w:hAnsi="Cambria"/>
          <w:lang w:val="lv-LV"/>
        </w:rPr>
        <w:t>lā darba attīstība pašvaldībās”.</w:t>
      </w:r>
    </w:p>
    <w:p w14:paraId="40221B1A" w14:textId="487561CF" w:rsidR="00FB5D6A" w:rsidRPr="00595533" w:rsidRDefault="00FB5D6A" w:rsidP="00E4053F">
      <w:pPr>
        <w:rPr>
          <w:rFonts w:ascii="Cambria" w:hAnsi="Cambria"/>
          <w:lang w:val="lv-LV"/>
        </w:rPr>
      </w:pPr>
      <w:r w:rsidRPr="00595533">
        <w:rPr>
          <w:rFonts w:ascii="Cambria" w:hAnsi="Cambria"/>
          <w:lang w:val="lv-LV"/>
        </w:rPr>
        <w:t>Domājot par atbalstu ģimenēm un indivīdiem krīzes sit</w:t>
      </w:r>
      <w:r w:rsidR="00E4053F" w:rsidRPr="00595533">
        <w:rPr>
          <w:rFonts w:ascii="Cambria" w:hAnsi="Cambria"/>
          <w:lang w:val="lv-LV"/>
        </w:rPr>
        <w:t>uācijās, noteikti ir turpināma u</w:t>
      </w:r>
      <w:r w:rsidRPr="00595533">
        <w:rPr>
          <w:rFonts w:ascii="Cambria" w:hAnsi="Cambria"/>
          <w:lang w:val="lv-LV"/>
        </w:rPr>
        <w:t>zticības tālruņa 116111 darbības nodrošināšana. Pēc projekta "Atbalsta sistēmas pilnveide bērniem ar saskarsmes grūtībām, uzvedības traucējumiem un vardarbību ģimenē" ietekmes izvērtējuma plānots, ka projekta ilgtspēja tiks nodrošināta turpmāk no valsts budžeta, papildus veidojot arī reģionālās konsultatīvās nodaļas atbalsta saņemšanai pēc iespējas tuvāk dzīvesvietai. Viennozīmīgi jānodrošina arī turpmāka</w:t>
      </w:r>
      <w:r w:rsidR="00691AA9" w:rsidRPr="00595533">
        <w:rPr>
          <w:rFonts w:ascii="Cambria" w:hAnsi="Cambria"/>
          <w:lang w:val="lv-LV"/>
        </w:rPr>
        <w:t>s</w:t>
      </w:r>
      <w:r w:rsidRPr="00595533">
        <w:rPr>
          <w:rFonts w:ascii="Cambria" w:hAnsi="Cambria"/>
          <w:lang w:val="lv-LV"/>
        </w:rPr>
        <w:t xml:space="preserve"> sociālo darbinieku apmācības un supervīzijas. </w:t>
      </w:r>
    </w:p>
    <w:p w14:paraId="567D99F1" w14:textId="51C479A7" w:rsidR="004B29F7" w:rsidRPr="00595533" w:rsidRDefault="004B29F7" w:rsidP="004B29F7">
      <w:pPr>
        <w:rPr>
          <w:rFonts w:ascii="Cambria" w:hAnsi="Cambria"/>
          <w:lang w:val="lv-LV"/>
        </w:rPr>
      </w:pPr>
      <w:r w:rsidRPr="00595533">
        <w:rPr>
          <w:rFonts w:ascii="Cambria" w:hAnsi="Cambria"/>
          <w:lang w:val="lv-LV"/>
        </w:rPr>
        <w:t xml:space="preserve">Laika posmā līdz 2017. gadam </w:t>
      </w:r>
      <w:r w:rsidRPr="00595533">
        <w:rPr>
          <w:rFonts w:ascii="Cambria" w:hAnsi="Cambria"/>
          <w:b/>
          <w:lang w:val="lv-LV"/>
        </w:rPr>
        <w:t xml:space="preserve">bērnu noziedzības novēršanas un bērnu aizsardzības </w:t>
      </w:r>
      <w:r w:rsidRPr="00595533">
        <w:rPr>
          <w:rFonts w:ascii="Cambria" w:hAnsi="Cambria"/>
          <w:lang w:val="lv-LV"/>
        </w:rPr>
        <w:t xml:space="preserve">politikas īstenošanai tika piešķirts valsts budžeta finansējums 3,9 </w:t>
      </w:r>
      <w:r w:rsidR="00486B18" w:rsidRPr="00595533">
        <w:rPr>
          <w:rFonts w:ascii="Cambria" w:hAnsi="Cambria"/>
          <w:lang w:val="lv-LV"/>
        </w:rPr>
        <w:t>mlj</w:t>
      </w:r>
      <w:r w:rsidRPr="00595533">
        <w:rPr>
          <w:rFonts w:ascii="Cambria" w:hAnsi="Cambria"/>
          <w:lang w:val="lv-LV"/>
        </w:rPr>
        <w:t>. euro apmērā</w:t>
      </w:r>
      <w:r w:rsidR="00691AA9" w:rsidRPr="00595533">
        <w:rPr>
          <w:rFonts w:ascii="Cambria" w:hAnsi="Cambria"/>
          <w:lang w:val="lv-LV"/>
        </w:rPr>
        <w:t xml:space="preserve">, tomēr šīs finansējums nebija paredzēts </w:t>
      </w:r>
      <w:r w:rsidRPr="00595533">
        <w:rPr>
          <w:rFonts w:ascii="Cambria" w:hAnsi="Cambria"/>
          <w:lang w:val="lv-LV"/>
        </w:rPr>
        <w:t xml:space="preserve">Iekšlietu ministrijas identificētajiem pasākumiem bērnu noziedzības novēršanai, bet gan </w:t>
      </w:r>
      <w:r w:rsidR="007564C1">
        <w:rPr>
          <w:rFonts w:ascii="Cambria" w:hAnsi="Cambria"/>
          <w:lang w:val="lv-LV"/>
        </w:rPr>
        <w:t>TM</w:t>
      </w:r>
      <w:r w:rsidRPr="00595533">
        <w:rPr>
          <w:rFonts w:ascii="Cambria" w:hAnsi="Cambria"/>
          <w:lang w:val="lv-LV"/>
        </w:rPr>
        <w:t xml:space="preserve"> juridisk</w:t>
      </w:r>
      <w:r w:rsidR="00691AA9" w:rsidRPr="00595533">
        <w:rPr>
          <w:rFonts w:ascii="Cambria" w:hAnsi="Cambria"/>
          <w:lang w:val="lv-LV"/>
        </w:rPr>
        <w:t xml:space="preserve">ās palīdzības nodrošināšanai, tai </w:t>
      </w:r>
      <w:r w:rsidRPr="00595533">
        <w:rPr>
          <w:rFonts w:ascii="Cambria" w:hAnsi="Cambria"/>
          <w:lang w:val="lv-LV"/>
        </w:rPr>
        <w:t>sk</w:t>
      </w:r>
      <w:r w:rsidR="00691AA9" w:rsidRPr="00595533">
        <w:rPr>
          <w:rFonts w:ascii="Cambria" w:hAnsi="Cambria"/>
          <w:lang w:val="lv-LV"/>
        </w:rPr>
        <w:t>aitā</w:t>
      </w:r>
      <w:r w:rsidRPr="00595533">
        <w:rPr>
          <w:rFonts w:ascii="Cambria" w:hAnsi="Cambria"/>
          <w:lang w:val="lv-LV"/>
        </w:rPr>
        <w:t xml:space="preserve"> nepilngadīgajiem cietušajiem. Tādejādi piešķirtais fin</w:t>
      </w:r>
      <w:r w:rsidR="00691AA9" w:rsidRPr="00595533">
        <w:rPr>
          <w:rFonts w:ascii="Cambria" w:hAnsi="Cambria"/>
          <w:lang w:val="lv-LV"/>
        </w:rPr>
        <w:t>ansējums tikai pastarpināti</w:t>
      </w:r>
      <w:r w:rsidRPr="00595533">
        <w:rPr>
          <w:rFonts w:ascii="Cambria" w:hAnsi="Cambria"/>
          <w:lang w:val="lv-LV"/>
        </w:rPr>
        <w:t xml:space="preserve"> vērsts uz sākotnēji identificēto politikas mērķu sasniegšanu.</w:t>
      </w:r>
    </w:p>
    <w:p w14:paraId="180FB149" w14:textId="15250702" w:rsidR="00FB5D6A" w:rsidRPr="00595533" w:rsidRDefault="004B29F7" w:rsidP="004B29F7">
      <w:pPr>
        <w:rPr>
          <w:rFonts w:ascii="Cambria" w:hAnsi="Cambria"/>
          <w:lang w:val="lv-LV"/>
        </w:rPr>
      </w:pPr>
      <w:r w:rsidRPr="00595533">
        <w:rPr>
          <w:rFonts w:ascii="Cambria" w:hAnsi="Cambria"/>
          <w:lang w:val="lv-LV"/>
        </w:rPr>
        <w:t>Lai uzlabotu bērnu drošību, Valsts policijā ir izveidota</w:t>
      </w:r>
      <w:r w:rsidR="00FB5D6A" w:rsidRPr="00595533">
        <w:rPr>
          <w:rFonts w:ascii="Cambria" w:hAnsi="Cambria"/>
          <w:lang w:val="lv-LV"/>
        </w:rPr>
        <w:t xml:space="preserve"> struktūrvienība, kuras pamatuzdevums ir noziedzīgu nodarījumu pret dzimumneaizskaramību, tajā skaitā bērnu seksuālas </w:t>
      </w:r>
      <w:r w:rsidRPr="00595533">
        <w:rPr>
          <w:rFonts w:ascii="Cambria" w:hAnsi="Cambria"/>
          <w:lang w:val="lv-LV"/>
        </w:rPr>
        <w:t>izmantošanas, apkarošana. Tāpat</w:t>
      </w:r>
      <w:r w:rsidR="00FB5D6A" w:rsidRPr="00595533">
        <w:rPr>
          <w:rFonts w:ascii="Cambria" w:hAnsi="Cambria"/>
          <w:lang w:val="lv-LV"/>
        </w:rPr>
        <w:t xml:space="preserve"> tiek izstrādāts tiesiskais regulējums bērnu antisociālās uzvedības prevencijai un sodu palielināšanai par fizisku un emocionālu vardarbību pret bērnu. Ir izveidota </w:t>
      </w:r>
      <w:r w:rsidRPr="00595533">
        <w:rPr>
          <w:rFonts w:ascii="Cambria" w:hAnsi="Cambria"/>
          <w:lang w:val="lv-LV"/>
        </w:rPr>
        <w:t xml:space="preserve">arī </w:t>
      </w:r>
      <w:r w:rsidR="00FB5D6A" w:rsidRPr="00595533">
        <w:rPr>
          <w:rFonts w:ascii="Cambria" w:hAnsi="Cambria"/>
          <w:lang w:val="lv-LV"/>
        </w:rPr>
        <w:t>Bērnu tiesību lietu sadarbības padome, kura sekmē dažādu institūciju saskaņotu darbību bērnu tiesību aizsardzībā. Vienlaikus būtiskākais faktors, kas kavē efektīvas bērnu noziedzības novēršanas un aizsardzības politikas īstenošanu, ir nepietiekama sadarbība starp iesaistītaj</w:t>
      </w:r>
      <w:r w:rsidRPr="00595533">
        <w:rPr>
          <w:rFonts w:ascii="Cambria" w:hAnsi="Cambria"/>
          <w:lang w:val="lv-LV"/>
        </w:rPr>
        <w:t>ām</w:t>
      </w:r>
      <w:r w:rsidR="00FB5D6A" w:rsidRPr="00595533">
        <w:rPr>
          <w:rFonts w:ascii="Cambria" w:hAnsi="Cambria"/>
          <w:lang w:val="lv-LV"/>
        </w:rPr>
        <w:t xml:space="preserve"> </w:t>
      </w:r>
      <w:r w:rsidRPr="00595533">
        <w:rPr>
          <w:rFonts w:ascii="Cambria" w:hAnsi="Cambria"/>
          <w:lang w:val="lv-LV"/>
        </w:rPr>
        <w:t>pusēm</w:t>
      </w:r>
      <w:r w:rsidR="00FB5D6A" w:rsidRPr="00595533">
        <w:rPr>
          <w:rFonts w:ascii="Cambria" w:hAnsi="Cambria"/>
          <w:lang w:val="lv-LV"/>
        </w:rPr>
        <w:t>. Lai to novērstu, tika izveidota Nepilngadīgo personu informācijas s</w:t>
      </w:r>
      <w:r w:rsidRPr="00595533">
        <w:rPr>
          <w:rFonts w:ascii="Cambria" w:hAnsi="Cambria"/>
          <w:lang w:val="lv-LV"/>
        </w:rPr>
        <w:t>istēma, tomēr nepieciešama iesaistīto institūciju</w:t>
      </w:r>
      <w:r w:rsidR="00FB5D6A" w:rsidRPr="00595533">
        <w:rPr>
          <w:rFonts w:ascii="Cambria" w:hAnsi="Cambria"/>
          <w:lang w:val="lv-LV"/>
        </w:rPr>
        <w:t xml:space="preserve"> </w:t>
      </w:r>
      <w:r w:rsidRPr="00595533">
        <w:rPr>
          <w:rFonts w:ascii="Cambria" w:hAnsi="Cambria"/>
          <w:lang w:val="lv-LV"/>
        </w:rPr>
        <w:t>lielāka aktivitāte sistēmas izmantošanā</w:t>
      </w:r>
      <w:r w:rsidR="00FB5D6A" w:rsidRPr="00595533">
        <w:rPr>
          <w:rFonts w:ascii="Cambria" w:hAnsi="Cambria"/>
          <w:lang w:val="lv-LV"/>
        </w:rPr>
        <w:t>.</w:t>
      </w:r>
    </w:p>
    <w:p w14:paraId="2A9D8709" w14:textId="623F1FA3" w:rsidR="00025A31" w:rsidRPr="00595533" w:rsidRDefault="00025A31" w:rsidP="008A06F1">
      <w:pPr>
        <w:rPr>
          <w:rFonts w:ascii="Cambria" w:hAnsi="Cambria"/>
          <w:lang w:val="lv-LV"/>
        </w:rPr>
      </w:pPr>
      <w:r w:rsidRPr="00595533">
        <w:rPr>
          <w:rFonts w:ascii="Cambria" w:hAnsi="Cambria"/>
          <w:lang w:val="lv-LV"/>
        </w:rPr>
        <w:t>Priekšnosacījums ikviena bērna pilnvērtīgai attīstībai ir aprūpe ģimenē, kur bērnam ir iespēja saņemt nepieciešamo psihoemocionālo atbalstu. Bērnam, lai viņš varētu piln</w:t>
      </w:r>
      <w:r w:rsidR="00E0535E">
        <w:rPr>
          <w:rFonts w:ascii="Cambria" w:hAnsi="Cambria"/>
          <w:lang w:val="lv-LV"/>
        </w:rPr>
        <w:t>vērt</w:t>
      </w:r>
      <w:r w:rsidRPr="00595533">
        <w:rPr>
          <w:rFonts w:ascii="Cambria" w:hAnsi="Cambria"/>
          <w:lang w:val="lv-LV"/>
        </w:rPr>
        <w:t xml:space="preserve">īgi un harmoniski attīstīties kā personība, jāaug ģimenes vidē, laimes, mīlestības un izpratnes atmosfērā, jo ģimene ir dabīgā vide bērna augšanai, labklājībai un aizsardzībai. Šī uzdevuma īstenošanas rezultāti ir cieši saistīti ar deinstitucionalizācijas procesu (NAP2020 uzdevums Nr.250), kuru īsteno Labklājības ministrija, Latvijas plānošanas reģioni un pašvaldības. Projekta ietvaros ar ES fondu finansējuma atbalstu pašvaldībās tiek ieviests plašs pakalpojumu klāsts, lai bērni, kas šobrīd dzīvo bērnu </w:t>
      </w:r>
      <w:r w:rsidRPr="00595533">
        <w:rPr>
          <w:rFonts w:ascii="Cambria" w:hAnsi="Cambria"/>
          <w:lang w:val="lv-LV"/>
        </w:rPr>
        <w:lastRenderedPageBreak/>
        <w:t xml:space="preserve">aprūpes iestādēs, varētu </w:t>
      </w:r>
      <w:r w:rsidRPr="00595533">
        <w:rPr>
          <w:rFonts w:ascii="Cambria" w:hAnsi="Cambria"/>
          <w:b/>
          <w:lang w:val="lv-LV"/>
        </w:rPr>
        <w:t>augt ģimeniskā vidē</w:t>
      </w:r>
      <w:r w:rsidRPr="00595533">
        <w:rPr>
          <w:rFonts w:ascii="Cambria" w:hAnsi="Cambria"/>
          <w:lang w:val="lv-LV"/>
        </w:rPr>
        <w:t xml:space="preserve"> un bērni ar funkcionāliem traucējumiem, kuri dzīvo ģimenēs, varētu saņemt sociālo aprūpi un rehabi</w:t>
      </w:r>
      <w:r w:rsidR="008A06F1" w:rsidRPr="00595533">
        <w:rPr>
          <w:rFonts w:ascii="Cambria" w:hAnsi="Cambria"/>
          <w:lang w:val="lv-LV"/>
        </w:rPr>
        <w:t>litāciju savā pašvaldībā. 2016. </w:t>
      </w:r>
      <w:r w:rsidRPr="00595533">
        <w:rPr>
          <w:rFonts w:ascii="Cambria" w:hAnsi="Cambria"/>
          <w:lang w:val="lv-LV"/>
        </w:rPr>
        <w:t>gadā tik</w:t>
      </w:r>
      <w:r w:rsidR="00691AA9" w:rsidRPr="00595533">
        <w:rPr>
          <w:rFonts w:ascii="Cambria" w:hAnsi="Cambria"/>
          <w:lang w:val="lv-LV"/>
        </w:rPr>
        <w:t>a</w:t>
      </w:r>
      <w:r w:rsidRPr="00595533">
        <w:rPr>
          <w:rFonts w:ascii="Cambria" w:hAnsi="Cambria"/>
          <w:lang w:val="lv-LV"/>
        </w:rPr>
        <w:t xml:space="preserve"> atbalstīta </w:t>
      </w:r>
      <w:r w:rsidR="00691AA9" w:rsidRPr="00595533">
        <w:rPr>
          <w:rFonts w:ascii="Cambria" w:hAnsi="Cambria"/>
          <w:bCs/>
          <w:lang w:val="lv-LV"/>
        </w:rPr>
        <w:t>k</w:t>
      </w:r>
      <w:r w:rsidRPr="00595533">
        <w:rPr>
          <w:rFonts w:ascii="Cambria" w:hAnsi="Cambria"/>
          <w:bCs/>
          <w:lang w:val="lv-LV"/>
        </w:rPr>
        <w:t xml:space="preserve">oncepcija „Par adopcijas un ārpusģimenes aprūpes sistēmu pilnveidošanu”, kas satur pasākumu kompleksu adoptētāju, aizbildņu un audžuģimeņu atbalstam, radot priekšnosacījumus adoptētāju, aizbildņu un audžuģimeņu skaita pieaugumam. </w:t>
      </w:r>
      <w:r w:rsidR="008A06F1" w:rsidRPr="00595533">
        <w:rPr>
          <w:rFonts w:ascii="Cambria" w:hAnsi="Cambria"/>
          <w:lang w:val="lv-LV"/>
        </w:rPr>
        <w:t>Ar 2017. gadu tiek nodrošināta atlīdzība</w:t>
      </w:r>
      <w:r w:rsidRPr="00595533">
        <w:rPr>
          <w:rFonts w:ascii="Cambria" w:hAnsi="Cambria"/>
          <w:lang w:val="lv-LV"/>
        </w:rPr>
        <w:t xml:space="preserve"> par </w:t>
      </w:r>
      <w:r w:rsidR="008A06F1" w:rsidRPr="00595533">
        <w:rPr>
          <w:rFonts w:ascii="Cambria" w:hAnsi="Cambria"/>
          <w:lang w:val="lv-LV"/>
        </w:rPr>
        <w:t>adoptējamā bērna aprūpi</w:t>
      </w:r>
      <w:r w:rsidRPr="00595533">
        <w:rPr>
          <w:rFonts w:ascii="Cambria" w:hAnsi="Cambria"/>
          <w:lang w:val="lv-LV"/>
        </w:rPr>
        <w:t>, nosakot to bērna līdz 1,5 gada v</w:t>
      </w:r>
      <w:r w:rsidR="008A06F1" w:rsidRPr="00595533">
        <w:rPr>
          <w:rFonts w:ascii="Cambria" w:hAnsi="Cambria"/>
          <w:lang w:val="lv-LV"/>
        </w:rPr>
        <w:t>ecumam kopšanas pabalsta apmērā</w:t>
      </w:r>
      <w:r w:rsidRPr="00595533">
        <w:rPr>
          <w:rFonts w:ascii="Cambria" w:hAnsi="Cambria"/>
          <w:lang w:val="lv-LV"/>
        </w:rPr>
        <w:t xml:space="preserve"> jeb 171 euro, kā arī pabalsts aizbildnim par bērna uzturēšanu, palielinot to līdz valstī noteiktajam minimālo uzturlīdzekļu apmēram. Potenciālajiem adoptētājiem tiek nodrošinātas apmācības, psiholoģiskās konsultācijas un organizētas atbalsta grupas.</w:t>
      </w:r>
    </w:p>
    <w:p w14:paraId="78523A36" w14:textId="623682FC" w:rsidR="00025A31" w:rsidRPr="00595533" w:rsidRDefault="00025A31" w:rsidP="008A06F1">
      <w:pPr>
        <w:rPr>
          <w:rFonts w:ascii="Cambria" w:hAnsi="Cambria"/>
          <w:lang w:val="lv-LV"/>
        </w:rPr>
      </w:pPr>
      <w:r w:rsidRPr="00595533">
        <w:rPr>
          <w:rFonts w:ascii="Cambria" w:hAnsi="Cambria"/>
          <w:bCs/>
          <w:lang w:val="lv-LV"/>
        </w:rPr>
        <w:t>Arī 2</w:t>
      </w:r>
      <w:r w:rsidR="008A06F1" w:rsidRPr="00595533">
        <w:rPr>
          <w:rFonts w:ascii="Cambria" w:hAnsi="Cambria"/>
          <w:bCs/>
          <w:lang w:val="lv-LV"/>
        </w:rPr>
        <w:t>018. </w:t>
      </w:r>
      <w:r w:rsidR="00E0535E">
        <w:rPr>
          <w:rFonts w:ascii="Cambria" w:hAnsi="Cambria"/>
          <w:bCs/>
          <w:lang w:val="lv-LV"/>
        </w:rPr>
        <w:t>gadā piešķirti finanšu līdzekļi</w:t>
      </w:r>
      <w:r w:rsidRPr="00595533">
        <w:rPr>
          <w:rFonts w:ascii="Cambria" w:hAnsi="Cambria"/>
          <w:bCs/>
          <w:lang w:val="lv-LV"/>
        </w:rPr>
        <w:t xml:space="preserve"> šīs sistēmas pilnveidei, vienlaikus plānots pievērsties sociālo dienestu kapacitātes stiprināšanai. </w:t>
      </w:r>
      <w:r w:rsidRPr="00595533">
        <w:rPr>
          <w:rFonts w:ascii="Cambria" w:hAnsi="Cambria"/>
          <w:lang w:val="lv-LV"/>
        </w:rPr>
        <w:t>Neskatoties uz normatīvajos aktos noteikto, ka bāreņiem un bez vecāku gādības palikušajiem bērniem nodrošināma aprū</w:t>
      </w:r>
      <w:r w:rsidR="008A06F1" w:rsidRPr="00595533">
        <w:rPr>
          <w:rFonts w:ascii="Cambria" w:hAnsi="Cambria"/>
          <w:lang w:val="lv-LV"/>
        </w:rPr>
        <w:t>pe ģimeniskā vidē </w:t>
      </w:r>
      <w:r w:rsidRPr="00595533">
        <w:rPr>
          <w:rFonts w:ascii="Cambria" w:hAnsi="Cambria"/>
          <w:lang w:val="lv-LV"/>
        </w:rPr>
        <w:t xml:space="preserve">— pie aizbildņa vai audžuģimenē, un tikai tad, ja tas nav iespējams, aprūpe tiek nodrošināta aprūpes institūcijā, vēl aizvien bērni prioritāri tiek ievietoti aprūpes institūcijās. Pašvaldības turpina finansēt ārpusģimenes aprūpes pakalpojumus bērnu aprūpes iestādēs, </w:t>
      </w:r>
      <w:r w:rsidR="008A06F1" w:rsidRPr="00595533">
        <w:rPr>
          <w:rFonts w:ascii="Cambria" w:hAnsi="Cambria"/>
          <w:lang w:val="lv-LV"/>
        </w:rPr>
        <w:t>kas saistīts ar nepietiekamo audžuģimeņu un aizbildņu skaitu</w:t>
      </w:r>
      <w:r w:rsidRPr="00595533">
        <w:rPr>
          <w:rFonts w:ascii="Cambria" w:hAnsi="Cambria"/>
          <w:lang w:val="lv-LV"/>
        </w:rPr>
        <w:t>.</w:t>
      </w:r>
    </w:p>
    <w:p w14:paraId="02D87AB3" w14:textId="4D54584C" w:rsidR="00025A31" w:rsidRPr="00595533" w:rsidRDefault="00025A31" w:rsidP="008A06F1">
      <w:pPr>
        <w:rPr>
          <w:rFonts w:ascii="Cambria" w:hAnsi="Cambria"/>
          <w:lang w:val="lv-LV"/>
        </w:rPr>
      </w:pPr>
      <w:r w:rsidRPr="00595533">
        <w:rPr>
          <w:rFonts w:ascii="Cambria" w:hAnsi="Cambria"/>
          <w:bCs/>
          <w:lang w:val="lv-LV"/>
        </w:rPr>
        <w:t>Attiecībā uz jauniešu ga</w:t>
      </w:r>
      <w:r w:rsidR="008A06F1" w:rsidRPr="00595533">
        <w:rPr>
          <w:rFonts w:ascii="Cambria" w:hAnsi="Cambria"/>
          <w:bCs/>
          <w:lang w:val="lv-LV"/>
        </w:rPr>
        <w:t>tavību uzsākt patstāvīgu dzīvi</w:t>
      </w:r>
      <w:r w:rsidRPr="00595533">
        <w:rPr>
          <w:rFonts w:ascii="Cambria" w:hAnsi="Cambria"/>
          <w:bCs/>
          <w:lang w:val="lv-LV"/>
        </w:rPr>
        <w:t xml:space="preserve"> </w:t>
      </w:r>
      <w:r w:rsidRPr="00595533">
        <w:rPr>
          <w:rFonts w:ascii="Cambria" w:hAnsi="Cambria"/>
          <w:lang w:val="lv-LV"/>
        </w:rPr>
        <w:t>pašvaldības sociālajam dienestam ir noteikts pienākums pēc informācijas par jaunieša pilngadības sasniegšanu un ārpusģimenes aprūpes beigšanos, izvērtēt katra jaunieša vajadzības un resursus un sniegt nepieciešamo atbalstu, kā arī vismaz divus gadus pēc patstāvīgas dzīves uzsākšanas novērtēt jaunieša sociālās situācijas izmaiņas. Pilnīgu uzdevuma īstenošanu apgrūtina vēl joprojām lielais sociālo darbinieku trūkums pašvaldības sociālajos dienestos, kas dažkārt kavē sociālo die</w:t>
      </w:r>
      <w:r w:rsidR="008A06F1" w:rsidRPr="00595533">
        <w:rPr>
          <w:rFonts w:ascii="Cambria" w:hAnsi="Cambria"/>
          <w:lang w:val="lv-LV"/>
        </w:rPr>
        <w:t>nestu funkciju tiešu izpildi, tai skaitā</w:t>
      </w:r>
      <w:r w:rsidRPr="00595533">
        <w:rPr>
          <w:rFonts w:ascii="Cambria" w:hAnsi="Cambria"/>
          <w:lang w:val="lv-LV"/>
        </w:rPr>
        <w:t xml:space="preserve">, attiecībā uz pilngadību sasniegušiem bāreņiem vai bez vecāku gādības palikušiem bērniem. </w:t>
      </w:r>
    </w:p>
    <w:p w14:paraId="635AF7FB" w14:textId="6FBCAD4D" w:rsidR="00025A31" w:rsidRPr="00595533" w:rsidRDefault="00025A31" w:rsidP="008A06F1">
      <w:pPr>
        <w:rPr>
          <w:rFonts w:ascii="Cambria" w:hAnsi="Cambria"/>
          <w:lang w:val="lv-LV"/>
        </w:rPr>
      </w:pPr>
      <w:r w:rsidRPr="00595533">
        <w:rPr>
          <w:rFonts w:ascii="Cambria" w:hAnsi="Cambria"/>
          <w:lang w:val="lv-LV"/>
        </w:rPr>
        <w:t xml:space="preserve">Domājot par pēctecības nodrošināšanu, tā </w:t>
      </w:r>
      <w:r w:rsidR="008A06F1" w:rsidRPr="00595533">
        <w:rPr>
          <w:rFonts w:ascii="Cambria" w:hAnsi="Cambria"/>
          <w:lang w:val="lv-LV"/>
        </w:rPr>
        <w:t xml:space="preserve">nākotnē </w:t>
      </w:r>
      <w:r w:rsidRPr="00595533">
        <w:rPr>
          <w:rFonts w:ascii="Cambria" w:hAnsi="Cambria"/>
          <w:lang w:val="lv-LV"/>
        </w:rPr>
        <w:t>būtu nodrošināma visiem jaunizveidotajiem sabiedrībā balstītajiem sociālajiem pakalpojumiem, kā arī izveidotajām reģionālajām aģentūrām un specializētajām audžuģimenēm.</w:t>
      </w:r>
    </w:p>
    <w:p w14:paraId="28385FEF" w14:textId="77777777" w:rsidR="00384533" w:rsidRPr="00595533" w:rsidRDefault="00384533" w:rsidP="00384533">
      <w:pPr>
        <w:pStyle w:val="NoSpacing"/>
        <w:rPr>
          <w:sz w:val="10"/>
          <w:szCs w:val="10"/>
          <w:lang w:val="lv-LV"/>
        </w:rPr>
      </w:pPr>
    </w:p>
    <w:p w14:paraId="0894D027" w14:textId="77777777" w:rsidR="00B21C7B" w:rsidRPr="00595533" w:rsidRDefault="00B21C7B" w:rsidP="00B21C7B">
      <w:pPr>
        <w:pStyle w:val="Heading3"/>
        <w:rPr>
          <w:lang w:val="lv-LV"/>
        </w:rPr>
      </w:pPr>
      <w:bookmarkStart w:id="49" w:name="_Toc498690631"/>
      <w:r w:rsidRPr="00595533">
        <w:rPr>
          <w:lang w:val="lv-LV"/>
        </w:rPr>
        <w:t>PROGRESA NOVĒRTĒJUMS</w:t>
      </w:r>
      <w:bookmarkEnd w:id="49"/>
    </w:p>
    <w:p w14:paraId="7C26C55E" w14:textId="77777777" w:rsidR="009B535A" w:rsidRPr="00595533" w:rsidRDefault="009B535A" w:rsidP="009B535A">
      <w:pPr>
        <w:rPr>
          <w:lang w:val="lv-LV"/>
        </w:rPr>
      </w:pPr>
      <w:r w:rsidRPr="009B535A">
        <w:rPr>
          <w:lang w:val="lv-LV"/>
        </w:rPr>
        <w:t xml:space="preserve">Rīcības virziena </w:t>
      </w:r>
      <w:r w:rsidRPr="009B535A">
        <w:rPr>
          <w:i/>
          <w:lang w:val="lv-LV"/>
        </w:rPr>
        <w:t>Stabili pamati tautas ataudzei</w:t>
      </w:r>
      <w:r w:rsidRPr="009B535A">
        <w:rPr>
          <w:lang w:val="lv-LV"/>
        </w:rPr>
        <w:t xml:space="preserve"> mērķu sasniegšanai sākotnēji tika plānots investēt kopumā 287,9 mlj. euro. Uz starpposma izvērtējuma brīdi rīcības virziena uzdevumu īstenošanai ir apzinātas kopējās investīcijas 184,9 mlj. euro apmērā jeb 64,2% no sākotnēji plānotā. No minētajām investīcijām absolūti lielāko daļu jeb 94,1% veido nacionālais finansējums, savukārt ES fondu finansējums sastāda vien 5% un cits ārvalstu finansējums attiecīgi 0,9%.</w:t>
      </w:r>
    </w:p>
    <w:p w14:paraId="707B7D3B" w14:textId="77777777" w:rsidR="00B16BA8" w:rsidRPr="00595533" w:rsidRDefault="00DB4541" w:rsidP="00F37DD4">
      <w:pPr>
        <w:rPr>
          <w:lang w:val="lv-LV"/>
        </w:rPr>
      </w:pPr>
      <w:r w:rsidRPr="00595533">
        <w:rPr>
          <w:lang w:val="lv-LV"/>
        </w:rPr>
        <w:t>Līdzšinējais progress rādītājā par jaundzimušo bērnu skaitu liecin</w:t>
      </w:r>
      <w:r w:rsidR="00733A7C" w:rsidRPr="00595533">
        <w:rPr>
          <w:lang w:val="lv-LV"/>
        </w:rPr>
        <w:t>ājis</w:t>
      </w:r>
      <w:r w:rsidRPr="00595533">
        <w:rPr>
          <w:lang w:val="lv-LV"/>
        </w:rPr>
        <w:t xml:space="preserve">, ka mērķis veicināt dzimstību tiek </w:t>
      </w:r>
      <w:r w:rsidR="00733A7C" w:rsidRPr="00595533">
        <w:rPr>
          <w:lang w:val="lv-LV"/>
        </w:rPr>
        <w:t>sekmīgi īstenots</w:t>
      </w:r>
      <w:r w:rsidRPr="00595533">
        <w:rPr>
          <w:lang w:val="lv-LV"/>
        </w:rPr>
        <w:t>, jo līdz šim katru gadu jaundzimušo bērnu skaits bijis lielāks nekā iepriekšējā gadā. Tomēr kopš 2016. gada</w:t>
      </w:r>
      <w:r w:rsidR="00733A7C" w:rsidRPr="00595533">
        <w:rPr>
          <w:lang w:val="lv-LV"/>
        </w:rPr>
        <w:t xml:space="preserve"> izmaiņas rādītājā praktiski nav vērojamas, proti, gan 2015., gan 2016.gadā dzimis līdzīgs bērnu skaits (21979 2015. gadā un 21968 bērni 2016. gadā). Tas raisa bažas, ka izvirzītais mērķis par jaundzimušo bērnu skaitu 2020. gadā (24 000 bērnu atbilstoši reālistiskai prognozei un 28 000 bērnu atbilstoši optimistiskai prognozei) varētu netikt sasniegts. </w:t>
      </w:r>
    </w:p>
    <w:p w14:paraId="1291E273" w14:textId="02EF16C7" w:rsidR="00C02BF8" w:rsidRPr="00595533" w:rsidRDefault="00B16BA8" w:rsidP="00F37DD4">
      <w:pPr>
        <w:rPr>
          <w:lang w:val="lv-LV"/>
        </w:rPr>
      </w:pPr>
      <w:r w:rsidRPr="00595533">
        <w:rPr>
          <w:lang w:val="lv-LV"/>
        </w:rPr>
        <w:t>Nākotnes prognozes NAP2020 lielā mērā tika balstītas uz priekšnosacījumu, ka pieaugs ģimeņu skaits ar diviem un vairāk bērniem, tomēr, kā rāda statistikas dati, izmaiņas rādītājā par iedzīvotāju skaitu, kuri dzīvo ģimenē ar diviem vai vairāk bērniem, kopš 2014.</w:t>
      </w:r>
      <w:r w:rsidR="000016C4" w:rsidRPr="00595533">
        <w:rPr>
          <w:lang w:val="lv-LV"/>
        </w:rPr>
        <w:t> </w:t>
      </w:r>
      <w:r w:rsidRPr="00595533">
        <w:rPr>
          <w:lang w:val="lv-LV"/>
        </w:rPr>
        <w:t>gada praktiski nav vērojamas (16,5% 2016.</w:t>
      </w:r>
      <w:r w:rsidR="000016C4" w:rsidRPr="00595533">
        <w:rPr>
          <w:lang w:val="lv-LV"/>
        </w:rPr>
        <w:t> </w:t>
      </w:r>
      <w:r w:rsidRPr="00595533">
        <w:rPr>
          <w:lang w:val="lv-LV"/>
        </w:rPr>
        <w:t xml:space="preserve">gadā), un šis īpatsvars ir viens no zemākajiem </w:t>
      </w:r>
      <w:r w:rsidR="000C5AE1">
        <w:rPr>
          <w:lang w:val="lv-LV"/>
        </w:rPr>
        <w:t>Ei</w:t>
      </w:r>
      <w:r w:rsidR="00595533" w:rsidRPr="00595533">
        <w:rPr>
          <w:lang w:val="lv-LV"/>
        </w:rPr>
        <w:t>ro</w:t>
      </w:r>
      <w:r w:rsidRPr="00595533">
        <w:rPr>
          <w:lang w:val="lv-LV"/>
        </w:rPr>
        <w:t>pas Savienības valstu vidū.</w:t>
      </w:r>
    </w:p>
    <w:p w14:paraId="15F0B5C6" w14:textId="3CD814D9" w:rsidR="00F37DD4" w:rsidRPr="00595533" w:rsidRDefault="00C02BF8" w:rsidP="00F37DD4">
      <w:pPr>
        <w:rPr>
          <w:lang w:val="lv-LV"/>
        </w:rPr>
      </w:pPr>
      <w:r w:rsidRPr="00595533">
        <w:rPr>
          <w:lang w:val="lv-LV"/>
        </w:rPr>
        <w:lastRenderedPageBreak/>
        <w:t>Vienlaikus pozitīvas izmaiņas vērojamas attiecībā uz nabadzības risku mazināšanos ģimenēs ar bērniem. Kopš 2014. gada par 9% samazinājies</w:t>
      </w:r>
      <w:r w:rsidR="00B16BA8" w:rsidRPr="00595533">
        <w:rPr>
          <w:lang w:val="lv-LV"/>
        </w:rPr>
        <w:t xml:space="preserve"> </w:t>
      </w:r>
      <w:r w:rsidR="00733A7C" w:rsidRPr="00595533">
        <w:rPr>
          <w:lang w:val="lv-LV"/>
        </w:rPr>
        <w:t xml:space="preserve"> </w:t>
      </w:r>
      <w:r w:rsidRPr="00595533">
        <w:rPr>
          <w:lang w:val="lv-LV"/>
        </w:rPr>
        <w:t xml:space="preserve">nabadzības riskam pakļauto daudzbērnu ģimeņu skaits, bet nabadzības riskam pakļauto viena vecāka ģimeņu īpatsvars samazinājies </w:t>
      </w:r>
      <w:r w:rsidR="000016C4" w:rsidRPr="00595533">
        <w:rPr>
          <w:lang w:val="lv-LV"/>
        </w:rPr>
        <w:t xml:space="preserve">vien </w:t>
      </w:r>
      <w:r w:rsidRPr="00595533">
        <w:rPr>
          <w:lang w:val="lv-LV"/>
        </w:rPr>
        <w:t>par 2,6%.</w:t>
      </w:r>
      <w:r w:rsidR="005E1CD9" w:rsidRPr="00595533">
        <w:rPr>
          <w:lang w:val="lv-LV"/>
        </w:rPr>
        <w:t xml:space="preserve"> </w:t>
      </w:r>
      <w:r w:rsidR="00733A7C" w:rsidRPr="00595533">
        <w:rPr>
          <w:lang w:val="lv-LV"/>
        </w:rPr>
        <w:t xml:space="preserve"> </w:t>
      </w:r>
    </w:p>
    <w:p w14:paraId="7AB26F16" w14:textId="4A45C88D" w:rsidR="000016C4" w:rsidRPr="00595533" w:rsidRDefault="007F7FD2" w:rsidP="000016C4">
      <w:pPr>
        <w:pStyle w:val="attelunosaukums"/>
      </w:pPr>
      <w:r>
        <w:t>19</w:t>
      </w:r>
      <w:r w:rsidR="000016C4" w:rsidRPr="00595533">
        <w:t xml:space="preserve">.attēls.  </w:t>
      </w:r>
      <w:r w:rsidR="00773A6D" w:rsidRPr="00595533">
        <w:t>Nabadzības riska indekss</w:t>
      </w:r>
      <w:r w:rsidR="000016C4" w:rsidRPr="00595533">
        <w:t xml:space="preserve"> ģimenēs ar bērniem (%)</w:t>
      </w:r>
    </w:p>
    <w:p w14:paraId="09804ECA" w14:textId="77777777" w:rsidR="003654BA" w:rsidRDefault="003654BA">
      <w:pPr>
        <w:rPr>
          <w:lang w:val="lv-LV"/>
        </w:rPr>
      </w:pPr>
      <w:r>
        <w:rPr>
          <w:noProof/>
          <w:lang w:val="lv-LV" w:eastAsia="lv-LV"/>
        </w:rPr>
        <w:drawing>
          <wp:inline distT="0" distB="0" distL="0" distR="0" wp14:anchorId="646D4D2B" wp14:editId="788A1498">
            <wp:extent cx="4746625" cy="3093057"/>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08E660" w14:textId="1A5B4379" w:rsidR="00A32E61" w:rsidRPr="00595533" w:rsidRDefault="005E1CD9">
      <w:pPr>
        <w:rPr>
          <w:lang w:val="lv-LV"/>
        </w:rPr>
      </w:pPr>
      <w:r w:rsidRPr="00595533">
        <w:rPr>
          <w:lang w:val="lv-LV"/>
        </w:rPr>
        <w:t xml:space="preserve">Neskatoties uz to, ka indikatoru rādītāju analīze liecina par kopumā drīzāk sekmīgu virzību uz NAP2020 nosprausto mērķu sasniegšanu ģimenes politikas jomā, </w:t>
      </w:r>
      <w:r w:rsidR="009E22A1" w:rsidRPr="00595533">
        <w:rPr>
          <w:lang w:val="lv-LV"/>
        </w:rPr>
        <w:t xml:space="preserve">eksperti politikas attīstību vērtē kritiski. </w:t>
      </w:r>
      <w:r w:rsidR="004A47CE" w:rsidRPr="00595533">
        <w:rPr>
          <w:lang w:val="lv-LV"/>
        </w:rPr>
        <w:t>71%</w:t>
      </w:r>
      <w:r w:rsidR="00A32E61" w:rsidRPr="00595533">
        <w:rPr>
          <w:lang w:val="lv-LV"/>
        </w:rPr>
        <w:t xml:space="preserve"> viedokļu līderu progresu saistībā ar virzību uz tautas ataudzes mērķu sasniegšanu vērtē kā nesekmīgu vai drīzā</w:t>
      </w:r>
      <w:r w:rsidRPr="00595533">
        <w:rPr>
          <w:lang w:val="lv-LV"/>
        </w:rPr>
        <w:t>k nesekmīgu un tikai 22%</w:t>
      </w:r>
      <w:r w:rsidR="00A32E61" w:rsidRPr="00595533">
        <w:rPr>
          <w:lang w:val="lv-LV"/>
        </w:rPr>
        <w:t xml:space="preserve"> ekspertu uzskata, ka progress ir drīzāk sekmīgs. Vēl kritiskāk tiek vērtēts progress attiecībā uz mērķi mazināt nabadzības risku ģimenēm ar bērniem – to kā nesekmīgu vai drīz</w:t>
      </w:r>
      <w:r w:rsidR="004A47CE" w:rsidRPr="00595533">
        <w:rPr>
          <w:lang w:val="lv-LV"/>
        </w:rPr>
        <w:t>āk nesekmīgu kopumā vērtējuši 76</w:t>
      </w:r>
      <w:r w:rsidR="00A32E61" w:rsidRPr="00595533">
        <w:rPr>
          <w:lang w:val="lv-LV"/>
        </w:rPr>
        <w:t>% viedokļu līderu. Vispozitīvāk viedokļu līderu skatījum</w:t>
      </w:r>
      <w:r w:rsidR="004A47CE" w:rsidRPr="00595533">
        <w:rPr>
          <w:lang w:val="lv-LV"/>
        </w:rPr>
        <w:t xml:space="preserve">ā tiek vērtēta virzība </w:t>
      </w:r>
      <w:r w:rsidR="00A32E61" w:rsidRPr="00595533">
        <w:rPr>
          <w:lang w:val="lv-LV"/>
        </w:rPr>
        <w:t>uz ģimeniskas vai ģimenei pietuvinātas vides nodrošināšanu bērniem.</w:t>
      </w:r>
    </w:p>
    <w:p w14:paraId="4FF6B6BE" w14:textId="77777777" w:rsidR="007E4B37" w:rsidRPr="00595533" w:rsidRDefault="009E22A1">
      <w:pPr>
        <w:rPr>
          <w:lang w:val="lv-LV"/>
        </w:rPr>
      </w:pPr>
      <w:r w:rsidRPr="00595533">
        <w:rPr>
          <w:lang w:val="lv-LV"/>
        </w:rPr>
        <w:t>G</w:t>
      </w:r>
      <w:r w:rsidR="00A32E61" w:rsidRPr="00595533">
        <w:rPr>
          <w:lang w:val="lv-LV"/>
        </w:rPr>
        <w:t xml:space="preserve">alvenais iemesls tam, kāpēc jaundzimušo skaits nepieaug apbilstoši </w:t>
      </w:r>
      <w:r w:rsidRPr="00595533">
        <w:rPr>
          <w:lang w:val="lv-LV"/>
        </w:rPr>
        <w:t xml:space="preserve">mērķa </w:t>
      </w:r>
      <w:r w:rsidR="00A32E61" w:rsidRPr="00595533">
        <w:rPr>
          <w:lang w:val="lv-LV"/>
        </w:rPr>
        <w:t xml:space="preserve">prognozēm, </w:t>
      </w:r>
      <w:r w:rsidRPr="00595533">
        <w:rPr>
          <w:lang w:val="lv-LV"/>
        </w:rPr>
        <w:t>pēc viedokļu līderu domām ir</w:t>
      </w:r>
      <w:r w:rsidR="00A32E61" w:rsidRPr="00595533">
        <w:rPr>
          <w:lang w:val="lv-LV"/>
        </w:rPr>
        <w:t xml:space="preserve"> nepilnības ģimeņu ar </w:t>
      </w:r>
      <w:r w:rsidR="007E4B37" w:rsidRPr="00595533">
        <w:rPr>
          <w:lang w:val="lv-LV"/>
        </w:rPr>
        <w:t>bērniem atbalsta sistēmā, proti:</w:t>
      </w:r>
    </w:p>
    <w:p w14:paraId="73AE0562" w14:textId="159052BA" w:rsidR="007E4B37" w:rsidRPr="00595533" w:rsidRDefault="00A32E61" w:rsidP="007E4B37">
      <w:pPr>
        <w:pStyle w:val="ListParagraph"/>
        <w:numPr>
          <w:ilvl w:val="0"/>
          <w:numId w:val="1"/>
        </w:numPr>
        <w:rPr>
          <w:lang w:val="lv-LV"/>
        </w:rPr>
      </w:pPr>
      <w:r w:rsidRPr="00595533">
        <w:rPr>
          <w:lang w:val="lv-LV"/>
        </w:rPr>
        <w:t xml:space="preserve">grūti nodrošināt ģimenes un darba dzīves savienošanas iespējas, ja sievietēm netiek sniegtas pietiekamas sociālās garantijas, </w:t>
      </w:r>
    </w:p>
    <w:p w14:paraId="4053F981" w14:textId="77777777" w:rsidR="007E4B37" w:rsidRPr="00595533" w:rsidRDefault="007E4B37" w:rsidP="007E4B37">
      <w:pPr>
        <w:pStyle w:val="ListParagraph"/>
        <w:numPr>
          <w:ilvl w:val="0"/>
          <w:numId w:val="1"/>
        </w:numPr>
        <w:rPr>
          <w:lang w:val="lv-LV"/>
        </w:rPr>
      </w:pPr>
      <w:r w:rsidRPr="00595533">
        <w:rPr>
          <w:lang w:val="lv-LV"/>
        </w:rPr>
        <w:t xml:space="preserve">pastāv </w:t>
      </w:r>
      <w:r w:rsidR="00A32E61" w:rsidRPr="00595533">
        <w:rPr>
          <w:lang w:val="lv-LV"/>
        </w:rPr>
        <w:t xml:space="preserve">grūtības ar veselības aprūpes pakalpojumu pieejamību bērniem, </w:t>
      </w:r>
    </w:p>
    <w:p w14:paraId="66FEE787" w14:textId="7097935E" w:rsidR="00A32E61" w:rsidRPr="00595533" w:rsidRDefault="00A32E61" w:rsidP="007E4B37">
      <w:pPr>
        <w:pStyle w:val="ListParagraph"/>
        <w:numPr>
          <w:ilvl w:val="0"/>
          <w:numId w:val="1"/>
        </w:numPr>
        <w:rPr>
          <w:lang w:val="lv-LV"/>
        </w:rPr>
      </w:pPr>
      <w:r w:rsidRPr="00595533">
        <w:rPr>
          <w:lang w:val="lv-LV"/>
        </w:rPr>
        <w:t>nepietiekams atbalsts viena vecāka ģimenēm un daudzbērnu ģimenēm.</w:t>
      </w:r>
    </w:p>
    <w:p w14:paraId="555B7A0C" w14:textId="00964474" w:rsidR="00A32E61" w:rsidRPr="00595533" w:rsidRDefault="00A32E61" w:rsidP="009E22A1">
      <w:pPr>
        <w:ind w:left="720"/>
        <w:rPr>
          <w:i/>
          <w:color w:val="374C80" w:themeColor="accent1" w:themeShade="BF"/>
          <w:lang w:val="lv-LV"/>
        </w:rPr>
      </w:pPr>
      <w:r w:rsidRPr="00595533">
        <w:rPr>
          <w:i/>
          <w:color w:val="374C80" w:themeColor="accent1" w:themeShade="BF"/>
          <w:lang w:val="lv-LV"/>
        </w:rPr>
        <w:t>“Nav reālas rīcības, kas veidotu ilgtermiņa sociālā atbalsta sistēmu ģimenēm ar bērniem. Jebkura slimība, kur nu vēl iedzimta kaite, padara ģimeni ar bērnu par absolūtiem lūdzējiem un zaudētājiem. Ja vidēji pārtikuši vecāki vēlas bērniem sniegt labu izglītību, viņu dzīves kvalitāte un naudas resursi dramatiski krītas.”</w:t>
      </w:r>
    </w:p>
    <w:p w14:paraId="0061A6CC" w14:textId="6018082B" w:rsidR="00A72438" w:rsidRPr="00595533" w:rsidRDefault="00A32E61">
      <w:pPr>
        <w:rPr>
          <w:lang w:val="lv-LV"/>
        </w:rPr>
      </w:pPr>
      <w:r w:rsidRPr="00595533">
        <w:rPr>
          <w:lang w:val="lv-LV"/>
        </w:rPr>
        <w:t>Tāpat tiek norādīts, ka nekonsekvence ģimeņu ar bērniem atbalsta politikā liedz uzticēties sistēmai un līdz ar to plānot vairāk par diviem bērniem:</w:t>
      </w:r>
    </w:p>
    <w:p w14:paraId="51811539" w14:textId="7015CD09" w:rsidR="00A32E61" w:rsidRPr="00595533" w:rsidRDefault="009E22A1" w:rsidP="009E22A1">
      <w:pPr>
        <w:ind w:left="720"/>
        <w:rPr>
          <w:i/>
          <w:color w:val="374C80" w:themeColor="accent1" w:themeShade="BF"/>
          <w:lang w:val="lv-LV"/>
        </w:rPr>
      </w:pPr>
      <w:r w:rsidRPr="00595533">
        <w:rPr>
          <w:i/>
          <w:color w:val="374C80" w:themeColor="accent1" w:themeShade="BF"/>
          <w:lang w:val="lv-LV"/>
        </w:rPr>
        <w:t>“V</w:t>
      </w:r>
      <w:r w:rsidR="00A32E61" w:rsidRPr="00595533">
        <w:rPr>
          <w:i/>
          <w:color w:val="374C80" w:themeColor="accent1" w:themeShade="BF"/>
          <w:lang w:val="lv-LV"/>
        </w:rPr>
        <w:t>ecāki nav droši par pārskatāmo nākotni un iespējamām izmaiņām sociālaj</w:t>
      </w:r>
      <w:r w:rsidRPr="00595533">
        <w:rPr>
          <w:i/>
          <w:color w:val="374C80" w:themeColor="accent1" w:themeShade="BF"/>
          <w:lang w:val="lv-LV"/>
        </w:rPr>
        <w:t>ā atbalstā</w:t>
      </w:r>
      <w:r w:rsidR="00A32E61" w:rsidRPr="00595533">
        <w:rPr>
          <w:i/>
          <w:color w:val="374C80" w:themeColor="accent1" w:themeShade="BF"/>
          <w:lang w:val="lv-LV"/>
        </w:rPr>
        <w:t xml:space="preserve"> u.c.</w:t>
      </w:r>
      <w:r w:rsidR="007E4B37" w:rsidRPr="00595533">
        <w:rPr>
          <w:i/>
          <w:color w:val="374C80" w:themeColor="accent1" w:themeShade="BF"/>
          <w:lang w:val="lv-LV"/>
        </w:rPr>
        <w:t>, tāpēc baidās radīt vairāk kā divus</w:t>
      </w:r>
      <w:r w:rsidR="00A32E61" w:rsidRPr="00595533">
        <w:rPr>
          <w:i/>
          <w:color w:val="374C80" w:themeColor="accent1" w:themeShade="BF"/>
          <w:lang w:val="lv-LV"/>
        </w:rPr>
        <w:t xml:space="preserve"> bērnus</w:t>
      </w:r>
      <w:r w:rsidRPr="00595533">
        <w:rPr>
          <w:i/>
          <w:color w:val="374C80" w:themeColor="accent1" w:themeShade="BF"/>
          <w:lang w:val="lv-LV"/>
        </w:rPr>
        <w:t>.”</w:t>
      </w:r>
    </w:p>
    <w:p w14:paraId="503FF693" w14:textId="1A87114A" w:rsidR="00A32E61" w:rsidRPr="00595533" w:rsidRDefault="00A32E61">
      <w:pPr>
        <w:rPr>
          <w:lang w:val="lv-LV"/>
        </w:rPr>
      </w:pPr>
      <w:r w:rsidRPr="00595533">
        <w:rPr>
          <w:lang w:val="lv-LV"/>
        </w:rPr>
        <w:t xml:space="preserve">Vienlaikus </w:t>
      </w:r>
      <w:r w:rsidR="007E4B37" w:rsidRPr="00595533">
        <w:rPr>
          <w:lang w:val="lv-LV"/>
        </w:rPr>
        <w:t>eksperti min</w:t>
      </w:r>
      <w:r w:rsidRPr="00595533">
        <w:rPr>
          <w:lang w:val="lv-LV"/>
        </w:rPr>
        <w:t>, ka jaundzimušo skaitu valstī ietekmē arī jauno ģimeņu emigrācija uz ārvalstīm, ekonomiskā nestabilitāte un nedrošība.</w:t>
      </w:r>
    </w:p>
    <w:p w14:paraId="1B89A967" w14:textId="7EF7A588" w:rsidR="00A32E61" w:rsidRPr="00595533" w:rsidRDefault="00A32E61">
      <w:pPr>
        <w:rPr>
          <w:lang w:val="lv-LV"/>
        </w:rPr>
      </w:pPr>
      <w:r w:rsidRPr="00595533">
        <w:rPr>
          <w:lang w:val="lv-LV"/>
        </w:rPr>
        <w:lastRenderedPageBreak/>
        <w:t xml:space="preserve">Savukārt runājot par ģimeņu ar bērniem nabadzības risku mazināšanu, kā galvenais iemesls tam, kāpēc mērķi šajā jomā netiek sasniegti, tiek norādīts </w:t>
      </w:r>
      <w:r w:rsidR="002E3F57" w:rsidRPr="00595533">
        <w:rPr>
          <w:lang w:val="lv-LV"/>
        </w:rPr>
        <w:t>nesamērīgi</w:t>
      </w:r>
      <w:r w:rsidRPr="00595533">
        <w:rPr>
          <w:lang w:val="lv-LV"/>
        </w:rPr>
        <w:t xml:space="preserve"> zemais ģimenes valsts pabalsta apmērs vienlaikus ar tādu nodokļu atvieglojumu sistēmu, ko ģimenes ar zemiem ienākumiem neizjūt. Vairāki eksperti norādījuši, ka sistēma Latvijā nav orientēta</w:t>
      </w:r>
      <w:r w:rsidR="002E3F57" w:rsidRPr="00595533">
        <w:rPr>
          <w:lang w:val="lv-LV"/>
        </w:rPr>
        <w:t xml:space="preserve"> uz to</w:t>
      </w:r>
      <w:r w:rsidRPr="00595533">
        <w:rPr>
          <w:lang w:val="lv-LV"/>
        </w:rPr>
        <w:t xml:space="preserve">, lai sniegtu </w:t>
      </w:r>
      <w:r w:rsidR="002E3F57" w:rsidRPr="00595533">
        <w:rPr>
          <w:lang w:val="lv-LV"/>
        </w:rPr>
        <w:t>atbalstu ģimenēm ar bērniem,</w:t>
      </w:r>
      <w:r w:rsidR="007E4B37" w:rsidRPr="00595533">
        <w:rPr>
          <w:lang w:val="lv-LV"/>
        </w:rPr>
        <w:t xml:space="preserve"> tā vietā neproporcionāli liels atbalsta apjoms</w:t>
      </w:r>
      <w:r w:rsidRPr="00595533">
        <w:rPr>
          <w:lang w:val="lv-LV"/>
        </w:rPr>
        <w:t xml:space="preserve"> </w:t>
      </w:r>
      <w:r w:rsidR="007E4B37" w:rsidRPr="00595533">
        <w:rPr>
          <w:lang w:val="lv-LV"/>
        </w:rPr>
        <w:t>tiek novirzī</w:t>
      </w:r>
      <w:r w:rsidRPr="00595533">
        <w:rPr>
          <w:lang w:val="lv-LV"/>
        </w:rPr>
        <w:t>t</w:t>
      </w:r>
      <w:r w:rsidR="007E4B37" w:rsidRPr="00595533">
        <w:rPr>
          <w:lang w:val="lv-LV"/>
        </w:rPr>
        <w:t>s</w:t>
      </w:r>
      <w:r w:rsidRPr="00595533">
        <w:rPr>
          <w:lang w:val="lv-LV"/>
        </w:rPr>
        <w:t xml:space="preserve"> personām bez apgādājamajiem:</w:t>
      </w:r>
    </w:p>
    <w:p w14:paraId="744E4EDC" w14:textId="590DAFBE" w:rsidR="00A32E61" w:rsidRPr="00595533" w:rsidRDefault="002E3F57" w:rsidP="002E3F57">
      <w:pPr>
        <w:ind w:left="720"/>
        <w:rPr>
          <w:i/>
          <w:color w:val="374C80" w:themeColor="accent1" w:themeShade="BF"/>
          <w:lang w:val="lv-LV"/>
        </w:rPr>
      </w:pPr>
      <w:r w:rsidRPr="00595533">
        <w:rPr>
          <w:i/>
          <w:color w:val="374C80" w:themeColor="accent1" w:themeShade="BF"/>
          <w:lang w:val="lv-LV"/>
        </w:rPr>
        <w:t>“</w:t>
      </w:r>
      <w:r w:rsidR="00A32E61" w:rsidRPr="00595533">
        <w:rPr>
          <w:i/>
          <w:color w:val="374C80" w:themeColor="accent1" w:themeShade="BF"/>
          <w:lang w:val="lv-LV"/>
        </w:rPr>
        <w:t>Valsts ļoti ievērojamu fiskālās telpas daļu orientē uz Neapliekamo minimumu (NM), kas dod lielākas priekšrocības mājsaimniecībām bez bērniem un, ja vienlaikus netiek celti atvieglojumi par apgādībā esošām personām (AAP), tad faktiski palielina nevienlīdzību. Personām ar pilnu darbspēju bez apgādājamajiem  nevajadzētu būt valsts rūpju pamatobjektam, tomēr Latvijā tas tiek praktizēts. 2. Pagājušajā gadā tika noņemts AAP par nestrādājošu laulāto, kurš aprūpē bērnus. 3.Ģimenes valsts pabalsts (ĢVP) netiek pietiekami indeksēts. 4. Nav izveidota piemaksa pie ĢVP invalīdu apgādībā esošsiem bērniem, kā arī bērniem viena vecāka ģimēnēs.</w:t>
      </w:r>
      <w:r w:rsidRPr="00595533">
        <w:rPr>
          <w:i/>
          <w:color w:val="374C80" w:themeColor="accent1" w:themeShade="BF"/>
          <w:lang w:val="lv-LV"/>
        </w:rPr>
        <w:t>”</w:t>
      </w:r>
      <w:r w:rsidR="00A32E61" w:rsidRPr="00595533">
        <w:rPr>
          <w:i/>
          <w:color w:val="374C80" w:themeColor="accent1" w:themeShade="BF"/>
          <w:lang w:val="lv-LV"/>
        </w:rPr>
        <w:t xml:space="preserve"> </w:t>
      </w:r>
    </w:p>
    <w:p w14:paraId="02F93F31" w14:textId="5EFD562D" w:rsidR="00A32E61" w:rsidRPr="00595533" w:rsidRDefault="001A3173">
      <w:pPr>
        <w:rPr>
          <w:lang w:val="lv-LV"/>
        </w:rPr>
      </w:pPr>
      <w:r w:rsidRPr="00595533">
        <w:rPr>
          <w:lang w:val="lv-LV"/>
        </w:rPr>
        <w:t>Lai mazinātu ģimeņu ar bērniem nabadzības risku</w:t>
      </w:r>
      <w:r w:rsidR="007E4B37" w:rsidRPr="00595533">
        <w:rPr>
          <w:lang w:val="lv-LV"/>
        </w:rPr>
        <w:t xml:space="preserve"> un sekmētu dzimstību</w:t>
      </w:r>
      <w:r w:rsidRPr="00595533">
        <w:rPr>
          <w:lang w:val="lv-LV"/>
        </w:rPr>
        <w:t xml:space="preserve">, tiek rosināts </w:t>
      </w:r>
      <w:r w:rsidR="00E24892" w:rsidRPr="00595533">
        <w:rPr>
          <w:lang w:val="lv-LV"/>
        </w:rPr>
        <w:t xml:space="preserve">ne vien pārskatīt ģimenes valsts pabalsta apmēru par trešo un katru nākamo bērnu, bet </w:t>
      </w:r>
      <w:r w:rsidRPr="00595533">
        <w:rPr>
          <w:lang w:val="lv-LV"/>
        </w:rPr>
        <w:t xml:space="preserve">arī </w:t>
      </w:r>
      <w:r w:rsidR="00CD233D" w:rsidRPr="00595533">
        <w:rPr>
          <w:lang w:val="lv-LV"/>
        </w:rPr>
        <w:t>atbalstīt</w:t>
      </w:r>
      <w:r w:rsidRPr="00595533">
        <w:rPr>
          <w:lang w:val="lv-LV"/>
        </w:rPr>
        <w:t xml:space="preserve"> instrument</w:t>
      </w:r>
      <w:r w:rsidR="00CD233D" w:rsidRPr="00595533">
        <w:rPr>
          <w:lang w:val="lv-LV"/>
        </w:rPr>
        <w:t>us</w:t>
      </w:r>
      <w:r w:rsidRPr="00595533">
        <w:rPr>
          <w:lang w:val="lv-LV"/>
        </w:rPr>
        <w:t>, kas varētu sekmēt ģimenes un darba dzīves savienošanu</w:t>
      </w:r>
      <w:r w:rsidR="00CD233D" w:rsidRPr="00595533">
        <w:rPr>
          <w:lang w:val="lv-LV"/>
        </w:rPr>
        <w:t>, tai skaitā nodrošināt pirmsskolas izglītības un aprūpes pieejamību, kā arī paredzēt stimulus tiem darba devējiem, kuri ieviesuši elastīgu darba laiku vai attālinātā darba iespējas.</w:t>
      </w:r>
      <w:r w:rsidRPr="00595533">
        <w:rPr>
          <w:lang w:val="lv-LV"/>
        </w:rPr>
        <w:t xml:space="preserve"> </w:t>
      </w:r>
    </w:p>
    <w:p w14:paraId="0A8A0913" w14:textId="0A0606C5" w:rsidR="00CD233D" w:rsidRPr="00595533" w:rsidRDefault="00CD233D">
      <w:pPr>
        <w:rPr>
          <w:lang w:val="lv-LV"/>
        </w:rPr>
      </w:pPr>
      <w:r w:rsidRPr="00595533">
        <w:rPr>
          <w:lang w:val="lv-LV"/>
        </w:rPr>
        <w:t xml:space="preserve">Tāpat tiek rekomendēts </w:t>
      </w:r>
      <w:r w:rsidR="007E4B37" w:rsidRPr="00595533">
        <w:rPr>
          <w:lang w:val="lv-LV"/>
        </w:rPr>
        <w:t>uzlabot</w:t>
      </w:r>
      <w:r w:rsidRPr="00595533">
        <w:rPr>
          <w:lang w:val="lv-LV"/>
        </w:rPr>
        <w:t xml:space="preserve"> speciālistu, kuri strādā ar sociālās atstumtības riska ģimenēm, </w:t>
      </w:r>
      <w:r w:rsidR="00E24892" w:rsidRPr="00595533">
        <w:rPr>
          <w:lang w:val="lv-LV"/>
        </w:rPr>
        <w:t>galvenokārt</w:t>
      </w:r>
      <w:r w:rsidRPr="00595533">
        <w:rPr>
          <w:lang w:val="lv-LV"/>
        </w:rPr>
        <w:t xml:space="preserve"> sociālo darbi</w:t>
      </w:r>
      <w:r w:rsidR="00E24892" w:rsidRPr="00595533">
        <w:rPr>
          <w:lang w:val="lv-LV"/>
        </w:rPr>
        <w:t>nieku un</w:t>
      </w:r>
      <w:r w:rsidRPr="00595533">
        <w:rPr>
          <w:lang w:val="lv-LV"/>
        </w:rPr>
        <w:t xml:space="preserve"> bāriņtiesu</w:t>
      </w:r>
      <w:r w:rsidR="00E24892" w:rsidRPr="00595533">
        <w:rPr>
          <w:lang w:val="lv-LV"/>
        </w:rPr>
        <w:t xml:space="preserve"> darbinieku zināšanas un</w:t>
      </w:r>
      <w:r w:rsidRPr="00595533">
        <w:rPr>
          <w:lang w:val="lv-LV"/>
        </w:rPr>
        <w:t xml:space="preserve"> prasmes</w:t>
      </w:r>
      <w:r w:rsidR="00E24892" w:rsidRPr="00595533">
        <w:rPr>
          <w:lang w:val="lv-LV"/>
        </w:rPr>
        <w:t xml:space="preserve"> darbam</w:t>
      </w:r>
      <w:r w:rsidRPr="00595533">
        <w:rPr>
          <w:lang w:val="lv-LV"/>
        </w:rPr>
        <w:t xml:space="preserve">, </w:t>
      </w:r>
      <w:r w:rsidR="00E24892" w:rsidRPr="00595533">
        <w:rPr>
          <w:lang w:val="lv-LV"/>
        </w:rPr>
        <w:t>veicināt speciālistu motivāciju, kā arī uzlabot institūciju savstarpējo sadarbību.</w:t>
      </w:r>
    </w:p>
    <w:p w14:paraId="6B02C373" w14:textId="77777777" w:rsidR="00E24892" w:rsidRPr="00595533" w:rsidRDefault="00E24892">
      <w:pPr>
        <w:rPr>
          <w:lang w:val="lv-LV"/>
        </w:rPr>
      </w:pPr>
    </w:p>
    <w:p w14:paraId="3D48825A" w14:textId="0BDE470C" w:rsidR="00A72438" w:rsidRPr="00595533" w:rsidRDefault="00654F5A" w:rsidP="00E24892">
      <w:pPr>
        <w:pStyle w:val="Heading2"/>
        <w:rPr>
          <w:lang w:val="lv-LV"/>
        </w:rPr>
      </w:pPr>
      <w:bookmarkStart w:id="50" w:name="_Toc498690632"/>
      <w:bookmarkStart w:id="51" w:name="_Toc499025317"/>
      <w:r>
        <w:rPr>
          <w:lang w:val="lv-LV"/>
        </w:rPr>
        <w:t xml:space="preserve">3.7. </w:t>
      </w:r>
      <w:r w:rsidR="00A72438" w:rsidRPr="00595533">
        <w:rPr>
          <w:lang w:val="lv-LV"/>
        </w:rPr>
        <w:t>Kompetenču attīstība</w:t>
      </w:r>
      <w:bookmarkEnd w:id="50"/>
      <w:bookmarkEnd w:id="51"/>
    </w:p>
    <w:p w14:paraId="006D172F" w14:textId="12FF06E6" w:rsidR="00A72438" w:rsidRPr="00595533" w:rsidRDefault="003616C8">
      <w:pPr>
        <w:rPr>
          <w:lang w:val="lv-LV"/>
        </w:rPr>
      </w:pPr>
      <w:r w:rsidRPr="00595533">
        <w:rPr>
          <w:lang w:val="lv-LV"/>
        </w:rPr>
        <w:t xml:space="preserve">Rīcības virziens </w:t>
      </w:r>
      <w:r w:rsidRPr="00595533">
        <w:rPr>
          <w:i/>
          <w:lang w:val="lv-LV"/>
        </w:rPr>
        <w:t>Kompetenču attīstība</w:t>
      </w:r>
      <w:r w:rsidRPr="00595533">
        <w:rPr>
          <w:lang w:val="lv-LV"/>
        </w:rPr>
        <w:t xml:space="preserve"> aptver lielu daļu no izglītības apguves posmiem indivīda mūža garumā – pamata un vidējo izglītību, profesionālo izglītību, pieaugušo izglītību, kā arī neformālo un interešu</w:t>
      </w:r>
      <w:r w:rsidR="00E24892" w:rsidRPr="00595533">
        <w:rPr>
          <w:lang w:val="lv-LV"/>
        </w:rPr>
        <w:t xml:space="preserve"> izglītību. Rīcības virziena mēr</w:t>
      </w:r>
      <w:r w:rsidRPr="00595533">
        <w:rPr>
          <w:lang w:val="lv-LV"/>
        </w:rPr>
        <w:t>ķis ir samazināt jauniešu ar zemām pamatprasmēm skaitu, vienlaikus palielinot to skolēnu īpatsvaru, kuri uzrāda augtāko kom</w:t>
      </w:r>
      <w:r w:rsidR="00334938">
        <w:rPr>
          <w:lang w:val="lv-LV"/>
        </w:rPr>
        <w:t>p</w:t>
      </w:r>
      <w:r w:rsidRPr="00595533">
        <w:rPr>
          <w:lang w:val="lv-LV"/>
        </w:rPr>
        <w:t>etences līmeni, kā arī attīstīt konkurētspējīgu profesionālo un pieaugušo izglītību. Lai to nodrošinātu, paredzēts inovatīvs mācību saturs radošuma un  uzņēmējpratības attīstībai pamata un vis</w:t>
      </w:r>
      <w:r w:rsidR="00C66E1E" w:rsidRPr="00595533">
        <w:rPr>
          <w:lang w:val="lv-LV"/>
        </w:rPr>
        <w:t>pārējās izglītības posmā, modulā</w:t>
      </w:r>
      <w:r w:rsidRPr="00595533">
        <w:rPr>
          <w:lang w:val="lv-LV"/>
        </w:rPr>
        <w:t>r</w:t>
      </w:r>
      <w:r w:rsidR="00C66E1E" w:rsidRPr="00595533">
        <w:rPr>
          <w:lang w:val="lv-LV"/>
        </w:rPr>
        <w:t>o</w:t>
      </w:r>
      <w:r w:rsidRPr="00595533">
        <w:rPr>
          <w:lang w:val="lv-LV"/>
        </w:rPr>
        <w:t xml:space="preserve"> izglītības programmu ieviešana profesion</w:t>
      </w:r>
      <w:r w:rsidR="00DF2513" w:rsidRPr="00595533">
        <w:rPr>
          <w:lang w:val="lv-LV"/>
        </w:rPr>
        <w:t>ālā izglītībā, vispārējās un pro</w:t>
      </w:r>
      <w:r w:rsidR="000D18DC" w:rsidRPr="00595533">
        <w:rPr>
          <w:lang w:val="lv-LV"/>
        </w:rPr>
        <w:t xml:space="preserve">fesionālās izglītības </w:t>
      </w:r>
      <w:r w:rsidRPr="00595533">
        <w:rPr>
          <w:lang w:val="lv-LV"/>
        </w:rPr>
        <w:t>pe</w:t>
      </w:r>
      <w:r w:rsidR="000D18DC" w:rsidRPr="00595533">
        <w:rPr>
          <w:lang w:val="lv-LV"/>
        </w:rPr>
        <w:t>dagogu kvalifikācijas pilnveide, iekļaujošās izglītības attīstība, kā arī neformālās un interešu izglītības pieejamības nodrošināšana, tai skaitā veicinot jauniešu brīvrātīgo darbu.</w:t>
      </w:r>
    </w:p>
    <w:p w14:paraId="17F6070B" w14:textId="77777777" w:rsidR="00184FFF" w:rsidRPr="00595533" w:rsidRDefault="00184FFF" w:rsidP="00184FFF">
      <w:pPr>
        <w:pStyle w:val="NoSpacing"/>
        <w:rPr>
          <w:sz w:val="10"/>
          <w:szCs w:val="10"/>
          <w:lang w:val="lv-LV"/>
        </w:rPr>
      </w:pPr>
    </w:p>
    <w:p w14:paraId="5478EBAA" w14:textId="77777777" w:rsidR="00184FFF" w:rsidRPr="00595533" w:rsidRDefault="00184FFF" w:rsidP="00184FFF">
      <w:pPr>
        <w:pStyle w:val="Heading3"/>
        <w:rPr>
          <w:lang w:val="lv-LV"/>
        </w:rPr>
      </w:pPr>
      <w:bookmarkStart w:id="52" w:name="_Toc498690633"/>
      <w:r w:rsidRPr="00595533">
        <w:rPr>
          <w:lang w:val="lv-LV"/>
        </w:rPr>
        <w:t>UZDEVUMU ĪSTENOŠANAS PROGRESS</w:t>
      </w:r>
      <w:bookmarkEnd w:id="52"/>
    </w:p>
    <w:p w14:paraId="7CEC8C49" w14:textId="02A4EAB8" w:rsidR="00565E14" w:rsidRPr="00595533" w:rsidRDefault="00565E14" w:rsidP="0094658F">
      <w:pPr>
        <w:rPr>
          <w:b/>
          <w:u w:val="single"/>
          <w:lang w:val="lv-LV"/>
        </w:rPr>
      </w:pPr>
      <w:r w:rsidRPr="00595533">
        <w:rPr>
          <w:b/>
          <w:u w:val="single"/>
          <w:lang w:val="lv-LV"/>
        </w:rPr>
        <w:t>Vispārējā izglītība</w:t>
      </w:r>
    </w:p>
    <w:p w14:paraId="4F0E0FD5" w14:textId="28709585" w:rsidR="00C31A95" w:rsidRPr="00595533" w:rsidRDefault="00AA2FEC" w:rsidP="0094658F">
      <w:pPr>
        <w:rPr>
          <w:lang w:val="lv-LV"/>
        </w:rPr>
      </w:pPr>
      <w:r w:rsidRPr="00595533">
        <w:rPr>
          <w:lang w:val="lv-LV"/>
        </w:rPr>
        <w:t xml:space="preserve">Radošuma un uzņēmējspēju attīstības pamatā ir </w:t>
      </w:r>
      <w:r w:rsidR="0094658F" w:rsidRPr="00595533">
        <w:rPr>
          <w:lang w:val="lv-LV"/>
        </w:rPr>
        <w:t xml:space="preserve">prasmes veidojošs mācību saturs, motivēti pedagogi un </w:t>
      </w:r>
      <w:r w:rsidRPr="00595533">
        <w:rPr>
          <w:lang w:val="lv-LV"/>
        </w:rPr>
        <w:t>mūsdienu prasībām atbilstoša mācību vide skolās</w:t>
      </w:r>
      <w:r w:rsidR="0094658F" w:rsidRPr="00595533">
        <w:rPr>
          <w:lang w:val="lv-LV"/>
        </w:rPr>
        <w:t xml:space="preserve">. Lai izstrādātu, aprobētu un ieviestu </w:t>
      </w:r>
      <w:r w:rsidR="0094658F" w:rsidRPr="00595533">
        <w:rPr>
          <w:b/>
          <w:lang w:val="lv-LV"/>
        </w:rPr>
        <w:t>jaunu mācību saturu vispārējā izglītībā</w:t>
      </w:r>
      <w:r w:rsidR="0094658F" w:rsidRPr="00595533">
        <w:rPr>
          <w:lang w:val="lv-LV"/>
        </w:rPr>
        <w:t xml:space="preserve"> no pirmskolas līdz 12. klasei, </w:t>
      </w:r>
      <w:r w:rsidR="00C31A95" w:rsidRPr="00595533">
        <w:rPr>
          <w:lang w:val="lv-LV"/>
        </w:rPr>
        <w:t>2016.</w:t>
      </w:r>
      <w:r w:rsidRPr="00595533">
        <w:rPr>
          <w:lang w:val="lv-LV"/>
        </w:rPr>
        <w:t> gada oktobrī uzsākts</w:t>
      </w:r>
      <w:r w:rsidR="00C31A95" w:rsidRPr="00595533">
        <w:rPr>
          <w:lang w:val="lv-LV"/>
        </w:rPr>
        <w:t xml:space="preserve"> īstenot ES fondu projektu “Kompetenču pieeja mācību saturā”</w:t>
      </w:r>
      <w:r w:rsidR="00C31A95" w:rsidRPr="00595533">
        <w:rPr>
          <w:rStyle w:val="FootnoteReference"/>
          <w:b/>
          <w:lang w:val="lv-LV"/>
        </w:rPr>
        <w:footnoteReference w:id="39"/>
      </w:r>
      <w:r w:rsidR="00C31A95" w:rsidRPr="00595533">
        <w:rPr>
          <w:lang w:val="lv-LV"/>
        </w:rPr>
        <w:t xml:space="preserve">. </w:t>
      </w:r>
      <w:r w:rsidR="0094658F" w:rsidRPr="00595533">
        <w:rPr>
          <w:lang w:val="lv-LV"/>
        </w:rPr>
        <w:t xml:space="preserve">Jau </w:t>
      </w:r>
      <w:r w:rsidR="00C31A95" w:rsidRPr="00595533">
        <w:rPr>
          <w:lang w:val="lv-LV"/>
        </w:rPr>
        <w:t>2017.</w:t>
      </w:r>
      <w:r w:rsidRPr="00595533">
        <w:rPr>
          <w:lang w:val="lv-LV"/>
        </w:rPr>
        <w:t> </w:t>
      </w:r>
      <w:r w:rsidR="00C31A95" w:rsidRPr="00595533">
        <w:rPr>
          <w:lang w:val="lv-LV"/>
        </w:rPr>
        <w:t xml:space="preserve">gada rudenī sabiedriskajai apspriešanai nodots jaunā mācību satura un pieejas apraksta projekts “Izglītība mūsdienīgai lietpratībai”. Plānots, ka jauno mācību saturu ieviesīs pakāpeniski nākamo piecu gadu laikā – </w:t>
      </w:r>
      <w:r w:rsidR="00C31A95" w:rsidRPr="00595533">
        <w:rPr>
          <w:lang w:val="lv-LV"/>
        </w:rPr>
        <w:lastRenderedPageBreak/>
        <w:t>2018./2019.mācību gadā pirmsskolās un 1.</w:t>
      </w:r>
      <w:r w:rsidRPr="00595533">
        <w:rPr>
          <w:lang w:val="lv-LV"/>
        </w:rPr>
        <w:t> </w:t>
      </w:r>
      <w:r w:rsidR="00C31A95" w:rsidRPr="00595533">
        <w:rPr>
          <w:lang w:val="lv-LV"/>
        </w:rPr>
        <w:t>klasē, bet pēc tam secīgi nākamajos izglītības posmos, savukārt jaunie valsts pārbaudījumi 9.</w:t>
      </w:r>
      <w:r w:rsidRPr="00595533">
        <w:rPr>
          <w:lang w:val="lv-LV"/>
        </w:rPr>
        <w:t> </w:t>
      </w:r>
      <w:r w:rsidR="00C31A95" w:rsidRPr="00595533">
        <w:rPr>
          <w:lang w:val="lv-LV"/>
        </w:rPr>
        <w:t>klašu un 12.</w:t>
      </w:r>
      <w:r w:rsidRPr="00595533">
        <w:rPr>
          <w:lang w:val="lv-LV"/>
        </w:rPr>
        <w:t> </w:t>
      </w:r>
      <w:r w:rsidR="00C31A95" w:rsidRPr="00595533">
        <w:rPr>
          <w:lang w:val="lv-LV"/>
        </w:rPr>
        <w:t>klašu beidzējiem pirmoreiz būs obligāti pēc pieciem gadiem, t. i., no 2021./2022.mācību gada.</w:t>
      </w:r>
    </w:p>
    <w:p w14:paraId="09CAAFB5" w14:textId="7E37DAF1" w:rsidR="00AA2FEC" w:rsidRPr="00595533" w:rsidRDefault="00AA2FEC" w:rsidP="0094658F">
      <w:pPr>
        <w:rPr>
          <w:lang w:val="lv-LV"/>
        </w:rPr>
      </w:pPr>
      <w:r w:rsidRPr="00595533">
        <w:rPr>
          <w:lang w:val="lv-LV"/>
        </w:rPr>
        <w:t xml:space="preserve">Lai sakārtotu izglītības iestāžu tīklu, uzlabotu vispārējās izglītības iestāžu </w:t>
      </w:r>
      <w:r w:rsidRPr="00595533">
        <w:rPr>
          <w:b/>
          <w:lang w:val="lv-LV"/>
        </w:rPr>
        <w:t>mācību vidi</w:t>
      </w:r>
      <w:r w:rsidRPr="00595533">
        <w:rPr>
          <w:lang w:val="lv-LV"/>
        </w:rPr>
        <w:t>, kā arī ieviestu jauno kompetenču pieejā balstīto vispārējās izglītības saturu, izmantojot ES fondu investīcijas</w:t>
      </w:r>
      <w:r w:rsidRPr="00595533">
        <w:rPr>
          <w:rStyle w:val="FootnoteReference"/>
          <w:b/>
          <w:lang w:val="lv-LV"/>
        </w:rPr>
        <w:footnoteReference w:id="40"/>
      </w:r>
      <w:r w:rsidRPr="00595533">
        <w:rPr>
          <w:lang w:val="lv-LV"/>
        </w:rPr>
        <w:t>, nākotnē tiks modernizēta vispārējās izglītības iestāžu mācību infrastruktūra gan nacionālas un reģionālās nozīmes attīstības centros, gan ārpus tiem.</w:t>
      </w:r>
    </w:p>
    <w:p w14:paraId="00CC04FF" w14:textId="61E20DAC" w:rsidR="00AA2FEC" w:rsidRPr="00595533" w:rsidRDefault="0094658F" w:rsidP="00332871">
      <w:pPr>
        <w:rPr>
          <w:lang w:val="lv-LV"/>
        </w:rPr>
      </w:pPr>
      <w:r w:rsidRPr="00595533">
        <w:rPr>
          <w:lang w:val="lv-LV"/>
        </w:rPr>
        <w:t xml:space="preserve">Lai </w:t>
      </w:r>
      <w:r w:rsidRPr="00595533">
        <w:rPr>
          <w:b/>
          <w:lang w:val="lv-LV"/>
        </w:rPr>
        <w:t>motivētu pedagogus darbam</w:t>
      </w:r>
      <w:r w:rsidRPr="00595533">
        <w:rPr>
          <w:lang w:val="lv-LV"/>
        </w:rPr>
        <w:t xml:space="preserve"> izglītības sistēmā, </w:t>
      </w:r>
      <w:r w:rsidR="00AA2FEC" w:rsidRPr="00595533">
        <w:rPr>
          <w:lang w:val="lv-LV"/>
        </w:rPr>
        <w:t>2016.</w:t>
      </w:r>
      <w:r w:rsidRPr="00595533">
        <w:rPr>
          <w:lang w:val="lv-LV"/>
        </w:rPr>
        <w:t> </w:t>
      </w:r>
      <w:r w:rsidR="00AA2FEC" w:rsidRPr="00595533">
        <w:rPr>
          <w:lang w:val="lv-LV"/>
        </w:rPr>
        <w:t>gada 1.</w:t>
      </w:r>
      <w:r w:rsidRPr="00595533">
        <w:rPr>
          <w:lang w:val="lv-LV"/>
        </w:rPr>
        <w:t> </w:t>
      </w:r>
      <w:r w:rsidR="00AA2FEC" w:rsidRPr="00595533">
        <w:rPr>
          <w:lang w:val="lv-LV"/>
        </w:rPr>
        <w:t>septembrī tika ieviests jauns pedagogu darba samaksas aprēķināšanas modelis. Modelis paredz paaugstināt pedagogu darba samaksu, līdztekus sekmējot  pedagogu da</w:t>
      </w:r>
      <w:r w:rsidRPr="00595533">
        <w:rPr>
          <w:lang w:val="lv-LV"/>
        </w:rPr>
        <w:t>rba kvalitātes paaugstināšanu</w:t>
      </w:r>
      <w:r w:rsidR="00AA2FEC" w:rsidRPr="00595533">
        <w:rPr>
          <w:lang w:val="lv-LV"/>
        </w:rPr>
        <w:t>.</w:t>
      </w:r>
      <w:r w:rsidRPr="00595533">
        <w:rPr>
          <w:lang w:val="lv-LV"/>
        </w:rPr>
        <w:t xml:space="preserve"> Paralēli t</w:t>
      </w:r>
      <w:r w:rsidR="00AA2FEC" w:rsidRPr="00595533">
        <w:rPr>
          <w:lang w:val="lv-LV"/>
        </w:rPr>
        <w:t>iek nodrošināta pedagogu profesionālās kvalifikācijas pilnveide, pedagogu uz</w:t>
      </w:r>
      <w:r w:rsidRPr="00595533">
        <w:rPr>
          <w:lang w:val="lv-LV"/>
        </w:rPr>
        <w:t>ņēmējspējas, līderības, radošuma</w:t>
      </w:r>
      <w:r w:rsidR="00AA2FEC" w:rsidRPr="00595533">
        <w:rPr>
          <w:lang w:val="lv-LV"/>
        </w:rPr>
        <w:t>, IKT un svešvalodu prasmju uzlabošana, prasmju uzlabošana darbam ar skolēniem.</w:t>
      </w:r>
    </w:p>
    <w:p w14:paraId="4597B9E8" w14:textId="42599B19" w:rsidR="00AA2FEC" w:rsidRPr="00E808F6" w:rsidRDefault="00AA2FEC" w:rsidP="00332871">
      <w:pPr>
        <w:rPr>
          <w:lang w:val="lv-LV"/>
        </w:rPr>
      </w:pPr>
      <w:r w:rsidRPr="00595533">
        <w:rPr>
          <w:lang w:val="lv-LV"/>
        </w:rPr>
        <w:t>Plānots, ka 2017.</w:t>
      </w:r>
      <w:r w:rsidR="0094658F" w:rsidRPr="00595533">
        <w:rPr>
          <w:lang w:val="lv-LV"/>
        </w:rPr>
        <w:t> </w:t>
      </w:r>
      <w:r w:rsidRPr="00E808F6">
        <w:rPr>
          <w:lang w:val="lv-LV"/>
        </w:rPr>
        <w:t>gadā noslēgsies darbs pie konceptuāli jaunas skolotāju sagatavošanas sistēmas plāna izveides, kas paredz nodrošināt pedagogu sagatavošanu atbilstoši izstrādātajai kompetenču pieejai vispārējā izglītībā, kā arī pedagoģisko prakšu jeb darba vidē ba</w:t>
      </w:r>
      <w:r w:rsidR="00332871" w:rsidRPr="00E808F6">
        <w:rPr>
          <w:lang w:val="lv-LV"/>
        </w:rPr>
        <w:t>lstītu mācību principu ieviešanas</w:t>
      </w:r>
      <w:r w:rsidRPr="00E808F6">
        <w:rPr>
          <w:lang w:val="lv-LV"/>
        </w:rPr>
        <w:t>.</w:t>
      </w:r>
    </w:p>
    <w:p w14:paraId="3EF5CCAA" w14:textId="7AB00283" w:rsidR="00C31A95" w:rsidRPr="00E808F6" w:rsidRDefault="00C31A95" w:rsidP="00332871">
      <w:pPr>
        <w:rPr>
          <w:lang w:val="lv-LV"/>
        </w:rPr>
      </w:pPr>
      <w:r w:rsidRPr="00E808F6">
        <w:rPr>
          <w:lang w:val="lv-LV"/>
        </w:rPr>
        <w:t xml:space="preserve">OECD PISA 2006, 2009, 2012 gada rezultāti liecina, ka tikai neliels Latvijas izglītojamo skaits </w:t>
      </w:r>
      <w:r w:rsidR="00332871" w:rsidRPr="00E808F6">
        <w:rPr>
          <w:lang w:val="lv-LV"/>
        </w:rPr>
        <w:t xml:space="preserve">ir </w:t>
      </w:r>
      <w:r w:rsidRPr="00E808F6">
        <w:rPr>
          <w:lang w:val="lv-LV"/>
        </w:rPr>
        <w:t>ar augstiem sasniegumiem lasītprasmē,</w:t>
      </w:r>
      <w:r w:rsidRPr="00595533">
        <w:rPr>
          <w:lang w:val="lv-LV"/>
        </w:rPr>
        <w:t xml:space="preserve"> matemātikā un dabaszinātnēs. Arī tehniskās jaunrades un vides interešu izglītības programmās iesaistīto audzēkņu skaits ir neliels. Lai </w:t>
      </w:r>
      <w:r w:rsidR="00332871" w:rsidRPr="00595533">
        <w:rPr>
          <w:b/>
          <w:lang w:val="lv-LV"/>
        </w:rPr>
        <w:t>veidotu talantus</w:t>
      </w:r>
      <w:r w:rsidRPr="00595533">
        <w:rPr>
          <w:lang w:val="lv-LV"/>
        </w:rPr>
        <w:t xml:space="preserve">, kā arī </w:t>
      </w:r>
      <w:r w:rsidR="00332871" w:rsidRPr="00595533">
        <w:rPr>
          <w:lang w:val="lv-LV"/>
        </w:rPr>
        <w:t>sekmētu jauniešu interesi</w:t>
      </w:r>
      <w:r w:rsidRPr="00595533">
        <w:rPr>
          <w:lang w:val="lv-LV"/>
        </w:rPr>
        <w:t xml:space="preserve"> jaunrades jomā, nepieciešams īstenot pasākumus talantīgo skolēnu spēju attīstīšanai, interešu veicināšanai un viņu kompetenču līmeņa paaugstināšanai. 2016.</w:t>
      </w:r>
      <w:r w:rsidR="00332871" w:rsidRPr="00595533">
        <w:rPr>
          <w:lang w:val="lv-LV"/>
        </w:rPr>
        <w:t> gadā</w:t>
      </w:r>
      <w:r w:rsidRPr="00595533">
        <w:rPr>
          <w:lang w:val="lv-LV"/>
        </w:rPr>
        <w:t xml:space="preserve"> ES fondu ietvaros</w:t>
      </w:r>
      <w:r w:rsidRPr="00595533">
        <w:rPr>
          <w:rStyle w:val="FootnoteReference"/>
          <w:b/>
          <w:lang w:val="lv-LV"/>
        </w:rPr>
        <w:footnoteReference w:id="41"/>
      </w:r>
      <w:r w:rsidRPr="00595533">
        <w:rPr>
          <w:lang w:val="lv-LV"/>
        </w:rPr>
        <w:t xml:space="preserve"> ir uzsākts īstenot projektu “Nacionāla un starptautiska mēroga pasākumu īstenošana izglītojamo talantu </w:t>
      </w:r>
      <w:r w:rsidRPr="00E808F6">
        <w:rPr>
          <w:lang w:val="lv-LV"/>
        </w:rPr>
        <w:t>attīstībai”, kura mērķis ir veicināt vispārējās izglītības iestāžu izglītojamo individuālo kompetenču un talantu attīstību, nodrošinot nacionāla un starptautiska mēroga atbalsta pasākumu kopumu. Savukārt 2017.</w:t>
      </w:r>
      <w:r w:rsidR="00332871" w:rsidRPr="00E808F6">
        <w:rPr>
          <w:lang w:val="lv-LV"/>
        </w:rPr>
        <w:t> </w:t>
      </w:r>
      <w:r w:rsidRPr="00E808F6">
        <w:rPr>
          <w:lang w:val="lv-LV"/>
        </w:rPr>
        <w:t>gadā uzsākts īstenot projektu “Atbalsts izglītojamo individuālo kompetenču attīstībai”</w:t>
      </w:r>
      <w:r w:rsidRPr="00E808F6">
        <w:rPr>
          <w:rStyle w:val="FootnoteReference"/>
          <w:b/>
          <w:lang w:val="lv-LV"/>
        </w:rPr>
        <w:footnoteReference w:id="42"/>
      </w:r>
      <w:r w:rsidRPr="00E808F6">
        <w:rPr>
          <w:lang w:val="lv-LV"/>
        </w:rPr>
        <w:t xml:space="preserve">. Projekts palīdzēs nodrošināt Latvijas izglītības pakalpojumu daudzveidību, kas balstīti uz individuālās mācību pieejas attīstību un ieviešanu vispārējās izglītības iestādēs, tādējādi uzlabojot skolēnu kompetences un viņu mācību sasniegumus. </w:t>
      </w:r>
    </w:p>
    <w:p w14:paraId="7FD826B8" w14:textId="5ACDDD6C" w:rsidR="00C31A95" w:rsidRPr="00595533" w:rsidRDefault="00C31A95" w:rsidP="00092454">
      <w:pPr>
        <w:rPr>
          <w:lang w:val="lv-LV"/>
        </w:rPr>
      </w:pPr>
      <w:r w:rsidRPr="00E808F6">
        <w:rPr>
          <w:lang w:val="lv-LV"/>
        </w:rPr>
        <w:t xml:space="preserve">Lai pilnveidotu </w:t>
      </w:r>
      <w:r w:rsidRPr="00E808F6">
        <w:rPr>
          <w:b/>
          <w:lang w:val="lv-LV"/>
        </w:rPr>
        <w:t>speciālās izglītības</w:t>
      </w:r>
      <w:r w:rsidRPr="00E808F6">
        <w:rPr>
          <w:lang w:val="lv-LV"/>
        </w:rPr>
        <w:t xml:space="preserve"> atbalsta iestāžu tīklu, 2016.</w:t>
      </w:r>
      <w:r w:rsidR="00332871" w:rsidRPr="00595533">
        <w:rPr>
          <w:lang w:val="lv-LV"/>
        </w:rPr>
        <w:t> </w:t>
      </w:r>
      <w:r w:rsidRPr="00595533">
        <w:rPr>
          <w:lang w:val="lv-LV"/>
        </w:rPr>
        <w:t>gadā valdībā tika pieņemti noteikumi</w:t>
      </w:r>
      <w:r w:rsidRPr="00595533">
        <w:rPr>
          <w:rStyle w:val="FootnoteReference"/>
          <w:b/>
          <w:lang w:val="lv-LV"/>
        </w:rPr>
        <w:footnoteReference w:id="43"/>
      </w:r>
      <w:r w:rsidRPr="00595533">
        <w:rPr>
          <w:lang w:val="lv-LV"/>
        </w:rPr>
        <w:t xml:space="preserve">, kuru mērķis ir pilnveidot speciālās izglītības attīstības centru tīklu, tādējādi veicinot konsultatīva un metodiska atbalsta sistēmas izveidi skolēniem ar speciālām vajadzībām, kuri integrēti vispārējās izglītības iestādēs. </w:t>
      </w:r>
    </w:p>
    <w:p w14:paraId="4BAFCE8F" w14:textId="5B1FD110" w:rsidR="00C31A95" w:rsidRPr="00595533" w:rsidRDefault="00C31A95" w:rsidP="00092454">
      <w:pPr>
        <w:rPr>
          <w:lang w:val="lv-LV"/>
        </w:rPr>
      </w:pPr>
      <w:r w:rsidRPr="00595533">
        <w:rPr>
          <w:lang w:val="lv-LV"/>
        </w:rPr>
        <w:t>Lai izstrādātu detalizētu</w:t>
      </w:r>
      <w:r w:rsidR="00CB208D" w:rsidRPr="00595533">
        <w:rPr>
          <w:lang w:val="lv-LV"/>
        </w:rPr>
        <w:t>,</w:t>
      </w:r>
      <w:r w:rsidRPr="00595533">
        <w:rPr>
          <w:lang w:val="lv-LV"/>
        </w:rPr>
        <w:t xml:space="preserve"> Latvijas situācijai optimālu bērnu ar speciālām vajadzībām sniedzamā izglītības, veselības aprūpes, sociālā atbalsta pakalpojuma modeļa piedāvājumu, 2017.</w:t>
      </w:r>
      <w:r w:rsidR="00332871" w:rsidRPr="00595533">
        <w:rPr>
          <w:lang w:val="lv-LV"/>
        </w:rPr>
        <w:t> </w:t>
      </w:r>
      <w:r w:rsidR="00CB208D" w:rsidRPr="00595533">
        <w:rPr>
          <w:lang w:val="lv-LV"/>
        </w:rPr>
        <w:t>gadā norisinās pētījums p</w:t>
      </w:r>
      <w:r w:rsidRPr="00595533">
        <w:rPr>
          <w:lang w:val="lv-LV"/>
        </w:rPr>
        <w:t>ar bērniem ar speciālām vajadzībām sniedzamo atbalsta pakalpojumu izmaksu modeli iekļaujošas izglītības īstenošanas kontekstā.</w:t>
      </w:r>
    </w:p>
    <w:p w14:paraId="787B3237" w14:textId="3F82DD8F" w:rsidR="00C31A95" w:rsidRPr="00595533" w:rsidRDefault="00332871" w:rsidP="00092454">
      <w:pPr>
        <w:rPr>
          <w:lang w:val="lv-LV"/>
        </w:rPr>
      </w:pPr>
      <w:r w:rsidRPr="00595533">
        <w:rPr>
          <w:lang w:val="lv-LV"/>
        </w:rPr>
        <w:t>Tāpat a</w:t>
      </w:r>
      <w:r w:rsidR="00C31A95" w:rsidRPr="00595533">
        <w:rPr>
          <w:lang w:val="lv-LV"/>
        </w:rPr>
        <w:t>r ES fondu atbalstu</w:t>
      </w:r>
      <w:r w:rsidR="00C31A95" w:rsidRPr="00595533">
        <w:rPr>
          <w:rStyle w:val="FootnoteReference"/>
          <w:b/>
          <w:lang w:val="lv-LV"/>
        </w:rPr>
        <w:footnoteReference w:id="44"/>
      </w:r>
      <w:r w:rsidR="00C31A95" w:rsidRPr="00595533">
        <w:rPr>
          <w:lang w:val="lv-LV"/>
        </w:rPr>
        <w:t xml:space="preserve"> plānota pedagogu un pedagoģiskā atbalsta personāla profesionālās kompetences pilnveide darbam ar skolēniem ar speciālām vajadzībām, tai skaitā mācīšanās traucējumiem, mācību grūtībām, efektīvu rīku pielietošanai skolēnu </w:t>
      </w:r>
      <w:r w:rsidR="00C31A95" w:rsidRPr="00595533">
        <w:rPr>
          <w:lang w:val="lv-LV"/>
        </w:rPr>
        <w:lastRenderedPageBreak/>
        <w:t>kompetenču attīstīšanai, interešu īstenošanai, pedagogiem nepieciešamajām mūžizglītības kompetencēm.</w:t>
      </w:r>
    </w:p>
    <w:p w14:paraId="1366084B" w14:textId="77CFB188" w:rsidR="00CB208D" w:rsidRPr="00595533" w:rsidRDefault="00CB208D" w:rsidP="00092454">
      <w:pPr>
        <w:rPr>
          <w:b/>
          <w:u w:val="single"/>
          <w:lang w:val="lv-LV"/>
        </w:rPr>
      </w:pPr>
      <w:r w:rsidRPr="00595533">
        <w:rPr>
          <w:b/>
          <w:u w:val="single"/>
          <w:lang w:val="lv-LV"/>
        </w:rPr>
        <w:t>Profesionālā izglītība</w:t>
      </w:r>
    </w:p>
    <w:p w14:paraId="49F0111D" w14:textId="60529509" w:rsidR="00CB208D" w:rsidRPr="00595533" w:rsidRDefault="00CB208D" w:rsidP="00CB208D">
      <w:pPr>
        <w:rPr>
          <w:lang w:val="lv-LV"/>
        </w:rPr>
      </w:pPr>
      <w:r w:rsidRPr="00595533">
        <w:rPr>
          <w:lang w:val="lv-LV"/>
        </w:rPr>
        <w:t xml:space="preserve">Lai paaugstinātu </w:t>
      </w:r>
      <w:r w:rsidRPr="00595533">
        <w:rPr>
          <w:b/>
          <w:lang w:val="lv-LV"/>
        </w:rPr>
        <w:t>profesionālās izglītības kvalitāti</w:t>
      </w:r>
      <w:r w:rsidRPr="00595533">
        <w:rPr>
          <w:lang w:val="lv-LV"/>
        </w:rPr>
        <w:t>, pievilcību un atbilstību tautsaimniecības vajadzībām, kā arī veicinātu izglītojamo interesi par profesionālo izglītību, tika turpinātas profesionālās izglītības reformas, tajā skaitā profesionālas izglītības satura reforma un darba vidē balstītu mācību īstenošanu sistēmiskajā līmenī. Profesionālās izglītības satura reforma nodrošina parēju no priekšmetos balstītā profesionālās izglītības mācību satura uz mācīšanās rezultātos balstītu, kā arī ievieš modulāro pieeju profesionālās izglītības programmu īstenošanā. Lai pilnveidotu profesionālās izglītības saturu, modernizējot nozaru kvalifikāciju sistēmu, ieviešot izglītības programmu modulāro pieeju un nodrošinot nepieciešamos mācību līdzekļus programmu kvalitatīvai īstenošanai, ar ES fondu atbalstu</w:t>
      </w:r>
      <w:r w:rsidRPr="00595533">
        <w:rPr>
          <w:rStyle w:val="FootnoteReference"/>
          <w:b/>
          <w:lang w:val="lv-LV"/>
        </w:rPr>
        <w:footnoteReference w:id="45"/>
      </w:r>
      <w:r w:rsidRPr="00595533">
        <w:rPr>
          <w:lang w:val="lv-LV"/>
        </w:rPr>
        <w:t xml:space="preserve"> plānots izstrādāt profesiju standartus, profesionālās kvalifikācijas prasības un profesionālās kvalifikācijas eksāmenu saturu.</w:t>
      </w:r>
    </w:p>
    <w:p w14:paraId="79ADB691" w14:textId="508FDFA0" w:rsidR="00CB208D" w:rsidRPr="00595533" w:rsidRDefault="00CB208D" w:rsidP="00CB208D">
      <w:pPr>
        <w:rPr>
          <w:lang w:val="lv-LV"/>
        </w:rPr>
      </w:pPr>
      <w:r w:rsidRPr="00595533">
        <w:rPr>
          <w:lang w:val="lv-LV"/>
        </w:rPr>
        <w:t>Saskaņā ar 2015. gadā Saeimā pieņemtajiem Profesionālās izglītības likuma grozījumiem, tika izveidoti patstāvīgi sadarbības mehānismi ar sociālajiem partneriem, tautsaimniecības nozaru pārstāvjiem un darba devējiem, nodrošinot to tiešu iesaisti profesionālās izglītības procesā. 2016.` gadā tika pieņemta virkne MK noteikumu, kas detalizēti aprakstīja minētās sadarbības nosacījumus, tajā skaitā Nozaru ekspertu padomju (NEP) izveidošanas, darbības un darbības</w:t>
      </w:r>
      <w:r w:rsidR="008B7CDF" w:rsidRPr="00595533">
        <w:rPr>
          <w:lang w:val="lv-LV"/>
        </w:rPr>
        <w:t xml:space="preserve"> koordinācijas kārtību, kā arī</w:t>
      </w:r>
      <w:r w:rsidRPr="00595533">
        <w:rPr>
          <w:lang w:val="lv-LV"/>
        </w:rPr>
        <w:t xml:space="preserve"> kārtību, kādā organizē un īsteno darba vidē balstītas (DVB) mācības. NEP ir būtiska loma efektīvas un kvalitatīvas profesionālās izglītības sistēmas izve</w:t>
      </w:r>
      <w:r w:rsidR="008B7CDF" w:rsidRPr="00595533">
        <w:rPr>
          <w:lang w:val="lv-LV"/>
        </w:rPr>
        <w:t>idē un uzturēšanā. Papildus tam</w:t>
      </w:r>
      <w:r w:rsidRPr="00595533">
        <w:rPr>
          <w:lang w:val="lv-LV"/>
        </w:rPr>
        <w:t xml:space="preserve"> pieņemtie Profesionālās izglītības likuma grozījumi nosaka, ka valsts un pašvaldību profesionālās izglītības iestādēs, kuras īsteno profesionālās pamatizglītības, arodizglītības un profesionālās vidējās izglītības</w:t>
      </w:r>
      <w:r w:rsidR="008B7CDF" w:rsidRPr="00595533">
        <w:rPr>
          <w:lang w:val="lv-LV"/>
        </w:rPr>
        <w:t xml:space="preserve"> programmas, jāizveido koleģiāla padomdevēju institūcija – konvents</w:t>
      </w:r>
      <w:r w:rsidRPr="00595533">
        <w:rPr>
          <w:lang w:val="lv-LV"/>
        </w:rPr>
        <w:t xml:space="preserve">. Tā mērķis ir veicināt profesionālās izglītības iestādes attīstību, nosakot tās darbības stratēģiskos virzienus, atbilstoši darba tirgus prasībām. Konventi ir nodibināti un </w:t>
      </w:r>
      <w:r w:rsidR="008B7CDF" w:rsidRPr="00595533">
        <w:rPr>
          <w:lang w:val="lv-LV"/>
        </w:rPr>
        <w:t xml:space="preserve">kopš 2016. gada sākuma </w:t>
      </w:r>
      <w:r w:rsidRPr="00595533">
        <w:rPr>
          <w:lang w:val="lv-LV"/>
        </w:rPr>
        <w:t>aktīvi darbojas visās IZM pārvaldībā esošajās profesionālajās izglītības iestādēs.</w:t>
      </w:r>
    </w:p>
    <w:p w14:paraId="1841C95F" w14:textId="77777777" w:rsidR="00CB208D" w:rsidRPr="00595533" w:rsidRDefault="00CB208D" w:rsidP="00CB208D">
      <w:pPr>
        <w:rPr>
          <w:lang w:val="lv-LV"/>
        </w:rPr>
      </w:pPr>
      <w:r w:rsidRPr="00595533">
        <w:rPr>
          <w:lang w:val="lv-LV"/>
        </w:rPr>
        <w:t xml:space="preserve">Sekmējot </w:t>
      </w:r>
      <w:r w:rsidRPr="00595533">
        <w:rPr>
          <w:b/>
          <w:lang w:val="lv-LV"/>
        </w:rPr>
        <w:t>profesionālās izglītības atbilstību darba tirgus prasībām</w:t>
      </w:r>
      <w:r w:rsidRPr="00595533">
        <w:rPr>
          <w:lang w:val="lv-LV"/>
        </w:rPr>
        <w:t>, notiek DVB mācību attīstības process. Profesionālās izglītības likumā ietvertie grozījumi definēja DVB mācības kā vienu no profesionālās izglītības ieguves formām, kā arī deleģēja MK noteikt DVB mācību organizēšanas un īstenošanas kārtību. 2016. gadā MK tika apstiprināta kārtība, kura nosaka DVB mācību īstenošanas nosacījumus, profesionālas izglītības iestāžu, darba devēju, kā arī audzēkņu tiesības un pienākumus, un nozaru ekspertu padomju lomu DVB mācību īstenošanā, koordinējot un veicinot komersantu sadarbību ar izglītības iestādēm un nodrošinot profesionālās izglītības atbilstību aktuālajām darba tirgus prasībām. Atbalstot DVB mācību īstenošanā iesaistītās puses, tika izstrādātas Darba vidē balstītu mācību organizēšanas un īstenošanas vadlīnijas. Vienlaikus tika izstrādāti grozījumi likumā “Par iedzīvotāju ienākuma nodokli”, paplašinot ar iedzīvotāju ienākuma nodokli neapliekamos ienākumus ar stipendijām, ko izglītojamajam DVB mācību ietvaros izmaksā komersants vai cits DVB mācību īstenotājs.</w:t>
      </w:r>
    </w:p>
    <w:p w14:paraId="2ED6FC2F" w14:textId="48D0EFA7" w:rsidR="00CB208D" w:rsidRPr="00595533" w:rsidRDefault="00CB208D" w:rsidP="00CB208D">
      <w:pPr>
        <w:rPr>
          <w:lang w:val="lv-LV"/>
        </w:rPr>
      </w:pPr>
      <w:r w:rsidRPr="00595533">
        <w:rPr>
          <w:lang w:val="lv-LV"/>
        </w:rPr>
        <w:t>Lai veicinātu profesionālās izglītības iestāžu audzēkņu iesaistīšano</w:t>
      </w:r>
      <w:r w:rsidR="008B7CDF" w:rsidRPr="00595533">
        <w:rPr>
          <w:lang w:val="lv-LV"/>
        </w:rPr>
        <w:t>s DVB mācībās, 2017. gadā uzsākts</w:t>
      </w:r>
      <w:r w:rsidRPr="00595533">
        <w:rPr>
          <w:lang w:val="lv-LV"/>
        </w:rPr>
        <w:t xml:space="preserve"> īstenot ES fondu projektu</w:t>
      </w:r>
      <w:r w:rsidRPr="00595533">
        <w:rPr>
          <w:rStyle w:val="FootnoteReference"/>
          <w:b/>
          <w:lang w:val="lv-LV"/>
        </w:rPr>
        <w:footnoteReference w:id="46"/>
      </w:r>
      <w:r w:rsidRPr="00595533">
        <w:rPr>
          <w:lang w:val="lv-LV"/>
        </w:rPr>
        <w:t xml:space="preserve">, kas sniegs atbalstu gan audzēkņu iesaistei DVB mācībās, gan viņu dalībai mācību praksē uzņēmumā.  </w:t>
      </w:r>
    </w:p>
    <w:p w14:paraId="0895532C" w14:textId="066D55EE" w:rsidR="00CB208D" w:rsidRPr="00595533" w:rsidRDefault="00CB208D" w:rsidP="00CB208D">
      <w:pPr>
        <w:rPr>
          <w:lang w:val="lv-LV"/>
        </w:rPr>
      </w:pPr>
      <w:r w:rsidRPr="00595533">
        <w:rPr>
          <w:lang w:val="lv-LV"/>
        </w:rPr>
        <w:lastRenderedPageBreak/>
        <w:t xml:space="preserve">Vienlaikus ir nodrošināti priekšnosacījumi </w:t>
      </w:r>
      <w:r w:rsidR="000C5AE1">
        <w:rPr>
          <w:lang w:val="lv-LV"/>
        </w:rPr>
        <w:t>Ei</w:t>
      </w:r>
      <w:r w:rsidR="00595533" w:rsidRPr="00595533">
        <w:rPr>
          <w:lang w:val="lv-LV"/>
        </w:rPr>
        <w:t>ro</w:t>
      </w:r>
      <w:r w:rsidRPr="00595533">
        <w:rPr>
          <w:lang w:val="lv-LV"/>
        </w:rPr>
        <w:t>pas kredītpunktu pārneses sistēmas (ECVET) ieviešanai profesionālajā izglītībā, nodrošinot kvalifikāciju ietvarstruktūras īstenošanu, profesionālās izglītības satura reformu, t.sk. kompetencēs balstītu pieeju un programmu modularizāciju. Tāpat tiek nodrošinātas iespējas un pieejamība personām veikt ārpus formālās izglītības sistēmas apgūtās profesionālās kompetences novērtēšanu un profesionālās kvalifikācijas apliecinoša dokumenta iegūšanu. 2016.gadā tika piešķirts deleģējums veikt ārpus formālās izglītības sistēmas apgūtās profesionālās kompetences novērtēšanu 24 izglītības iestādēm.</w:t>
      </w:r>
    </w:p>
    <w:p w14:paraId="63A46605" w14:textId="77777777" w:rsidR="00CB208D" w:rsidRPr="00595533" w:rsidRDefault="00CB208D" w:rsidP="00CB208D">
      <w:pPr>
        <w:rPr>
          <w:lang w:val="lv-LV"/>
        </w:rPr>
      </w:pPr>
      <w:r w:rsidRPr="00595533">
        <w:rPr>
          <w:b/>
          <w:lang w:val="lv-LV"/>
        </w:rPr>
        <w:t>Profesionālās izglītības satura reforma</w:t>
      </w:r>
      <w:r w:rsidRPr="00595533">
        <w:rPr>
          <w:lang w:val="lv-LV"/>
        </w:rPr>
        <w:t xml:space="preserve"> nodrošina parēju no priekšmetos balstītā profesionālās izglītības mācību satura uz mācīšanās rezultātos balstītu, kā arī ievieš modulāro pieeju profesionālās izglītības programmu īstenošanā. 2016./2017.mācību gadā tika uzsākta izstrādāto profesionālās izglītības modulāro programmu īstenošanas aprobācija, tāpēc ir veikti grozījumi Profesionālās izglītības likumā</w:t>
      </w:r>
      <w:r w:rsidRPr="00595533">
        <w:rPr>
          <w:vertAlign w:val="superscript"/>
          <w:lang w:val="lv-LV"/>
        </w:rPr>
        <w:footnoteReference w:id="47"/>
      </w:r>
      <w:r w:rsidRPr="00595533">
        <w:rPr>
          <w:lang w:val="lv-LV"/>
        </w:rPr>
        <w:t>, kuros ietverts regulējums par modulārajām profesionālās izglītības programmām.</w:t>
      </w:r>
    </w:p>
    <w:p w14:paraId="34EAC002" w14:textId="77777777" w:rsidR="00CB208D" w:rsidRPr="00595533" w:rsidRDefault="00CB208D" w:rsidP="00CB208D">
      <w:pPr>
        <w:rPr>
          <w:lang w:val="lv-LV"/>
        </w:rPr>
      </w:pPr>
      <w:r w:rsidRPr="00595533">
        <w:rPr>
          <w:lang w:val="lv-LV"/>
        </w:rPr>
        <w:t xml:space="preserve">Lai nodrošinātu profesionālās izglītības </w:t>
      </w:r>
      <w:r w:rsidRPr="00595533">
        <w:rPr>
          <w:b/>
          <w:lang w:val="lv-LV"/>
        </w:rPr>
        <w:t>iestāžu efektīvu pārvaldību un iesaistītā personāla vispārējo prasmju un profesionālo kompetenču pilnveidi</w:t>
      </w:r>
      <w:r w:rsidRPr="00595533">
        <w:rPr>
          <w:lang w:val="lv-LV"/>
        </w:rPr>
        <w:t>, ar ES fondu atbalstu</w:t>
      </w:r>
      <w:r w:rsidRPr="00595533">
        <w:rPr>
          <w:rStyle w:val="FootnoteReference"/>
          <w:b/>
          <w:lang w:val="lv-LV"/>
        </w:rPr>
        <w:footnoteReference w:id="48"/>
      </w:r>
      <w:r w:rsidRPr="00595533">
        <w:rPr>
          <w:lang w:val="lv-LV"/>
        </w:rPr>
        <w:t xml:space="preserve"> tiek īstenoti atbalsta pasākumi profesionālajā izglītībā iesaistītajiem (iestāžu administrācijas darbiniekiem, pedagogiem, prakses vadītājiem un amata meistariem, darba vidē balstītu mācību vadītājiem u.c.), ievērojot mainīgās darba tirgus prasības un tehnoloģiju attīstību, kā arī atjaunoto profesionālās izglītības saturu.</w:t>
      </w:r>
    </w:p>
    <w:p w14:paraId="2CD4DFAC" w14:textId="77777777" w:rsidR="00CB208D" w:rsidRPr="00595533" w:rsidRDefault="00CB208D" w:rsidP="00CB208D">
      <w:pPr>
        <w:rPr>
          <w:lang w:val="lv-LV"/>
        </w:rPr>
      </w:pPr>
      <w:r w:rsidRPr="00595533">
        <w:rPr>
          <w:lang w:val="lv-LV"/>
        </w:rPr>
        <w:t>Ar ES fondu atbalstu</w:t>
      </w:r>
      <w:r w:rsidRPr="00595533">
        <w:rPr>
          <w:rStyle w:val="FootnoteReference"/>
          <w:b/>
          <w:lang w:val="lv-LV"/>
        </w:rPr>
        <w:footnoteReference w:id="49"/>
      </w:r>
      <w:r w:rsidRPr="00595533">
        <w:rPr>
          <w:lang w:val="lv-LV"/>
        </w:rPr>
        <w:t xml:space="preserve"> uzsākta pedagogu profesionālā pilnveide darbam ar pieaugušajiem izglītojamajie, un tiek izstrādāts metodiskais materiāls darbam ar šo mērķgrupu.</w:t>
      </w:r>
    </w:p>
    <w:p w14:paraId="6FC18969" w14:textId="25BC394D" w:rsidR="00CB208D" w:rsidRPr="00595533" w:rsidRDefault="00D124EF" w:rsidP="00C31A95">
      <w:pPr>
        <w:rPr>
          <w:b/>
          <w:u w:val="single"/>
          <w:lang w:val="lv-LV"/>
        </w:rPr>
      </w:pPr>
      <w:r w:rsidRPr="00595533">
        <w:rPr>
          <w:b/>
          <w:u w:val="single"/>
          <w:lang w:val="lv-LV"/>
        </w:rPr>
        <w:t>Jaunatnes politika</w:t>
      </w:r>
    </w:p>
    <w:p w14:paraId="6B2142C4" w14:textId="458042B0" w:rsidR="00C31A95" w:rsidRPr="00595533" w:rsidRDefault="00C31A95" w:rsidP="00C31A95">
      <w:pPr>
        <w:rPr>
          <w:lang w:val="lv-LV"/>
        </w:rPr>
      </w:pPr>
      <w:r w:rsidRPr="00595533">
        <w:rPr>
          <w:lang w:val="lv-LV"/>
        </w:rPr>
        <w:t>Pamatojoties uz 2015.</w:t>
      </w:r>
      <w:r w:rsidR="00092454" w:rsidRPr="00595533">
        <w:rPr>
          <w:lang w:val="lv-LV"/>
        </w:rPr>
        <w:t> </w:t>
      </w:r>
      <w:r w:rsidRPr="00595533">
        <w:rPr>
          <w:lang w:val="lv-LV"/>
        </w:rPr>
        <w:t xml:space="preserve">gadā veiktajiem pētījumiem par </w:t>
      </w:r>
      <w:r w:rsidRPr="00595533">
        <w:rPr>
          <w:b/>
          <w:lang w:val="lv-LV"/>
        </w:rPr>
        <w:t xml:space="preserve">priekšlaicīgas mācību pārtraukšanas </w:t>
      </w:r>
      <w:r w:rsidRPr="00595533">
        <w:rPr>
          <w:lang w:val="lv-LV"/>
        </w:rPr>
        <w:t xml:space="preserve">iemesliem un to veicinošajiem faktoriem, tika sagatavoti priekšlikumi preventīviem pasākumiem priekšlaicīgas mācību pārtraukšanas samazināšanai. Lai īstenotu paredzēto pasākumu kopumu, izmantojot ES fondu </w:t>
      </w:r>
      <w:r w:rsidR="00092454" w:rsidRPr="00595533">
        <w:rPr>
          <w:lang w:val="lv-LV"/>
        </w:rPr>
        <w:t>finansējumu</w:t>
      </w:r>
      <w:r w:rsidRPr="00595533">
        <w:rPr>
          <w:rStyle w:val="FootnoteReference"/>
          <w:b/>
          <w:lang w:val="lv-LV"/>
        </w:rPr>
        <w:footnoteReference w:id="50"/>
      </w:r>
      <w:r w:rsidR="00AF5874">
        <w:rPr>
          <w:lang w:val="lv-LV"/>
        </w:rPr>
        <w:t xml:space="preserve">, tiek sniegts </w:t>
      </w:r>
      <w:r w:rsidRPr="00595533">
        <w:rPr>
          <w:lang w:val="lv-LV"/>
        </w:rPr>
        <w:t>atbalsts priekšlaicīgas mācību pārtraukšanas riska grupai – vispārējās izglītības iestāžu skolēniem no 5.</w:t>
      </w:r>
      <w:r w:rsidR="00092454" w:rsidRPr="00595533">
        <w:rPr>
          <w:lang w:val="lv-LV"/>
        </w:rPr>
        <w:t> </w:t>
      </w:r>
      <w:r w:rsidRPr="00595533">
        <w:rPr>
          <w:lang w:val="lv-LV"/>
        </w:rPr>
        <w:t>līdz 12.</w:t>
      </w:r>
      <w:r w:rsidR="00092454" w:rsidRPr="00595533">
        <w:rPr>
          <w:lang w:val="lv-LV"/>
        </w:rPr>
        <w:t> </w:t>
      </w:r>
      <w:r w:rsidRPr="00595533">
        <w:rPr>
          <w:lang w:val="lv-LV"/>
        </w:rPr>
        <w:t>klasei, kā arī profesionālās izglītības iestāžu izglītojamajiem no 1.</w:t>
      </w:r>
      <w:r w:rsidR="00092454" w:rsidRPr="00595533">
        <w:rPr>
          <w:lang w:val="lv-LV"/>
        </w:rPr>
        <w:t> </w:t>
      </w:r>
      <w:r w:rsidRPr="00595533">
        <w:rPr>
          <w:lang w:val="lv-LV"/>
        </w:rPr>
        <w:t>līdz 4.</w:t>
      </w:r>
      <w:r w:rsidR="00092454" w:rsidRPr="00595533">
        <w:rPr>
          <w:lang w:val="lv-LV"/>
        </w:rPr>
        <w:t> </w:t>
      </w:r>
      <w:r w:rsidR="00F9432F">
        <w:rPr>
          <w:lang w:val="lv-LV"/>
        </w:rPr>
        <w:t>kursam.</w:t>
      </w:r>
      <w:r w:rsidR="00AF5874" w:rsidRPr="00AF5874">
        <w:rPr>
          <w:lang w:val="lv-LV"/>
        </w:rPr>
        <w:t xml:space="preserve"> Atbalsts primāri nodrošināts individuāli tiem izglītojamajiem, kam novērojamas priekšlaicīgas mācību pārtraukšanas (PMP) indikācijas un tiem, kuri ir pakļauti apstākļiem, kas var veicināt PMP riska iestāšanos, piemēram, mācību vides vai izglītības iestādes maiņa, vecāku ilgstoša prombūtne, bērnu atstāšana novārtā utml. </w:t>
      </w:r>
    </w:p>
    <w:p w14:paraId="7BDAE11A" w14:textId="3DEAB228" w:rsidR="00CB208D" w:rsidRPr="00595533" w:rsidRDefault="00CB208D" w:rsidP="00C31A95">
      <w:pPr>
        <w:rPr>
          <w:lang w:val="lv-LV"/>
        </w:rPr>
      </w:pPr>
      <w:r w:rsidRPr="00595533">
        <w:rPr>
          <w:b/>
          <w:lang w:val="lv-LV"/>
        </w:rPr>
        <w:t>Karjeras izglītības</w:t>
      </w:r>
      <w:r w:rsidRPr="00595533">
        <w:rPr>
          <w:lang w:val="lv-LV"/>
        </w:rPr>
        <w:t xml:space="preserve"> pieejamības uzlabošanai 2016. gadā ar ES fondu atbalstu</w:t>
      </w:r>
      <w:r w:rsidRPr="00595533">
        <w:rPr>
          <w:rStyle w:val="FootnoteReference"/>
          <w:b/>
          <w:lang w:val="lv-LV"/>
        </w:rPr>
        <w:footnoteReference w:id="51"/>
      </w:r>
      <w:r w:rsidRPr="00595533">
        <w:rPr>
          <w:lang w:val="lv-LV"/>
        </w:rPr>
        <w:t xml:space="preserve"> uzsākts īstenot aktivitātes karjeras atbalstam izglītojamajiem vispārējās un profesionālās izglītības iestādēs. Ieguldījumi sekmēs ne vien karjeras atbalsta pakalpojumu pieejamību, bet arī to kvalitāti un daudzveidību.</w:t>
      </w:r>
    </w:p>
    <w:p w14:paraId="474E8939" w14:textId="3B5CE3A7" w:rsidR="00C31A95" w:rsidRPr="00595533" w:rsidRDefault="00092454" w:rsidP="00092454">
      <w:pPr>
        <w:rPr>
          <w:lang w:val="lv-LV"/>
        </w:rPr>
      </w:pPr>
      <w:r w:rsidRPr="00595533">
        <w:rPr>
          <w:lang w:val="lv-LV"/>
        </w:rPr>
        <w:t xml:space="preserve">Būtiska nozīme jaunatnes politikas mērķu sasniegšanā ir nevalstiskajām organizācijām, kas strādā ar jauniešu mērķa grupu (t.sk. ar sociāli atstumtajiem jauniešiem), attīsta jauniešu kompetences, motivē viņus iesaistīties nevalstisko organizāciju darbībā, iedrošina līdzdarboties sabiedrībā notiekošajos procesos, atbalsta viņu iesaistīšanos </w:t>
      </w:r>
      <w:r w:rsidRPr="00595533">
        <w:rPr>
          <w:lang w:val="lv-LV"/>
        </w:rPr>
        <w:lastRenderedPageBreak/>
        <w:t xml:space="preserve">starptautiskos projektos utt. </w:t>
      </w:r>
      <w:r w:rsidR="00C31A95" w:rsidRPr="00595533">
        <w:rPr>
          <w:lang w:val="lv-LV"/>
        </w:rPr>
        <w:t>Latvijas – Šveices sadarbības programmas ietvaros</w:t>
      </w:r>
      <w:r w:rsidR="00C31A95" w:rsidRPr="00595533">
        <w:rPr>
          <w:rStyle w:val="FootnoteReference"/>
          <w:b/>
          <w:lang w:val="lv-LV"/>
        </w:rPr>
        <w:footnoteReference w:id="52"/>
      </w:r>
      <w:r w:rsidR="00C31A95" w:rsidRPr="00595533">
        <w:rPr>
          <w:lang w:val="lv-LV"/>
        </w:rPr>
        <w:t xml:space="preserve"> ir izveidoti 26 </w:t>
      </w:r>
      <w:r w:rsidR="00C31A95" w:rsidRPr="00595533">
        <w:rPr>
          <w:b/>
          <w:lang w:val="lv-LV"/>
        </w:rPr>
        <w:t>jauniešu centri</w:t>
      </w:r>
      <w:r w:rsidR="00C31A95" w:rsidRPr="00595533">
        <w:rPr>
          <w:lang w:val="lv-LV"/>
        </w:rPr>
        <w:t xml:space="preserve"> dažādos Latvijas reģionos, nodrošinot iespējas saturīga brīvā laika pavadīšanai ikvienam jaunietim, tai skaitā jauniešiem no sociālā riska grupas, tā veicinot sociālo iekļaušanu.</w:t>
      </w:r>
    </w:p>
    <w:p w14:paraId="68024694" w14:textId="40EF039B" w:rsidR="00C31A95" w:rsidRPr="00E808F6" w:rsidRDefault="00C31A95" w:rsidP="00C31A95">
      <w:pPr>
        <w:rPr>
          <w:lang w:val="lv-LV"/>
        </w:rPr>
      </w:pPr>
      <w:r w:rsidRPr="00595533">
        <w:rPr>
          <w:lang w:val="lv-LV"/>
        </w:rPr>
        <w:t xml:space="preserve">Programmas „Erasmus+: Jaunatne darbībā” ietvaros tiek organizētas nacionāla un starptautiska mēroga </w:t>
      </w:r>
      <w:r w:rsidRPr="00595533">
        <w:rPr>
          <w:b/>
          <w:lang w:val="lv-LV"/>
        </w:rPr>
        <w:t>apmācības jaunatnes darbiniekiem</w:t>
      </w:r>
      <w:r w:rsidRPr="00595533">
        <w:rPr>
          <w:lang w:val="lv-LV"/>
        </w:rPr>
        <w:t xml:space="preserve">. </w:t>
      </w:r>
      <w:r w:rsidR="00092454" w:rsidRPr="00595533">
        <w:rPr>
          <w:lang w:val="lv-LV"/>
        </w:rPr>
        <w:t>Šī programma</w:t>
      </w:r>
      <w:r w:rsidRPr="00595533">
        <w:rPr>
          <w:lang w:val="lv-LV"/>
        </w:rPr>
        <w:t xml:space="preserve"> </w:t>
      </w:r>
      <w:r w:rsidR="00092454" w:rsidRPr="00595533">
        <w:rPr>
          <w:lang w:val="lv-LV"/>
        </w:rPr>
        <w:t>cita starpā iesaista</w:t>
      </w:r>
      <w:r w:rsidRPr="00595533">
        <w:rPr>
          <w:lang w:val="lv-LV"/>
        </w:rPr>
        <w:t xml:space="preserve"> jauniešus ar ierobežotām iespējām, tādējādi nodrošinot aktivitātes, kas veicinātu viņu iekļaušanos sabiedrībā, attīstītu prasmes un iemaņas, kā arī veicinātu aktīvu līdzdalību. Jauniešu un darbā ar jaunatni iesaistīto interese piedalīties apmācībās ir augsta, jo apmācības tiek organizētas par viņiem saistošām un aktuālām tēmām.</w:t>
      </w:r>
      <w:r w:rsidRPr="00595533">
        <w:rPr>
          <w:rFonts w:ascii="Times New Roman" w:hAnsi="Times New Roman"/>
          <w:lang w:val="lv-LV"/>
        </w:rPr>
        <w:t xml:space="preserve"> </w:t>
      </w:r>
      <w:r w:rsidR="00092454" w:rsidRPr="00595533">
        <w:rPr>
          <w:lang w:val="lv-LV"/>
        </w:rPr>
        <w:t xml:space="preserve">Sekojoši jaunatnes politikas valsts programmas ietvaros (2014. – 2016. gads) īstenoti 43 sociālās </w:t>
      </w:r>
      <w:r w:rsidR="00092454" w:rsidRPr="00E808F6">
        <w:rPr>
          <w:lang w:val="lv-LV"/>
        </w:rPr>
        <w:t>atstumtības riskam pakļauto jauniešu iniciatīvas projekti ar mērķi sekmēt šo jauniešu līdzdalību, iegūt un pilnveidot kompetences, kas ir pieprasītas darba tirgū un veicina viņu personīgo izaugsmi</w:t>
      </w:r>
      <w:r w:rsidR="00D124EF" w:rsidRPr="00E808F6">
        <w:rPr>
          <w:lang w:val="lv-LV"/>
        </w:rPr>
        <w:t>.</w:t>
      </w:r>
    </w:p>
    <w:p w14:paraId="2CDCF270" w14:textId="54A07F24" w:rsidR="00F9432F" w:rsidRPr="00E808F6" w:rsidRDefault="00F9432F" w:rsidP="00C31A95">
      <w:pPr>
        <w:rPr>
          <w:b/>
          <w:u w:val="single"/>
          <w:lang w:val="lv-LV"/>
        </w:rPr>
      </w:pPr>
      <w:r w:rsidRPr="00E808F6">
        <w:rPr>
          <w:b/>
          <w:u w:val="single"/>
          <w:lang w:val="lv-LV"/>
        </w:rPr>
        <w:t>Pieaugušo izglītība</w:t>
      </w:r>
    </w:p>
    <w:p w14:paraId="63802742" w14:textId="6D975193" w:rsidR="00F9432F" w:rsidRPr="00595533" w:rsidRDefault="00F9432F" w:rsidP="00C31A95">
      <w:pPr>
        <w:rPr>
          <w:rFonts w:ascii="Times New Roman" w:hAnsi="Times New Roman"/>
          <w:lang w:val="lv-LV"/>
        </w:rPr>
      </w:pPr>
      <w:r w:rsidRPr="00E808F6">
        <w:rPr>
          <w:lang w:val="lv-LV"/>
        </w:rPr>
        <w:t xml:space="preserve">Pieaugušo izglītības efektīvai realizācijai 2016. gadā tika iezīmēta nozaru politiku mijiedarbība un noteikts funkciju sadalījums starp iesaistītajām ministrijām šīs politikas īstenošanā un turpmākā attīstībā. Paredzēts, ka </w:t>
      </w:r>
      <w:r w:rsidR="00294B5E">
        <w:rPr>
          <w:lang w:val="lv-LV"/>
        </w:rPr>
        <w:t>EM</w:t>
      </w:r>
      <w:r w:rsidRPr="00E808F6">
        <w:rPr>
          <w:lang w:val="lv-LV"/>
        </w:rPr>
        <w:t xml:space="preserve"> veiks darba tirgus analīzi, kā arī izstrādās darba tirgus vidēja termiņa un ilgtermiņa prognozes, Izglītības un zinātnes ministrija nodarbosies ar projektiem</w:t>
      </w:r>
      <w:r>
        <w:rPr>
          <w:lang w:val="lv-LV"/>
        </w:rPr>
        <w:t xml:space="preserve">, kas paaugstina nodarbināto kvalifikāciju un pārkvalifikāciju, savukārt </w:t>
      </w:r>
      <w:r w:rsidR="00294B5E">
        <w:rPr>
          <w:lang w:val="lv-LV"/>
        </w:rPr>
        <w:t>LM</w:t>
      </w:r>
      <w:r>
        <w:rPr>
          <w:lang w:val="lv-LV"/>
        </w:rPr>
        <w:t xml:space="preserve"> pārraudzīs gan bezdarbnieku atgriešanos darba tirgū, gan darbu ar sociālās atstumtības riskam pakļautām personām.</w:t>
      </w:r>
    </w:p>
    <w:p w14:paraId="74C5C5ED" w14:textId="526FBEA7" w:rsidR="00CB208D" w:rsidRPr="00595533" w:rsidRDefault="00CB208D" w:rsidP="00CB208D">
      <w:pPr>
        <w:rPr>
          <w:b/>
          <w:u w:val="single"/>
          <w:lang w:val="lv-LV"/>
        </w:rPr>
      </w:pPr>
      <w:r w:rsidRPr="00595533">
        <w:rPr>
          <w:b/>
          <w:u w:val="single"/>
          <w:lang w:val="lv-LV"/>
        </w:rPr>
        <w:t xml:space="preserve">Izglītības </w:t>
      </w:r>
      <w:r w:rsidR="00460781" w:rsidRPr="00595533">
        <w:rPr>
          <w:b/>
          <w:u w:val="single"/>
          <w:lang w:val="lv-LV"/>
        </w:rPr>
        <w:t xml:space="preserve">kvalitātes </w:t>
      </w:r>
      <w:r w:rsidRPr="00595533">
        <w:rPr>
          <w:b/>
          <w:u w:val="single"/>
          <w:lang w:val="lv-LV"/>
        </w:rPr>
        <w:t>monitorings</w:t>
      </w:r>
    </w:p>
    <w:p w14:paraId="496A7759" w14:textId="77777777" w:rsidR="00CB208D" w:rsidRPr="00595533" w:rsidRDefault="00CB208D" w:rsidP="00CB208D">
      <w:pPr>
        <w:rPr>
          <w:lang w:val="lv-LV"/>
        </w:rPr>
      </w:pPr>
      <w:r w:rsidRPr="00595533">
        <w:rPr>
          <w:lang w:val="lv-LV"/>
        </w:rPr>
        <w:t>Lai nodrošinātu izmērāmu izglītības mērķu noteikšanu un mehānismu šo mērķu sasniegšanas uzraudzībai ilgtermiņā, ar ES fondu atbalstu</w:t>
      </w:r>
      <w:r w:rsidRPr="00595533">
        <w:rPr>
          <w:rStyle w:val="FootnoteReference"/>
          <w:b/>
          <w:lang w:val="lv-LV"/>
        </w:rPr>
        <w:footnoteReference w:id="53"/>
      </w:r>
      <w:r w:rsidRPr="00595533">
        <w:rPr>
          <w:lang w:val="lv-LV"/>
        </w:rPr>
        <w:t xml:space="preserve"> plānots izveidot vienotu </w:t>
      </w:r>
      <w:r w:rsidRPr="00595533">
        <w:rPr>
          <w:b/>
          <w:lang w:val="lv-LV"/>
        </w:rPr>
        <w:t>izglītības kvalitātes monitoringa sistēmu</w:t>
      </w:r>
      <w:r w:rsidRPr="00595533">
        <w:rPr>
          <w:lang w:val="lv-LV"/>
        </w:rPr>
        <w:t xml:space="preserve">. Šajā sistēmā tiks analizēta statistiskā informācija, salīdzinošo izglītības pētījumu rezultāti, centralizēto eksāmenu rezultāti, skolu akreditācijas un programmu licencēšanas un cita veida izglītības iestāžu darbu raksturojoša informācija un rādītāji. </w:t>
      </w:r>
    </w:p>
    <w:p w14:paraId="6EA447EC" w14:textId="57B1DC06" w:rsidR="00CB208D" w:rsidRPr="00595533" w:rsidRDefault="00CB208D" w:rsidP="00030D23">
      <w:pPr>
        <w:rPr>
          <w:lang w:val="lv-LV"/>
        </w:rPr>
      </w:pPr>
      <w:r w:rsidRPr="00595533">
        <w:rPr>
          <w:lang w:val="lv-LV"/>
        </w:rPr>
        <w:t>Izmantojot ES fondu atbalstu</w:t>
      </w:r>
      <w:r w:rsidRPr="00595533">
        <w:rPr>
          <w:rStyle w:val="FootnoteReference"/>
          <w:b/>
          <w:lang w:val="lv-LV"/>
        </w:rPr>
        <w:footnoteReference w:id="54"/>
      </w:r>
      <w:r w:rsidRPr="00595533">
        <w:rPr>
          <w:lang w:val="lv-LV"/>
        </w:rPr>
        <w:t>, tiek nodrošināta Latvijas dalība OECD Starptautiskās skolēnu novērtēšanas programmas pētījumā (OECD PISA), Starptautiskajā mācību vides pētījumā (OECD TALIS), Izglītības sistēmu indikatoru programmā (OECD INES), Zinātņu doktoru karjeras apsekojumā (OECD SCDH) un Starptautiskās izglītības sasniegumu novērtēšanas asociācijas Starptautiskajā lasītprasmes novērtēšanas pētījumā (IEA PIRLS). Latvijas dalība starptautiskajos izglītības pētījumos ir nepieciešama, lai objektīvi novērtētu izglītojamo mācību sasniegumus, kā arī efektīvāk plānotu un analizētu izglītības reformas. Šie pētījumi veido daļu no izglītības kvalitātes monitoringa</w:t>
      </w:r>
      <w:r w:rsidR="00D124EF" w:rsidRPr="00595533">
        <w:rPr>
          <w:lang w:val="lv-LV"/>
        </w:rPr>
        <w:t xml:space="preserve"> sistēmas.</w:t>
      </w:r>
    </w:p>
    <w:p w14:paraId="75228901" w14:textId="77777777" w:rsidR="00384533" w:rsidRPr="00595533" w:rsidRDefault="00384533" w:rsidP="00384533">
      <w:pPr>
        <w:pStyle w:val="NoSpacing"/>
        <w:rPr>
          <w:sz w:val="10"/>
          <w:szCs w:val="10"/>
          <w:lang w:val="lv-LV"/>
        </w:rPr>
      </w:pPr>
    </w:p>
    <w:p w14:paraId="50021A4B" w14:textId="77777777" w:rsidR="00B21C7B" w:rsidRPr="00595533" w:rsidRDefault="00B21C7B" w:rsidP="00B21C7B">
      <w:pPr>
        <w:pStyle w:val="Heading3"/>
        <w:rPr>
          <w:lang w:val="lv-LV"/>
        </w:rPr>
      </w:pPr>
      <w:bookmarkStart w:id="53" w:name="_Toc498690634"/>
      <w:r w:rsidRPr="00595533">
        <w:rPr>
          <w:lang w:val="lv-LV"/>
        </w:rPr>
        <w:t>PROGRESA NOVĒRTĒJUMS</w:t>
      </w:r>
      <w:bookmarkEnd w:id="53"/>
    </w:p>
    <w:p w14:paraId="0E44F760" w14:textId="77777777" w:rsidR="009B535A" w:rsidRPr="00595533" w:rsidRDefault="009B535A" w:rsidP="009B535A">
      <w:pPr>
        <w:rPr>
          <w:lang w:val="lv-LV"/>
        </w:rPr>
      </w:pPr>
      <w:r w:rsidRPr="00A6152B">
        <w:rPr>
          <w:lang w:val="lv-LV"/>
        </w:rPr>
        <w:t xml:space="preserve">Rīcības virziena </w:t>
      </w:r>
      <w:r w:rsidRPr="00A6152B">
        <w:rPr>
          <w:i/>
          <w:lang w:val="lv-LV"/>
        </w:rPr>
        <w:t>Kompetenču attīstība</w:t>
      </w:r>
      <w:r w:rsidRPr="00A6152B">
        <w:rPr>
          <w:lang w:val="lv-LV"/>
        </w:rPr>
        <w:t xml:space="preserve"> mērķu sasniegšanai sākotnēji tika plānots investēt kopumā 166,9 mlj euro. Uz starpposma izvērtējuma brīdi rīcības virziena uzdevumu īstenošanai jau ir apzinātas kopējās investīcijas 418,9 mlj euro apmērā jeb par 150,9% vairāk nekā sākotnēji plānots. Tādējādi </w:t>
      </w:r>
      <w:r w:rsidRPr="00A6152B">
        <w:rPr>
          <w:i/>
          <w:lang w:val="lv-LV"/>
        </w:rPr>
        <w:t>Kompetenču attīstība</w:t>
      </w:r>
      <w:r w:rsidRPr="00A6152B">
        <w:rPr>
          <w:lang w:val="lv-LV"/>
        </w:rPr>
        <w:t xml:space="preserve"> ir visvairāk pārfinansētais rīcības virziens attiecībā pret sākotnējo finansējuma mērķi, kam cēlonis lielā mērā ir ES fondu investīcijas vispārējā un profesionālajā izglītībā. No minētajām investīcijām </w:t>
      </w:r>
      <w:r w:rsidRPr="00A6152B">
        <w:rPr>
          <w:lang w:val="lv-LV"/>
        </w:rPr>
        <w:lastRenderedPageBreak/>
        <w:t>absolūti lielāko daļu jeb 82% veido ES fondu finansējums, savukārt nacionālais finansējums veido 15,6%, bet cits ārvalstu finansējums – 2,3%.</w:t>
      </w:r>
      <w:r w:rsidRPr="00595533">
        <w:rPr>
          <w:lang w:val="lv-LV"/>
        </w:rPr>
        <w:t xml:space="preserve"> </w:t>
      </w:r>
    </w:p>
    <w:p w14:paraId="564E236E" w14:textId="0A838F59" w:rsidR="00C66E1E" w:rsidRPr="00595533" w:rsidRDefault="00DF2513" w:rsidP="00C66E1E">
      <w:pPr>
        <w:rPr>
          <w:lang w:val="lv-LV"/>
        </w:rPr>
      </w:pPr>
      <w:r w:rsidRPr="00595533">
        <w:rPr>
          <w:lang w:val="lv-LV"/>
        </w:rPr>
        <w:t>Jaunākie OECD pētījum</w:t>
      </w:r>
      <w:r w:rsidR="00294B5E">
        <w:rPr>
          <w:lang w:val="lv-LV"/>
        </w:rPr>
        <w:t>i</w:t>
      </w:r>
      <w:r w:rsidRPr="00595533">
        <w:rPr>
          <w:lang w:val="lv-LV"/>
        </w:rPr>
        <w:t xml:space="preserve"> liecina, ka </w:t>
      </w:r>
      <w:r w:rsidR="00C66E1E" w:rsidRPr="00595533">
        <w:rPr>
          <w:lang w:val="lv-LV"/>
        </w:rPr>
        <w:t>progress</w:t>
      </w:r>
      <w:r w:rsidRPr="00595533">
        <w:rPr>
          <w:lang w:val="lv-LV"/>
        </w:rPr>
        <w:t xml:space="preserve">, mazinot jauniešu īpatsvaru, kuri uzrāda zemāko kompetences līmeni vispārējās izglītības sistēmā, nav rezultatīvs, proti, pēdējo astoņu gadu laikā šo skolēnu skaits praktiski nav mainījies un veido aptuveni sesto daļu </w:t>
      </w:r>
      <w:r w:rsidR="005B3ADE" w:rsidRPr="00595533">
        <w:rPr>
          <w:lang w:val="lv-LV"/>
        </w:rPr>
        <w:t xml:space="preserve">(17,7%) </w:t>
      </w:r>
      <w:r w:rsidRPr="00595533">
        <w:rPr>
          <w:lang w:val="lv-LV"/>
        </w:rPr>
        <w:t>no visiem vispārizglītojošo skolu skolēniem.</w:t>
      </w:r>
      <w:r w:rsidR="00C66E1E" w:rsidRPr="00595533">
        <w:rPr>
          <w:lang w:val="lv-LV"/>
        </w:rPr>
        <w:t xml:space="preserve"> </w:t>
      </w:r>
      <w:r w:rsidR="0022072D" w:rsidRPr="00595533">
        <w:rPr>
          <w:lang w:val="lv-LV"/>
        </w:rPr>
        <w:t xml:space="preserve">Tāpēc likumsakarīgi skolu nepabeigušo </w:t>
      </w:r>
      <w:r w:rsidR="00874E1A" w:rsidRPr="00595533">
        <w:rPr>
          <w:lang w:val="lv-LV"/>
        </w:rPr>
        <w:t>jauno cilvēku</w:t>
      </w:r>
      <w:r w:rsidR="0022072D" w:rsidRPr="00595533">
        <w:rPr>
          <w:lang w:val="lv-LV"/>
        </w:rPr>
        <w:t xml:space="preserve"> īpatsvars pēdējo gadu</w:t>
      </w:r>
      <w:r w:rsidR="00874E1A" w:rsidRPr="00595533">
        <w:rPr>
          <w:lang w:val="lv-LV"/>
        </w:rPr>
        <w:t xml:space="preserve"> laikā nav mainījies, proti, </w:t>
      </w:r>
      <w:r w:rsidR="0022072D" w:rsidRPr="00595533">
        <w:rPr>
          <w:lang w:val="lv-LV"/>
        </w:rPr>
        <w:t xml:space="preserve">pamatizglītības </w:t>
      </w:r>
      <w:r w:rsidR="00874E1A" w:rsidRPr="00595533">
        <w:rPr>
          <w:lang w:val="lv-LV"/>
        </w:rPr>
        <w:t xml:space="preserve">apguvi pārtrauc vai aroda vai vispārējās izglītības ieguvi pēc pamatizglītības iegūšanas neturpina aptuveni katrs desmitais jaunietis 18-24 gadu vecumā. Tiesa, salīdzinājumā ar citām </w:t>
      </w:r>
      <w:r w:rsidR="00D30611" w:rsidRPr="00595533">
        <w:rPr>
          <w:lang w:val="lv-LV"/>
        </w:rPr>
        <w:t>v</w:t>
      </w:r>
      <w:r w:rsidR="00874E1A" w:rsidRPr="00595533">
        <w:rPr>
          <w:lang w:val="lv-LV"/>
        </w:rPr>
        <w:t>alstīm šis rādītājs Latvijā nav augsts</w:t>
      </w:r>
      <w:r w:rsidR="00D30611" w:rsidRPr="00595533">
        <w:rPr>
          <w:lang w:val="lv-LV"/>
        </w:rPr>
        <w:t xml:space="preserve"> un tas atbilst ES vidējam līmenim.</w:t>
      </w:r>
      <w:r w:rsidR="0022072D" w:rsidRPr="00595533">
        <w:rPr>
          <w:lang w:val="lv-LV"/>
        </w:rPr>
        <w:t xml:space="preserve"> </w:t>
      </w:r>
      <w:r w:rsidRPr="00595533">
        <w:rPr>
          <w:lang w:val="lv-LV"/>
        </w:rPr>
        <w:t xml:space="preserve">Vienlaikus astoņu gadu laikā nav arī pieaudzis t.s. talantu skaits jeb to skolēnu īpatsvars, kuri demonstrē augstākos sasniegumus. </w:t>
      </w:r>
    </w:p>
    <w:p w14:paraId="758F6B0E" w14:textId="60FB320C" w:rsidR="005B3ADE" w:rsidRPr="00595533" w:rsidRDefault="009A72DE" w:rsidP="005B3ADE">
      <w:pPr>
        <w:pStyle w:val="attelunosaukums"/>
      </w:pPr>
      <w:r>
        <w:t>20</w:t>
      </w:r>
      <w:r w:rsidR="005B3ADE" w:rsidRPr="00595533">
        <w:t>.attēls.  Jauniešu īpatsvars, kuri uzrāda zemāko kompetences līmeni vispārējās izglītības sistēmā (%)</w:t>
      </w:r>
    </w:p>
    <w:p w14:paraId="6FD36F4C" w14:textId="77777777" w:rsidR="00E95C90" w:rsidRDefault="00E95C90" w:rsidP="00C66E1E">
      <w:pPr>
        <w:rPr>
          <w:lang w:val="lv-LV"/>
        </w:rPr>
      </w:pPr>
      <w:r w:rsidRPr="009A72DE">
        <w:rPr>
          <w:noProof/>
          <w:sz w:val="18"/>
          <w:szCs w:val="18"/>
          <w:lang w:val="lv-LV" w:eastAsia="lv-LV"/>
        </w:rPr>
        <w:drawing>
          <wp:inline distT="0" distB="0" distL="0" distR="0" wp14:anchorId="6A9A1DA3" wp14:editId="5F8A1F53">
            <wp:extent cx="5271715" cy="2417197"/>
            <wp:effectExtent l="0" t="0" r="5715"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B4EDEC" w14:textId="7A662B2F" w:rsidR="0022072D" w:rsidRPr="00595533" w:rsidRDefault="00D30611" w:rsidP="00C66E1E">
      <w:pPr>
        <w:rPr>
          <w:lang w:val="lv-LV"/>
        </w:rPr>
      </w:pPr>
      <w:r w:rsidRPr="00595533">
        <w:rPr>
          <w:lang w:val="lv-LV"/>
        </w:rPr>
        <w:t xml:space="preserve">Pieaugušo izglītība ir </w:t>
      </w:r>
      <w:r w:rsidR="0046400B" w:rsidRPr="00595533">
        <w:rPr>
          <w:lang w:val="lv-LV"/>
        </w:rPr>
        <w:t>instruments kompetenču un prasmju apguvei un pilnveidei mūža garumā, kas sekojoši sekmē personas konkurētspēju un izredzes iegūt labāk atalgotu darbu. Kā liecina dati, Latvijā to 25-64 gadus veco iedzīvotāju skaits, kuri iesaistīti pieaugušo izglītībā, ir salīdzinoši zems un veido 7,3%. Salīdzinājumam</w:t>
      </w:r>
      <w:r w:rsidR="00F034A6" w:rsidRPr="00595533">
        <w:rPr>
          <w:lang w:val="lv-LV"/>
        </w:rPr>
        <w:t>: vairumā Rietum</w:t>
      </w:r>
      <w:r w:rsidR="000C5AE1">
        <w:rPr>
          <w:lang w:val="lv-LV"/>
        </w:rPr>
        <w:t>ei</w:t>
      </w:r>
      <w:r w:rsidR="00595533" w:rsidRPr="00595533">
        <w:rPr>
          <w:lang w:val="lv-LV"/>
        </w:rPr>
        <w:t>ro</w:t>
      </w:r>
      <w:r w:rsidR="00F034A6" w:rsidRPr="00595533">
        <w:rPr>
          <w:lang w:val="lv-LV"/>
        </w:rPr>
        <w:t xml:space="preserve">pas un Skandināvijas valstu tas ir vismaz divreiz augstāks, tāpēc, ņemot vērā pieaugšo izglītības būtisko lomu un ietekmi uz konkurētspēju, arī NAP2020 kā </w:t>
      </w:r>
      <w:r w:rsidR="00140B9D" w:rsidRPr="00595533">
        <w:rPr>
          <w:lang w:val="lv-LV"/>
        </w:rPr>
        <w:t>mērķis not</w:t>
      </w:r>
      <w:r w:rsidR="00294B5E">
        <w:rPr>
          <w:lang w:val="lv-LV"/>
        </w:rPr>
        <w:t>ei</w:t>
      </w:r>
      <w:r w:rsidR="00140B9D" w:rsidRPr="00595533">
        <w:rPr>
          <w:lang w:val="lv-LV"/>
        </w:rPr>
        <w:t>kts pieaugušo</w:t>
      </w:r>
      <w:r w:rsidR="00F034A6" w:rsidRPr="00595533">
        <w:rPr>
          <w:lang w:val="lv-LV"/>
        </w:rPr>
        <w:t xml:space="preserve"> izglītībā iesaistīto personu skaita palielināšana līdz 1</w:t>
      </w:r>
      <w:r w:rsidR="00140B9D" w:rsidRPr="00595533">
        <w:rPr>
          <w:lang w:val="lv-LV"/>
        </w:rPr>
        <w:t xml:space="preserve">5% 2020.gadā. Tomēr </w:t>
      </w:r>
      <w:r w:rsidR="00F034A6" w:rsidRPr="00595533">
        <w:rPr>
          <w:lang w:val="lv-LV"/>
        </w:rPr>
        <w:t>dati</w:t>
      </w:r>
      <w:r w:rsidR="00140B9D" w:rsidRPr="00595533">
        <w:rPr>
          <w:lang w:val="lv-LV"/>
        </w:rPr>
        <w:t xml:space="preserve"> liecina</w:t>
      </w:r>
      <w:r w:rsidR="00F034A6" w:rsidRPr="00595533">
        <w:rPr>
          <w:lang w:val="lv-LV"/>
        </w:rPr>
        <w:t xml:space="preserve">, </w:t>
      </w:r>
      <w:r w:rsidR="00140B9D" w:rsidRPr="00595533">
        <w:rPr>
          <w:lang w:val="lv-LV"/>
        </w:rPr>
        <w:t xml:space="preserve">ka </w:t>
      </w:r>
      <w:r w:rsidR="00F034A6" w:rsidRPr="00595533">
        <w:rPr>
          <w:lang w:val="lv-LV"/>
        </w:rPr>
        <w:t>bez būtiskām izmaiņām sabiedrības vērtībuzskatos un attieksmē pret izglītības apguvi, kā arī nemainot pieaugušo izglītības prestižu sabiedrībā, publiskā pārvaldē un uzņēmēju vidē, izvirzītais mērķis netiks sasniegts.</w:t>
      </w:r>
    </w:p>
    <w:p w14:paraId="6ED7943F" w14:textId="77777777" w:rsidR="009A72DE" w:rsidRDefault="009A72DE">
      <w:pPr>
        <w:spacing w:before="0" w:after="0"/>
        <w:jc w:val="left"/>
        <w:rPr>
          <w:b/>
          <w:color w:val="253356" w:themeColor="accent1" w:themeShade="80"/>
          <w:lang w:val="lv-LV"/>
        </w:rPr>
      </w:pPr>
      <w:r w:rsidRPr="000664FB">
        <w:rPr>
          <w:lang w:val="lv-LV"/>
        </w:rPr>
        <w:br w:type="page"/>
      </w:r>
    </w:p>
    <w:p w14:paraId="12A36727" w14:textId="1C75D0CA" w:rsidR="005B3ADE" w:rsidRPr="00595533" w:rsidRDefault="009A72DE" w:rsidP="005B3ADE">
      <w:pPr>
        <w:pStyle w:val="attelunosaukums"/>
      </w:pPr>
      <w:r>
        <w:lastRenderedPageBreak/>
        <w:t>21</w:t>
      </w:r>
      <w:r w:rsidR="005B3ADE" w:rsidRPr="00595533">
        <w:t>.attēls.  Pieaugušo izglītībā iesaistīto īpatsvars (%)</w:t>
      </w:r>
    </w:p>
    <w:p w14:paraId="48C3395C" w14:textId="46F3326D" w:rsidR="0021771D" w:rsidRPr="00595533" w:rsidRDefault="00BA73E9">
      <w:pPr>
        <w:rPr>
          <w:lang w:val="lv-LV"/>
        </w:rPr>
      </w:pPr>
      <w:r>
        <w:rPr>
          <w:noProof/>
          <w:lang w:val="lv-LV" w:eastAsia="lv-LV"/>
        </w:rPr>
        <w:drawing>
          <wp:inline distT="0" distB="0" distL="0" distR="0" wp14:anchorId="7AE24787" wp14:editId="623954AD">
            <wp:extent cx="5038725" cy="30099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649DC0" w14:textId="77777777" w:rsidR="00BA73E9" w:rsidRDefault="00BA73E9">
      <w:pPr>
        <w:rPr>
          <w:lang w:val="lv-LV"/>
        </w:rPr>
      </w:pPr>
    </w:p>
    <w:p w14:paraId="425CD661" w14:textId="7110F8AA" w:rsidR="00EB5006" w:rsidRPr="00595533" w:rsidRDefault="008C02E4">
      <w:pPr>
        <w:rPr>
          <w:lang w:val="lv-LV"/>
        </w:rPr>
      </w:pPr>
      <w:r w:rsidRPr="00595533">
        <w:rPr>
          <w:lang w:val="lv-LV"/>
        </w:rPr>
        <w:t xml:space="preserve">Vērtējot progresu NAP2020 rīcības virzienā </w:t>
      </w:r>
      <w:r w:rsidR="009073AC">
        <w:rPr>
          <w:i/>
          <w:lang w:val="lv-LV"/>
        </w:rPr>
        <w:t>Kompetenču attīstība</w:t>
      </w:r>
      <w:r w:rsidRPr="00595533">
        <w:rPr>
          <w:lang w:val="lv-LV"/>
        </w:rPr>
        <w:t xml:space="preserve">, viedokļu līderi lielāko satraukumu pauž saistītbā ar to, ka skolēnu īpatsvars, kuri uzrāda zemāko kompetences līmeni, nemazinās, uzskatot, ka progress šī mērķa īstenošanā ir drīzāk nesekmīgs </w:t>
      </w:r>
      <w:r w:rsidR="003A63F7" w:rsidRPr="00595533">
        <w:rPr>
          <w:lang w:val="lv-LV"/>
        </w:rPr>
        <w:t xml:space="preserve">(40%) </w:t>
      </w:r>
      <w:r w:rsidRPr="00595533">
        <w:rPr>
          <w:lang w:val="lv-LV"/>
        </w:rPr>
        <w:t>vai nesekmīgs</w:t>
      </w:r>
      <w:r w:rsidR="003A63F7" w:rsidRPr="00595533">
        <w:rPr>
          <w:lang w:val="lv-LV"/>
        </w:rPr>
        <w:t xml:space="preserve"> (28%)</w:t>
      </w:r>
      <w:r w:rsidRPr="00595533">
        <w:rPr>
          <w:lang w:val="lv-LV"/>
        </w:rPr>
        <w:t>.</w:t>
      </w:r>
      <w:r w:rsidR="003A63F7" w:rsidRPr="00595533">
        <w:rPr>
          <w:lang w:val="lv-LV"/>
        </w:rPr>
        <w:t xml:space="preserve"> Kritiski tiek vērtēts arī progress saistībā ar talantu attīstību jeb darbs ar </w:t>
      </w:r>
      <w:r w:rsidR="00140B9D" w:rsidRPr="00595533">
        <w:rPr>
          <w:lang w:val="lv-LV"/>
        </w:rPr>
        <w:t>to skolēnu, kuri</w:t>
      </w:r>
      <w:r w:rsidR="003A63F7" w:rsidRPr="00595533">
        <w:rPr>
          <w:lang w:val="lv-LV"/>
        </w:rPr>
        <w:t xml:space="preserve"> uzrāda augstāko kompetences līmeni, skaita palielināšanu. Salīdzinoši tikai 26% ekspertu progresu šajā mērķī vērtē</w:t>
      </w:r>
      <w:r w:rsidRPr="00595533">
        <w:rPr>
          <w:lang w:val="lv-LV"/>
        </w:rPr>
        <w:t xml:space="preserve"> </w:t>
      </w:r>
      <w:r w:rsidR="003A63F7" w:rsidRPr="00595533">
        <w:rPr>
          <w:lang w:val="lv-LV"/>
        </w:rPr>
        <w:t>kā drīzāk sekmīgu.</w:t>
      </w:r>
      <w:r w:rsidRPr="00595533">
        <w:rPr>
          <w:lang w:val="lv-LV"/>
        </w:rPr>
        <w:t xml:space="preserve"> </w:t>
      </w:r>
      <w:r w:rsidR="003A63F7" w:rsidRPr="00595533">
        <w:rPr>
          <w:lang w:val="lv-LV"/>
        </w:rPr>
        <w:t>Par veiksmīgāku viedokļu līderi izglītības jomā uzskata darbu</w:t>
      </w:r>
      <w:r w:rsidR="00EB5006" w:rsidRPr="00595533">
        <w:rPr>
          <w:lang w:val="lv-LV"/>
        </w:rPr>
        <w:t xml:space="preserve"> ar pieaugušo izglītības attīstību un profesionālās izglītības sistēmas pilnveidi – attiecīgi 40% un 43% ekspertu uzskata, ka progress mērķu sasniegšanā ir drīzāk sekmīgs vai sekmīgs.</w:t>
      </w:r>
    </w:p>
    <w:p w14:paraId="5A1B4C9E" w14:textId="4D1EA0A6" w:rsidR="002F0B8F" w:rsidRPr="00595533" w:rsidRDefault="0035428B">
      <w:pPr>
        <w:rPr>
          <w:lang w:val="lv-LV"/>
        </w:rPr>
      </w:pPr>
      <w:r w:rsidRPr="00595533">
        <w:rPr>
          <w:lang w:val="lv-LV"/>
        </w:rPr>
        <w:t xml:space="preserve">Galvenais iemesls tam, kāpēc pamatizglītības ieguves </w:t>
      </w:r>
      <w:r w:rsidR="00140B9D" w:rsidRPr="00595533">
        <w:rPr>
          <w:lang w:val="lv-LV"/>
        </w:rPr>
        <w:t>posmā</w:t>
      </w:r>
      <w:r w:rsidRPr="00595533">
        <w:rPr>
          <w:lang w:val="lv-LV"/>
        </w:rPr>
        <w:t xml:space="preserve"> skolēnu skaits ar zemāko kompetences līmeni nemazinās, pēc viedokļu līderu domām saistīts ar pedagogu kvalifikāciju, prasmēm un motivāciju individuālam darbam ar skolēniem. Vienlaikus tiek norādīts arī uz skolotāju palīgu trūkumu, kuru uzdevums </w:t>
      </w:r>
      <w:r w:rsidR="00830450" w:rsidRPr="00595533">
        <w:rPr>
          <w:lang w:val="lv-LV"/>
        </w:rPr>
        <w:t>tieši</w:t>
      </w:r>
      <w:r w:rsidRPr="00595533">
        <w:rPr>
          <w:lang w:val="lv-LV"/>
        </w:rPr>
        <w:t xml:space="preserve"> būtu nodrošināt individuālu pieeju mācību procesā tiem, kuriem tas nepieciešams.</w:t>
      </w:r>
      <w:r w:rsidR="000A33D5" w:rsidRPr="00595533">
        <w:rPr>
          <w:lang w:val="lv-LV"/>
        </w:rPr>
        <w:t xml:space="preserve"> </w:t>
      </w:r>
    </w:p>
    <w:p w14:paraId="086E596C" w14:textId="65FD658C" w:rsidR="0035428B" w:rsidRPr="00595533" w:rsidRDefault="000A33D5">
      <w:pPr>
        <w:rPr>
          <w:lang w:val="lv-LV"/>
        </w:rPr>
      </w:pPr>
      <w:r w:rsidRPr="00595533">
        <w:rPr>
          <w:lang w:val="lv-LV"/>
        </w:rPr>
        <w:t>Tāpat vair</w:t>
      </w:r>
      <w:r w:rsidR="00830450" w:rsidRPr="00595533">
        <w:rPr>
          <w:lang w:val="lv-LV"/>
        </w:rPr>
        <w:t>āki eksperti uzskata, ka</w:t>
      </w:r>
      <w:r w:rsidRPr="00595533">
        <w:rPr>
          <w:lang w:val="lv-LV"/>
        </w:rPr>
        <w:t xml:space="preserve"> problēma</w:t>
      </w:r>
      <w:r w:rsidR="00830450" w:rsidRPr="00595533">
        <w:rPr>
          <w:lang w:val="lv-LV"/>
        </w:rPr>
        <w:t>s</w:t>
      </w:r>
      <w:r w:rsidRPr="00595533">
        <w:rPr>
          <w:lang w:val="lv-LV"/>
        </w:rPr>
        <w:t xml:space="preserve"> pamatizglītības ieguves posmā saistīta</w:t>
      </w:r>
      <w:r w:rsidR="00830450" w:rsidRPr="00595533">
        <w:rPr>
          <w:lang w:val="lv-LV"/>
        </w:rPr>
        <w:t>s</w:t>
      </w:r>
      <w:r w:rsidRPr="00595533">
        <w:rPr>
          <w:lang w:val="lv-LV"/>
        </w:rPr>
        <w:t xml:space="preserve"> ar mācīšanas metodiku, proti, veids, kā tiek organizēts mācību process, ir novecojis, bet tā vietā inovatīvas metodes apgūtas un piedāvātas netiek. Šis ir arī viens no biežāk minētajiem iemesliem tam, kādēļ pēc viedokļu līderu domām nesekmējas darbs ar </w:t>
      </w:r>
      <w:r w:rsidR="002F0B8F" w:rsidRPr="00595533">
        <w:rPr>
          <w:lang w:val="lv-LV"/>
        </w:rPr>
        <w:t>talantu attīstīb</w:t>
      </w:r>
      <w:r w:rsidR="00A01511" w:rsidRPr="00595533">
        <w:rPr>
          <w:lang w:val="lv-LV"/>
        </w:rPr>
        <w:t>u pamatizglītības ieguves posmā:</w:t>
      </w:r>
    </w:p>
    <w:p w14:paraId="3A86F1F7" w14:textId="3DCE0198" w:rsidR="00A01511" w:rsidRPr="00595533" w:rsidRDefault="00A01511" w:rsidP="00A01511">
      <w:pPr>
        <w:ind w:left="720"/>
        <w:rPr>
          <w:i/>
          <w:color w:val="374C80" w:themeColor="accent1" w:themeShade="BF"/>
          <w:lang w:val="lv-LV"/>
        </w:rPr>
      </w:pPr>
      <w:r w:rsidRPr="00595533">
        <w:rPr>
          <w:i/>
          <w:color w:val="374C80" w:themeColor="accent1" w:themeShade="BF"/>
          <w:lang w:val="lv-LV"/>
        </w:rPr>
        <w:t>“Novecojis veids, kā tiek realizēta mācīšanās. Mēs iegūstam ne tikai skolēnus ar vājām pamatprasmēm, bet zaudējam daudzus izcili apdāvinātus jauniešus - viņi iekļaujas viduvējībās. Pārlieku liels skolēnu skaits klasēs, kas izslēdz iniciatīvu un individuālus risinājumus. Par vērtību tiek joprojām uzskatītas 'zināšanas' nevis skolēns (bērns, cilvēks), kas tās apgūst.”</w:t>
      </w:r>
    </w:p>
    <w:p w14:paraId="0222BC78" w14:textId="16512E68" w:rsidR="002F0B8F" w:rsidRPr="00595533" w:rsidRDefault="002F0B8F">
      <w:pPr>
        <w:rPr>
          <w:lang w:val="lv-LV"/>
        </w:rPr>
      </w:pPr>
      <w:r w:rsidRPr="00595533">
        <w:rPr>
          <w:lang w:val="lv-LV"/>
        </w:rPr>
        <w:t xml:space="preserve">Kā trešais iemesls progresa trūkumam darbā ar skolēniem, kuri uzrāda zemāko kompetences līmeni,  ekspertu vērtējumā tiek minēts nepārdomāts, sadrumstalots skolu tīkls, kā rezultātā veidojas nepilnas klases un kas negatīvi ietekmē izglītības efektivitāti. Vienlaikus </w:t>
      </w:r>
      <w:r w:rsidR="007B3C71" w:rsidRPr="00595533">
        <w:rPr>
          <w:lang w:val="lv-LV"/>
        </w:rPr>
        <w:t xml:space="preserve">gan </w:t>
      </w:r>
      <w:r w:rsidRPr="00595533">
        <w:rPr>
          <w:lang w:val="lv-LV"/>
        </w:rPr>
        <w:t xml:space="preserve">daži norādījuši, ka </w:t>
      </w:r>
      <w:r w:rsidR="007B3C71" w:rsidRPr="00595533">
        <w:rPr>
          <w:lang w:val="lv-LV"/>
        </w:rPr>
        <w:t>skolēniem ar mācīšanās grūtībām lielās skolās integrēties ir grūtāk, kā rezultātā pazeminās sekmes.</w:t>
      </w:r>
      <w:r w:rsidRPr="00595533">
        <w:rPr>
          <w:lang w:val="lv-LV"/>
        </w:rPr>
        <w:t xml:space="preserve"> </w:t>
      </w:r>
    </w:p>
    <w:p w14:paraId="2D1099BC" w14:textId="1ABEF248" w:rsidR="00830450" w:rsidRPr="00595533" w:rsidRDefault="00830450" w:rsidP="00830450">
      <w:pPr>
        <w:ind w:left="720"/>
        <w:rPr>
          <w:i/>
          <w:color w:val="374C80" w:themeColor="accent1" w:themeShade="BF"/>
          <w:lang w:val="lv-LV"/>
        </w:rPr>
      </w:pPr>
      <w:r w:rsidRPr="00595533">
        <w:rPr>
          <w:i/>
          <w:color w:val="374C80" w:themeColor="accent1" w:themeShade="BF"/>
          <w:lang w:val="lv-LV"/>
        </w:rPr>
        <w:lastRenderedPageBreak/>
        <w:t>"Mazas skolas ar vājiem skolotājiem ekonomikai neadekvātā skolu tīklā. Pārāk daudz pašvaldību, kas katra kā slīcējs turas pie savas skolas, kas iespējams ir vienīgā darba vieta. Rīgas mikrorajonu skolas, kas veidojas par savdabīgiem "geto"”.</w:t>
      </w:r>
    </w:p>
    <w:p w14:paraId="436E08C6" w14:textId="4A3E8C25" w:rsidR="007B3C71" w:rsidRPr="00595533" w:rsidRDefault="007B3C71">
      <w:pPr>
        <w:rPr>
          <w:lang w:val="lv-LV"/>
        </w:rPr>
      </w:pPr>
      <w:r w:rsidRPr="00595533">
        <w:rPr>
          <w:lang w:val="lv-LV"/>
        </w:rPr>
        <w:t xml:space="preserve">Komentējot problēmas saistībā ar pamatizglītības apguvi, liela daļa ekspertu pauduši neapmierinātību ar to, kā tiek komunicēta un īstenota izglītības politikas attīstība, </w:t>
      </w:r>
      <w:r w:rsidR="00830450" w:rsidRPr="00595533">
        <w:rPr>
          <w:lang w:val="lv-LV"/>
        </w:rPr>
        <w:t>īstenojot reformas, kas nerezultējas izmaiņās</w:t>
      </w:r>
      <w:r w:rsidRPr="00595533">
        <w:rPr>
          <w:lang w:val="lv-LV"/>
        </w:rPr>
        <w:t xml:space="preserve">:  </w:t>
      </w:r>
    </w:p>
    <w:p w14:paraId="57338FBA" w14:textId="228928AD" w:rsidR="00830450" w:rsidRPr="00595533" w:rsidRDefault="00EB5006" w:rsidP="00830450">
      <w:pPr>
        <w:ind w:left="720"/>
        <w:rPr>
          <w:i/>
          <w:color w:val="374C80" w:themeColor="accent1" w:themeShade="BF"/>
          <w:lang w:val="lv-LV"/>
        </w:rPr>
      </w:pPr>
      <w:r w:rsidRPr="00595533">
        <w:rPr>
          <w:i/>
          <w:color w:val="374C80" w:themeColor="accent1" w:themeShade="BF"/>
          <w:lang w:val="lv-LV"/>
        </w:rPr>
        <w:t xml:space="preserve"> </w:t>
      </w:r>
      <w:r w:rsidR="00830450" w:rsidRPr="00595533">
        <w:rPr>
          <w:i/>
          <w:color w:val="374C80" w:themeColor="accent1" w:themeShade="BF"/>
          <w:lang w:val="lv-LV"/>
        </w:rPr>
        <w:t>“Nemitīgās 'reformas', kas patiesībā nav mainījušas pilnīgi neko izglītības sistēmā, profesionālu pedagogu sagatavošanā utt.”</w:t>
      </w:r>
    </w:p>
    <w:p w14:paraId="741F260F" w14:textId="2B05E649" w:rsidR="000D18DC" w:rsidRPr="00595533" w:rsidRDefault="00A01511">
      <w:pPr>
        <w:rPr>
          <w:lang w:val="lv-LV"/>
        </w:rPr>
      </w:pPr>
      <w:r w:rsidRPr="00595533">
        <w:rPr>
          <w:lang w:val="lv-LV"/>
        </w:rPr>
        <w:t>Savukārt</w:t>
      </w:r>
      <w:r w:rsidR="00140B9D" w:rsidRPr="00595533">
        <w:rPr>
          <w:lang w:val="lv-LV"/>
        </w:rPr>
        <w:t>,</w:t>
      </w:r>
      <w:r w:rsidRPr="00595533">
        <w:rPr>
          <w:lang w:val="lv-LV"/>
        </w:rPr>
        <w:t xml:space="preserve"> domājot par konkurētspējīgas profesionālās izglītības sistēmas attīstību, viedokļu līderi uzskata, ka to kavē:</w:t>
      </w:r>
    </w:p>
    <w:p w14:paraId="6ADB7D90" w14:textId="4A66A3CF" w:rsidR="004D1B80" w:rsidRPr="00595533" w:rsidRDefault="00A01511" w:rsidP="004D1B80">
      <w:pPr>
        <w:pStyle w:val="ListParagraph"/>
        <w:numPr>
          <w:ilvl w:val="0"/>
          <w:numId w:val="1"/>
        </w:numPr>
        <w:rPr>
          <w:lang w:val="lv-LV"/>
        </w:rPr>
      </w:pPr>
      <w:r w:rsidRPr="00595533">
        <w:rPr>
          <w:lang w:val="lv-LV"/>
        </w:rPr>
        <w:t>profesionālās izglītības piedāvājuma nepietiekama sasaiste ar darba tirgus vajadzībām, sadarbīb</w:t>
      </w:r>
      <w:r w:rsidR="004D1B80" w:rsidRPr="00595533">
        <w:rPr>
          <w:lang w:val="lv-LV"/>
        </w:rPr>
        <w:t>as trūkums ar nozaru uzņēmumiem un formāla pieeja mācību prakses organizēšanā;</w:t>
      </w:r>
    </w:p>
    <w:p w14:paraId="03F2DDDC" w14:textId="77777777" w:rsidR="004D1B80" w:rsidRPr="00595533" w:rsidRDefault="004D1B80" w:rsidP="004D1B80">
      <w:pPr>
        <w:pStyle w:val="ListParagraph"/>
        <w:numPr>
          <w:ilvl w:val="0"/>
          <w:numId w:val="1"/>
        </w:numPr>
        <w:rPr>
          <w:lang w:val="lv-LV"/>
        </w:rPr>
      </w:pPr>
      <w:r w:rsidRPr="00595533">
        <w:rPr>
          <w:lang w:val="lv-LV"/>
        </w:rPr>
        <w:t>stereotipi sabiedrībā par profesionālo izglītību un profesionālās izglītības zemais prestižs.</w:t>
      </w:r>
    </w:p>
    <w:p w14:paraId="78195899" w14:textId="47B2EF0B" w:rsidR="002C7BE1" w:rsidRPr="00595533" w:rsidRDefault="002C7BE1" w:rsidP="002C7BE1">
      <w:pPr>
        <w:rPr>
          <w:lang w:val="lv-LV"/>
        </w:rPr>
      </w:pPr>
      <w:r w:rsidRPr="00595533">
        <w:rPr>
          <w:lang w:val="lv-LV"/>
        </w:rPr>
        <w:t xml:space="preserve">Ekspertiem viedokļi būtiski atšķiras par iemesliem, kāpēc pieaugušo izglītība Latvijā nav tik pieprasīta kā citās </w:t>
      </w:r>
      <w:r w:rsidR="000C5AE1">
        <w:rPr>
          <w:lang w:val="lv-LV"/>
        </w:rPr>
        <w:t>Ei</w:t>
      </w:r>
      <w:r w:rsidR="00595533" w:rsidRPr="00595533">
        <w:rPr>
          <w:lang w:val="lv-LV"/>
        </w:rPr>
        <w:t>ro</w:t>
      </w:r>
      <w:r w:rsidRPr="00595533">
        <w:rPr>
          <w:lang w:val="lv-LV"/>
        </w:rPr>
        <w:t>pas valstīs. Viena daļa to pamato ar dzīves tempa diktēto laika trūkumu:</w:t>
      </w:r>
    </w:p>
    <w:p w14:paraId="50B85A8C" w14:textId="74783FA1" w:rsidR="002C7BE1" w:rsidRPr="00595533" w:rsidRDefault="00610759" w:rsidP="00610759">
      <w:pPr>
        <w:ind w:left="720"/>
        <w:rPr>
          <w:i/>
          <w:color w:val="374C80" w:themeColor="accent1" w:themeShade="BF"/>
          <w:lang w:val="lv-LV"/>
        </w:rPr>
      </w:pPr>
      <w:r w:rsidRPr="00595533">
        <w:rPr>
          <w:i/>
          <w:color w:val="374C80" w:themeColor="accent1" w:themeShade="BF"/>
          <w:lang w:val="lv-LV"/>
        </w:rPr>
        <w:t xml:space="preserve">“… </w:t>
      </w:r>
      <w:r w:rsidR="002C7BE1" w:rsidRPr="00595533">
        <w:rPr>
          <w:i/>
          <w:color w:val="374C80" w:themeColor="accent1" w:themeShade="BF"/>
          <w:lang w:val="lv-LV"/>
        </w:rPr>
        <w:t>ir jāvērtē pieaugušo iespējas veltīt laiku izglītībai. Jābūt attīstītiem atbalsta pasākumiem un instrumentiem, piemēram, bērnu pieskatīšanā, cilvēkiem pēc 40 gadiem darba slodzes samērošanā ar izglītības iespēju apguvi.</w:t>
      </w:r>
      <w:r w:rsidRPr="00595533">
        <w:rPr>
          <w:i/>
          <w:color w:val="374C80" w:themeColor="accent1" w:themeShade="BF"/>
          <w:lang w:val="lv-LV"/>
        </w:rPr>
        <w:t>”</w:t>
      </w:r>
    </w:p>
    <w:p w14:paraId="22B6A9CD" w14:textId="2F27EB0F" w:rsidR="002C7BE1" w:rsidRPr="00595533" w:rsidRDefault="00140B9D" w:rsidP="00610759">
      <w:pPr>
        <w:rPr>
          <w:lang w:val="lv-LV"/>
        </w:rPr>
      </w:pPr>
      <w:r w:rsidRPr="00595533">
        <w:rPr>
          <w:lang w:val="lv-LV"/>
        </w:rPr>
        <w:t>V</w:t>
      </w:r>
      <w:r w:rsidR="002C7BE1" w:rsidRPr="00595533">
        <w:rPr>
          <w:lang w:val="lv-LV"/>
        </w:rPr>
        <w:t xml:space="preserve">ēl daļa ekspertu atzīst, ka ne visi darba devēji atbalsta darbinieku tālākizglītību un profesionālo pilnveidi, </w:t>
      </w:r>
      <w:r w:rsidRPr="00595533">
        <w:rPr>
          <w:lang w:val="lv-LV"/>
        </w:rPr>
        <w:t xml:space="preserve">viņuprāt, </w:t>
      </w:r>
      <w:r w:rsidR="00610759" w:rsidRPr="00595533">
        <w:rPr>
          <w:lang w:val="lv-LV"/>
        </w:rPr>
        <w:t>daudzi nav ieinteresēti investēt</w:t>
      </w:r>
      <w:r w:rsidR="002C7BE1" w:rsidRPr="00595533">
        <w:rPr>
          <w:lang w:val="lv-LV"/>
        </w:rPr>
        <w:t xml:space="preserve"> darbinieku izaugsmē</w:t>
      </w:r>
      <w:r w:rsidR="00610759" w:rsidRPr="00595533">
        <w:rPr>
          <w:lang w:val="lv-LV"/>
        </w:rPr>
        <w:t>.</w:t>
      </w:r>
    </w:p>
    <w:p w14:paraId="4B9F7190" w14:textId="27972B36" w:rsidR="00610759" w:rsidRPr="00595533" w:rsidRDefault="00610759" w:rsidP="00610759">
      <w:pPr>
        <w:rPr>
          <w:lang w:val="lv-LV"/>
        </w:rPr>
      </w:pPr>
      <w:r w:rsidRPr="00595533">
        <w:rPr>
          <w:lang w:val="lv-LV"/>
        </w:rPr>
        <w:t xml:space="preserve">Tāpat tiek norādīts, ka pieprasījuma trūkums lielā mērā pakārtots piedāvājumam, proti, pagaidām augstskolas nav iesaistītas pieaugušo izglītības nodrošināšanā, savukārt Nodarbinātības valsts aģentūras organizētie kursi ne vienmēr </w:t>
      </w:r>
      <w:r w:rsidR="00140B9D" w:rsidRPr="00595533">
        <w:rPr>
          <w:lang w:val="lv-LV"/>
        </w:rPr>
        <w:t>ir atbilstošas kvalitātes:</w:t>
      </w:r>
    </w:p>
    <w:p w14:paraId="14BE5075" w14:textId="0F472AC0" w:rsidR="002C7BE1" w:rsidRPr="00595533" w:rsidRDefault="00140B9D" w:rsidP="00632F1C">
      <w:pPr>
        <w:ind w:left="720"/>
        <w:rPr>
          <w:i/>
          <w:color w:val="374C80" w:themeColor="accent1" w:themeShade="BF"/>
          <w:lang w:val="lv-LV"/>
        </w:rPr>
      </w:pPr>
      <w:r w:rsidRPr="00595533">
        <w:rPr>
          <w:i/>
          <w:color w:val="374C80" w:themeColor="accent1" w:themeShade="BF"/>
          <w:lang w:val="lv-LV"/>
        </w:rPr>
        <w:t>“[Pieaugušo izglītību] lielākoties līdz šim realizēja dažādi SIA, kas piedāvāja zema līmeņa kursus darba tirgum mazpieprasītās vai pat nevajadzīgās tēmās. Izteikts šo firmu lobijs ES līdzekļu apguvē.”</w:t>
      </w:r>
    </w:p>
    <w:p w14:paraId="38AE817D" w14:textId="77777777" w:rsidR="00DB3CB3" w:rsidRPr="00595533" w:rsidRDefault="00DB3CB3">
      <w:pPr>
        <w:rPr>
          <w:lang w:val="lv-LV"/>
        </w:rPr>
      </w:pPr>
    </w:p>
    <w:p w14:paraId="297AFAFF" w14:textId="69584D88" w:rsidR="00184FFF" w:rsidRPr="00595533" w:rsidRDefault="00654F5A" w:rsidP="009A72DE">
      <w:pPr>
        <w:pStyle w:val="Heading2"/>
        <w:rPr>
          <w:lang w:val="lv-LV"/>
        </w:rPr>
      </w:pPr>
      <w:bookmarkStart w:id="54" w:name="_Toc499025318"/>
      <w:r>
        <w:rPr>
          <w:lang w:val="lv-LV"/>
        </w:rPr>
        <w:t xml:space="preserve">3.8. </w:t>
      </w:r>
      <w:r w:rsidR="007958DD">
        <w:rPr>
          <w:lang w:val="lv-LV"/>
        </w:rPr>
        <w:t>Vesels un darbspējīgs cilvēks</w:t>
      </w:r>
      <w:bookmarkEnd w:id="54"/>
    </w:p>
    <w:p w14:paraId="3749D083" w14:textId="40BDFB22" w:rsidR="00A9642F" w:rsidRDefault="00A9642F">
      <w:pPr>
        <w:rPr>
          <w:lang w:val="lv-LV"/>
        </w:rPr>
      </w:pPr>
      <w:r>
        <w:rPr>
          <w:lang w:val="lv-LV"/>
        </w:rPr>
        <w:t xml:space="preserve">Rīcības virziens </w:t>
      </w:r>
      <w:r w:rsidRPr="00530B10">
        <w:rPr>
          <w:i/>
          <w:lang w:val="lv-LV"/>
        </w:rPr>
        <w:t>Vesels un darbspējīgs cilvēks</w:t>
      </w:r>
      <w:r>
        <w:rPr>
          <w:lang w:val="lv-LV"/>
        </w:rPr>
        <w:t xml:space="preserve"> vērsts uz  hronisko slimību un ārējo nāves cēloņu riska faktoru izplatības </w:t>
      </w:r>
      <w:r w:rsidR="00530B10">
        <w:rPr>
          <w:lang w:val="lv-LV"/>
        </w:rPr>
        <w:t>mazināšanu sabiedrībā,</w:t>
      </w:r>
      <w:r>
        <w:rPr>
          <w:lang w:val="lv-LV"/>
        </w:rPr>
        <w:t xml:space="preserve"> veicinot veselīgu dzīvesveidu, uzlabojot plānošanu un koordinēšanu veselības aprūpes sistēmā, kā arī uzlabojot ambulatorās veselības aprūpes kvalitāti un pieejamību. Lai sasniegtu mērķi, uzdevumu līmenī paredzētas aktivitātes veselīga un aktīva dzīvesveida paradumu nostiprināšanai sabiedrībā, veselības aprūpes pakajpojumu pieejamības un kvalitātes uzlabošanai, īpaši prioritārajās veselības jomās, tas ir, sirds un asinsvadu, onkoloģisko slimību, psihisko saslimšanu un perinatālās aprūpes jomās, kā arī medicīniskās un sociālās rehabilitācijas pasākumi un atkarību izraisošo vielu un procesu lietošanas izplatības ierobežošanas aktivitātes.</w:t>
      </w:r>
    </w:p>
    <w:p w14:paraId="0C463CAE" w14:textId="77777777" w:rsidR="00A9642F" w:rsidRPr="00595533" w:rsidRDefault="00A9642F" w:rsidP="00A9642F">
      <w:pPr>
        <w:pStyle w:val="NoSpacing"/>
        <w:rPr>
          <w:sz w:val="10"/>
          <w:szCs w:val="10"/>
          <w:lang w:val="lv-LV"/>
        </w:rPr>
      </w:pPr>
    </w:p>
    <w:p w14:paraId="7D92A929" w14:textId="77777777" w:rsidR="00A9642F" w:rsidRPr="00595533" w:rsidRDefault="00A9642F" w:rsidP="00A9642F">
      <w:pPr>
        <w:pStyle w:val="Heading3"/>
        <w:rPr>
          <w:lang w:val="lv-LV"/>
        </w:rPr>
      </w:pPr>
      <w:bookmarkStart w:id="55" w:name="_Toc498690635"/>
      <w:r w:rsidRPr="00595533">
        <w:rPr>
          <w:lang w:val="lv-LV"/>
        </w:rPr>
        <w:t>UZDEVUMU ĪSTENOŠANAS PROGRESS</w:t>
      </w:r>
      <w:bookmarkEnd w:id="55"/>
    </w:p>
    <w:p w14:paraId="20A9F56D" w14:textId="1E4CF790" w:rsidR="00B426BA" w:rsidRPr="00264DA8" w:rsidRDefault="002604BF" w:rsidP="00B426BA">
      <w:pPr>
        <w:rPr>
          <w:lang w:val="lv-LV"/>
        </w:rPr>
      </w:pPr>
      <w:r w:rsidRPr="00B426BA">
        <w:rPr>
          <w:lang w:val="lv-LV"/>
        </w:rPr>
        <w:t xml:space="preserve">Lai </w:t>
      </w:r>
      <w:r w:rsidRPr="005D4144">
        <w:rPr>
          <w:b/>
          <w:lang w:val="lv-LV"/>
        </w:rPr>
        <w:t>veicinātu veselīga dzīvesveida</w:t>
      </w:r>
      <w:r w:rsidRPr="00B426BA">
        <w:rPr>
          <w:lang w:val="lv-LV"/>
        </w:rPr>
        <w:t xml:space="preserve"> </w:t>
      </w:r>
      <w:r w:rsidR="005D4144">
        <w:rPr>
          <w:lang w:val="lv-LV"/>
        </w:rPr>
        <w:t>paradumu nostiprināšanos</w:t>
      </w:r>
      <w:r w:rsidRPr="00B426BA">
        <w:rPr>
          <w:lang w:val="lv-LV"/>
        </w:rPr>
        <w:t xml:space="preserve"> sabiedrībā, uzdevuma ietvaros realizētas sabiedrības informēšanas kampaņas, piemēram, par sirds un asinsvadu saslimšanu riska faktoriem un to novēršanu, par tabakas lietošanas </w:t>
      </w:r>
      <w:r w:rsidRPr="00B426BA">
        <w:rPr>
          <w:lang w:val="lv-LV"/>
        </w:rPr>
        <w:lastRenderedPageBreak/>
        <w:t>kaitīgumu, fiziskajām aktivitātēm, izstrādāti informatīvie materiāli iedzīvotājiem, tai skaitā, izglītojošas filmas bērniem un jauniešiem, organizēti izglītojoši pasākumi, kā arī veik</w:t>
      </w:r>
      <w:r w:rsidR="00B426BA" w:rsidRPr="00B426BA">
        <w:rPr>
          <w:lang w:val="lv-LV"/>
        </w:rPr>
        <w:t>ti vairāki pētīju</w:t>
      </w:r>
      <w:r w:rsidR="005D4144">
        <w:rPr>
          <w:lang w:val="lv-LV"/>
        </w:rPr>
        <w:t>mi. Tāpat uzdevuma ietvaros šobrīt tiek</w:t>
      </w:r>
      <w:r w:rsidR="00B426BA" w:rsidRPr="00B426BA">
        <w:rPr>
          <w:lang w:val="lv-LV"/>
        </w:rPr>
        <w:t xml:space="preserve"> īstenotas vairākas aktivitātes, piesaistot ES fondu līdzekļus</w:t>
      </w:r>
      <w:r w:rsidR="00B426BA">
        <w:rPr>
          <w:rStyle w:val="FootnoteReference"/>
          <w:lang w:val="lv-LV"/>
        </w:rPr>
        <w:footnoteReference w:id="55"/>
      </w:r>
      <w:r w:rsidR="00B426BA">
        <w:rPr>
          <w:lang w:val="lv-LV"/>
        </w:rPr>
        <w:t xml:space="preserve">, </w:t>
      </w:r>
      <w:r w:rsidR="00B426BA" w:rsidRPr="000664FB">
        <w:rPr>
          <w:lang w:val="lv-LV"/>
        </w:rPr>
        <w:t xml:space="preserve">ar mērķi uzlabot pieejamību veselības veicināšanas un slimību profilakses pakalpojumiem visiem Latvijas iedzīvotājiem, jo īpaši teritoriālās, nabadzības un sociālās atstumtības riskam pakļautajiem. </w:t>
      </w:r>
      <w:r w:rsidR="00B426BA" w:rsidRPr="00264DA8">
        <w:rPr>
          <w:lang w:val="lv-LV"/>
        </w:rPr>
        <w:t>Izmantojot dažādus komunikācijas kanālus, plānotas:</w:t>
      </w:r>
    </w:p>
    <w:p w14:paraId="333913AA" w14:textId="77777777" w:rsidR="00B426BA" w:rsidRPr="00264DA8" w:rsidRDefault="00B426BA" w:rsidP="00B426BA">
      <w:pPr>
        <w:rPr>
          <w:lang w:val="lv-LV"/>
        </w:rPr>
      </w:pPr>
      <w:r w:rsidRPr="00264DA8">
        <w:rPr>
          <w:lang w:val="lv-LV"/>
        </w:rPr>
        <w:t>1) sabiedrības informēšanas kampaņas, kas vērstas uz veselīga uztura un fizisko aktivitāšu veicināšanu, atkarību izraisošo vielu un procesu izplatības mazināšanu, seksuālās un reproduktīvās veselības, kā arī psihiskās (garīgās) veselības veicināšanu;</w:t>
      </w:r>
    </w:p>
    <w:p w14:paraId="2FB43C06" w14:textId="77777777" w:rsidR="00B426BA" w:rsidRPr="00264DA8" w:rsidRDefault="00B426BA" w:rsidP="00B426BA">
      <w:pPr>
        <w:rPr>
          <w:lang w:val="lv-LV"/>
        </w:rPr>
      </w:pPr>
      <w:r w:rsidRPr="00264DA8">
        <w:rPr>
          <w:lang w:val="lv-LV"/>
        </w:rPr>
        <w:t>2) izglītojoši pasākumi pedagogiem, personām, kas vietējās sabiedrībās koordinē veselības veicināšanas un slimību profilakses aktivitātes, kā arī ar ēdināšanas nodrošināšanu saistītiem speciālistiem (piemēram, pavāriem izglītības iestādēs);</w:t>
      </w:r>
    </w:p>
    <w:p w14:paraId="306F6ECC" w14:textId="77777777" w:rsidR="00B426BA" w:rsidRPr="00264DA8" w:rsidRDefault="00B426BA" w:rsidP="00B426BA">
      <w:pPr>
        <w:rPr>
          <w:lang w:val="lv-LV"/>
        </w:rPr>
      </w:pPr>
      <w:r w:rsidRPr="00264DA8">
        <w:rPr>
          <w:lang w:val="lv-LV"/>
        </w:rPr>
        <w:t>3) sabiedrības veselības pētījumi situācijas analīzei, veikto pasākumu efektivitātes novērtēšanai;</w:t>
      </w:r>
    </w:p>
    <w:p w14:paraId="3DFA5FED" w14:textId="77777777" w:rsidR="00B426BA" w:rsidRPr="00264DA8" w:rsidRDefault="00B426BA" w:rsidP="00B426BA">
      <w:pPr>
        <w:rPr>
          <w:lang w:val="lv-LV"/>
        </w:rPr>
      </w:pPr>
      <w:r w:rsidRPr="00264DA8">
        <w:rPr>
          <w:lang w:val="lv-LV"/>
        </w:rPr>
        <w:t>4) slimību profilakses pasākumi (pilotprojekti, programmas) noteiktu intervenču īstenošanai riska faktoru izplatības mazināšanai.</w:t>
      </w:r>
    </w:p>
    <w:p w14:paraId="26A69B00" w14:textId="5A0778D9" w:rsidR="002604BF" w:rsidRPr="00264DA8" w:rsidRDefault="00B3152A" w:rsidP="00B3152A">
      <w:pPr>
        <w:rPr>
          <w:lang w:val="lv-LV"/>
        </w:rPr>
      </w:pPr>
      <w:r w:rsidRPr="00264DA8">
        <w:rPr>
          <w:lang w:val="lv-LV"/>
        </w:rPr>
        <w:t>Savukārt</w:t>
      </w:r>
      <w:r w:rsidR="00B426BA" w:rsidRPr="00264DA8">
        <w:rPr>
          <w:lang w:val="lv-LV"/>
        </w:rPr>
        <w:t xml:space="preserve"> </w:t>
      </w:r>
      <w:r w:rsidR="002604BF" w:rsidRPr="00264DA8">
        <w:rPr>
          <w:lang w:val="lv-LV"/>
        </w:rPr>
        <w:t>“Pasākumi vietējās sabiedrības veselības veicināšanai</w:t>
      </w:r>
      <w:r w:rsidR="00B426BA" w:rsidRPr="00264DA8">
        <w:rPr>
          <w:lang w:val="lv-LV"/>
        </w:rPr>
        <w:t>”</w:t>
      </w:r>
      <w:r w:rsidR="002604BF" w:rsidRPr="00264DA8">
        <w:rPr>
          <w:lang w:val="lv-LV"/>
        </w:rPr>
        <w:t xml:space="preserve"> ietvaros 96 pašvaldības un Slimību profilakses un kontroles centrs ir uzsācis projektu īstenošanu lokālā līmeņa veselības veicināšanas un slimību profilakses pasākumu nodrošināšanai vietējā sabiedrībā. </w:t>
      </w:r>
    </w:p>
    <w:p w14:paraId="52725C54" w14:textId="372672A8" w:rsidR="00B3152A" w:rsidRPr="00264DA8" w:rsidRDefault="00333DDA" w:rsidP="00B3152A">
      <w:pPr>
        <w:rPr>
          <w:lang w:val="lv-LV"/>
        </w:rPr>
      </w:pPr>
      <w:r w:rsidRPr="00264DA8">
        <w:rPr>
          <w:lang w:val="lv-LV"/>
        </w:rPr>
        <w:t xml:space="preserve">Saskaņā ar </w:t>
      </w:r>
      <w:r w:rsidR="00294B5E">
        <w:rPr>
          <w:lang w:val="lv-LV"/>
        </w:rPr>
        <w:t>CSP</w:t>
      </w:r>
      <w:r w:rsidRPr="00264DA8">
        <w:rPr>
          <w:lang w:val="lv-LV"/>
        </w:rPr>
        <w:t xml:space="preserve"> datiem, cilvēku īpatsvars, kuriem bija nepieciešami, bet nebija </w:t>
      </w:r>
      <w:r w:rsidRPr="00264DA8">
        <w:rPr>
          <w:b/>
          <w:lang w:val="lv-LV"/>
        </w:rPr>
        <w:t>pieejami veselības aprūpes pakalpojumi</w:t>
      </w:r>
      <w:r w:rsidRPr="00264DA8">
        <w:rPr>
          <w:lang w:val="lv-LV"/>
        </w:rPr>
        <w:t>, 2016. un 2015. gadā, salīdzinot ar 2014. gadu, ir samazinājies par 4,3% (12.5% 2012.gadā, 8.3% 2015.un 2016.gadā).  Lai gan salīdzinājumā ar citām ES valstīm Latvijā šis rādītājs vēl joprojām ir viens no augstākajiem, tomēr samazinājumu</w:t>
      </w:r>
      <w:r w:rsidR="007F58CD" w:rsidRPr="00264DA8">
        <w:rPr>
          <w:lang w:val="lv-LV"/>
        </w:rPr>
        <w:t>,</w:t>
      </w:r>
      <w:r w:rsidRPr="00264DA8">
        <w:rPr>
          <w:lang w:val="lv-LV"/>
        </w:rPr>
        <w:t xml:space="preserve"> visticamāk</w:t>
      </w:r>
      <w:r w:rsidR="007F58CD" w:rsidRPr="00264DA8">
        <w:rPr>
          <w:lang w:val="lv-LV"/>
        </w:rPr>
        <w:t>,</w:t>
      </w:r>
      <w:r w:rsidRPr="00264DA8">
        <w:rPr>
          <w:lang w:val="lv-LV"/>
        </w:rPr>
        <w:t xml:space="preserve"> ietekmējušas valsts budžeta investīcijas a</w:t>
      </w:r>
      <w:r w:rsidR="00B3152A" w:rsidRPr="00264DA8">
        <w:rPr>
          <w:lang w:val="lv-LV"/>
        </w:rPr>
        <w:t>mbulatoro un stacionāro veselības aprūpes pakalpojumu pieejamības uzlabošana</w:t>
      </w:r>
      <w:r w:rsidR="007F58CD" w:rsidRPr="00264DA8">
        <w:rPr>
          <w:lang w:val="lv-LV"/>
        </w:rPr>
        <w:t>i, kā arī ieguldījumi k</w:t>
      </w:r>
      <w:r w:rsidR="00B3152A" w:rsidRPr="00264DA8">
        <w:rPr>
          <w:lang w:val="lv-LV"/>
        </w:rPr>
        <w:t>ompensējamo un centralizē</w:t>
      </w:r>
      <w:r w:rsidR="007F58CD" w:rsidRPr="00264DA8">
        <w:rPr>
          <w:lang w:val="lv-LV"/>
        </w:rPr>
        <w:t>ti iepērkamo medikamentu apmaksā</w:t>
      </w:r>
      <w:r w:rsidR="00B3152A" w:rsidRPr="00264DA8">
        <w:rPr>
          <w:lang w:val="lv-LV"/>
        </w:rPr>
        <w:t>.</w:t>
      </w:r>
      <w:r w:rsidR="007F58CD" w:rsidRPr="00264DA8">
        <w:rPr>
          <w:lang w:val="lv-LV"/>
        </w:rPr>
        <w:t xml:space="preserve"> </w:t>
      </w:r>
      <w:r w:rsidR="00B3152A" w:rsidRPr="00264DA8">
        <w:rPr>
          <w:lang w:val="lv-LV"/>
        </w:rPr>
        <w:t xml:space="preserve">Piešķirtais papildu finansējums </w:t>
      </w:r>
      <w:r w:rsidR="005D4144" w:rsidRPr="00264DA8">
        <w:rPr>
          <w:lang w:val="lv-LV"/>
        </w:rPr>
        <w:t xml:space="preserve">cita starpā </w:t>
      </w:r>
      <w:r w:rsidR="00B3152A" w:rsidRPr="00264DA8">
        <w:rPr>
          <w:lang w:val="lv-LV"/>
        </w:rPr>
        <w:t xml:space="preserve">uzlabojis kompensējamo un centralizēti iepērkamo medikamentu pieejamību iedzīvotājiem, </w:t>
      </w:r>
      <w:r w:rsidR="005D4144" w:rsidRPr="00264DA8">
        <w:rPr>
          <w:lang w:val="lv-LV"/>
        </w:rPr>
        <w:t>kā arī nodrošinājis 100% kompensāciju</w:t>
      </w:r>
      <w:r w:rsidR="00B3152A" w:rsidRPr="00264DA8">
        <w:rPr>
          <w:lang w:val="lv-LV"/>
        </w:rPr>
        <w:t xml:space="preserve"> zālēm C hepatīta ārstēšanai, iekļaujot </w:t>
      </w:r>
      <w:r w:rsidR="005D4144" w:rsidRPr="00264DA8">
        <w:rPr>
          <w:lang w:val="lv-LV"/>
        </w:rPr>
        <w:t>kompensējamo zāļu sarakstā jauna</w:t>
      </w:r>
      <w:r w:rsidR="00B3152A" w:rsidRPr="00264DA8">
        <w:rPr>
          <w:lang w:val="lv-LV"/>
        </w:rPr>
        <w:t>s tiešā</w:t>
      </w:r>
      <w:r w:rsidR="005D4144" w:rsidRPr="00264DA8">
        <w:rPr>
          <w:lang w:val="lv-LV"/>
        </w:rPr>
        <w:t xml:space="preserve">s darbības pretvīrusa </w:t>
      </w:r>
      <w:r w:rsidR="00B3152A" w:rsidRPr="00264DA8">
        <w:rPr>
          <w:lang w:val="lv-LV"/>
        </w:rPr>
        <w:t xml:space="preserve">(bezinterferona) zāles. </w:t>
      </w:r>
      <w:r w:rsidR="007F58CD" w:rsidRPr="00264DA8">
        <w:rPr>
          <w:lang w:val="lv-LV"/>
        </w:rPr>
        <w:t>Sekojoši</w:t>
      </w:r>
      <w:r w:rsidR="00B3152A" w:rsidRPr="00264DA8">
        <w:rPr>
          <w:lang w:val="lv-LV"/>
        </w:rPr>
        <w:t xml:space="preserve"> 2016.</w:t>
      </w:r>
      <w:r w:rsidR="007F58CD" w:rsidRPr="00264DA8">
        <w:rPr>
          <w:lang w:val="lv-LV"/>
        </w:rPr>
        <w:t> </w:t>
      </w:r>
      <w:r w:rsidR="00B3152A" w:rsidRPr="00264DA8">
        <w:rPr>
          <w:lang w:val="lv-LV"/>
        </w:rPr>
        <w:t>gadā dinamisk</w:t>
      </w:r>
      <w:r w:rsidR="007F58CD" w:rsidRPr="00264DA8">
        <w:rPr>
          <w:lang w:val="lv-LV"/>
        </w:rPr>
        <w:t>ās novērošanas gaitā</w:t>
      </w:r>
      <w:r w:rsidR="00B3152A" w:rsidRPr="00264DA8">
        <w:rPr>
          <w:lang w:val="lv-LV"/>
        </w:rPr>
        <w:t xml:space="preserve"> konstatēts, ka </w:t>
      </w:r>
      <w:r w:rsidR="007F58CD" w:rsidRPr="00264DA8">
        <w:rPr>
          <w:lang w:val="lv-LV"/>
        </w:rPr>
        <w:t xml:space="preserve">būtiski uzlabots C hepatīta ārstēšanas rezultāts, jo </w:t>
      </w:r>
      <w:r w:rsidR="00B3152A" w:rsidRPr="00264DA8">
        <w:rPr>
          <w:lang w:val="lv-LV"/>
        </w:rPr>
        <w:t>no vīrusa atbrīvoti 80% pacientu (</w:t>
      </w:r>
      <w:r w:rsidR="007F58CD" w:rsidRPr="00264DA8">
        <w:rPr>
          <w:lang w:val="lv-LV"/>
        </w:rPr>
        <w:t xml:space="preserve">salīdzinājumam: </w:t>
      </w:r>
      <w:r w:rsidR="00B3152A" w:rsidRPr="00264DA8">
        <w:rPr>
          <w:lang w:val="lv-LV"/>
        </w:rPr>
        <w:t>iepriekšējos gados ārstēša</w:t>
      </w:r>
      <w:r w:rsidR="007F58CD" w:rsidRPr="00264DA8">
        <w:rPr>
          <w:lang w:val="lv-LV"/>
        </w:rPr>
        <w:t>nas efektivitāte bija 50-60%).</w:t>
      </w:r>
    </w:p>
    <w:p w14:paraId="2F79B146" w14:textId="42E687FF" w:rsidR="00B3152A" w:rsidRPr="00264DA8" w:rsidRDefault="007F58CD" w:rsidP="00412750">
      <w:pPr>
        <w:rPr>
          <w:color w:val="000000" w:themeColor="text1"/>
          <w:lang w:val="lv-LV"/>
        </w:rPr>
      </w:pPr>
      <w:r w:rsidRPr="00264DA8">
        <w:rPr>
          <w:lang w:val="lv-LV"/>
        </w:rPr>
        <w:t>Lai uzlabotu veselības aprūpes pakalpojumu pieejamību, k</w:t>
      </w:r>
      <w:r w:rsidR="00B3152A" w:rsidRPr="00264DA8">
        <w:rPr>
          <w:lang w:val="lv-LV"/>
        </w:rPr>
        <w:t>opš 2014.</w:t>
      </w:r>
      <w:r w:rsidRPr="00264DA8">
        <w:rPr>
          <w:lang w:val="lv-LV"/>
        </w:rPr>
        <w:t> </w:t>
      </w:r>
      <w:r w:rsidR="00B3152A" w:rsidRPr="00264DA8">
        <w:rPr>
          <w:lang w:val="lv-LV"/>
        </w:rPr>
        <w:t xml:space="preserve">gada ir </w:t>
      </w:r>
      <w:r w:rsidR="00412750" w:rsidRPr="00264DA8">
        <w:rPr>
          <w:lang w:val="lv-LV"/>
        </w:rPr>
        <w:t xml:space="preserve">arī </w:t>
      </w:r>
      <w:r w:rsidR="00B3152A" w:rsidRPr="00264DA8">
        <w:rPr>
          <w:lang w:val="lv-LV"/>
        </w:rPr>
        <w:t>samazināta pacienta iemaksa par ārstēšanos diennakts s</w:t>
      </w:r>
      <w:r w:rsidR="005D4144" w:rsidRPr="00264DA8">
        <w:rPr>
          <w:lang w:val="lv-LV"/>
        </w:rPr>
        <w:t>tacionārā no 13,52 euro līdz 10,</w:t>
      </w:r>
      <w:r w:rsidR="00B3152A" w:rsidRPr="00264DA8">
        <w:rPr>
          <w:lang w:val="lv-LV"/>
        </w:rPr>
        <w:t>00 euro un pacienta līdzmaksājums par ķirurģisku operāciju stacionār</w:t>
      </w:r>
      <w:r w:rsidR="00412750" w:rsidRPr="00264DA8">
        <w:rPr>
          <w:lang w:val="lv-LV"/>
        </w:rPr>
        <w:t xml:space="preserve">ā (no 42,69 euro līdz 31 euro). Izmaiņas jo </w:t>
      </w:r>
      <w:r w:rsidR="00B3152A" w:rsidRPr="00264DA8">
        <w:rPr>
          <w:lang w:val="lv-LV"/>
        </w:rPr>
        <w:t xml:space="preserve">īpaši būtiski </w:t>
      </w:r>
      <w:r w:rsidR="00412750" w:rsidRPr="00264DA8">
        <w:rPr>
          <w:lang w:val="lv-LV"/>
        </w:rPr>
        <w:t>ietekmējušas tās iedzīvotāju grupas</w:t>
      </w:r>
      <w:r w:rsidR="00B3152A" w:rsidRPr="00264DA8">
        <w:rPr>
          <w:lang w:val="lv-LV"/>
        </w:rPr>
        <w:t xml:space="preserve">, kuru ienākumi ir ļoti zemi, bet pārsniedz to līmeni, kas nepieciešams, lai kvalificētos trūcīgas personas statusam. </w:t>
      </w:r>
    </w:p>
    <w:p w14:paraId="449777CE" w14:textId="3D45A1B5" w:rsidR="00412750" w:rsidRPr="00264DA8" w:rsidRDefault="00412750" w:rsidP="00412750">
      <w:pPr>
        <w:rPr>
          <w:color w:val="000000" w:themeColor="text1"/>
          <w:lang w:val="lv-LV"/>
        </w:rPr>
      </w:pPr>
      <w:r w:rsidRPr="00264DA8">
        <w:rPr>
          <w:lang w:val="lv-LV"/>
        </w:rPr>
        <w:t xml:space="preserve">Tuvākajā laikā </w:t>
      </w:r>
      <w:r w:rsidR="001D4C9B" w:rsidRPr="00264DA8">
        <w:rPr>
          <w:lang w:val="lv-LV"/>
        </w:rPr>
        <w:t xml:space="preserve">ar ES fondu atbalstu </w:t>
      </w:r>
      <w:r w:rsidRPr="00264DA8">
        <w:rPr>
          <w:lang w:val="lv-LV"/>
        </w:rPr>
        <w:t xml:space="preserve">ir plānots uzsākt </w:t>
      </w:r>
      <w:r w:rsidR="001D4C9B" w:rsidRPr="00264DA8">
        <w:rPr>
          <w:lang w:val="lv-LV"/>
        </w:rPr>
        <w:t xml:space="preserve">aktivitātes, lai </w:t>
      </w:r>
      <w:r w:rsidRPr="00264DA8">
        <w:rPr>
          <w:lang w:val="lv-LV"/>
        </w:rPr>
        <w:t>uz</w:t>
      </w:r>
      <w:r w:rsidR="001D4C9B" w:rsidRPr="00264DA8">
        <w:rPr>
          <w:lang w:val="lv-LV"/>
        </w:rPr>
        <w:t>labo</w:t>
      </w:r>
      <w:r w:rsidRPr="00264DA8">
        <w:rPr>
          <w:lang w:val="lv-LV"/>
        </w:rPr>
        <w:t>t</w:t>
      </w:r>
      <w:r w:rsidR="001D4C9B" w:rsidRPr="00264DA8">
        <w:rPr>
          <w:lang w:val="lv-LV"/>
        </w:rPr>
        <w:t>u</w:t>
      </w:r>
      <w:r w:rsidRPr="00264DA8">
        <w:rPr>
          <w:lang w:val="lv-LV"/>
        </w:rPr>
        <w:t xml:space="preserve"> ārstniecības iestāžu infrastruktūru</w:t>
      </w:r>
      <w:r w:rsidR="005D4144" w:rsidRPr="00264DA8">
        <w:rPr>
          <w:lang w:val="lv-LV"/>
        </w:rPr>
        <w:t>, kas ietver telpu remontu un</w:t>
      </w:r>
      <w:r w:rsidRPr="00264DA8">
        <w:rPr>
          <w:lang w:val="lv-LV"/>
        </w:rPr>
        <w:t xml:space="preserve"> jaunu diagnostikas un </w:t>
      </w:r>
      <w:r w:rsidRPr="00264DA8">
        <w:rPr>
          <w:lang w:val="lv-LV"/>
        </w:rPr>
        <w:lastRenderedPageBreak/>
        <w:t>ārstniecības iekārtu iegādi</w:t>
      </w:r>
      <w:r>
        <w:rPr>
          <w:rStyle w:val="FootnoteReference"/>
        </w:rPr>
        <w:footnoteReference w:id="56"/>
      </w:r>
      <w:r w:rsidR="001D4C9B" w:rsidRPr="00264DA8">
        <w:rPr>
          <w:lang w:val="lv-LV"/>
        </w:rPr>
        <w:t>, kā</w:t>
      </w:r>
      <w:r w:rsidRPr="00264DA8">
        <w:rPr>
          <w:lang w:val="lv-LV"/>
        </w:rPr>
        <w:t xml:space="preserve"> arī </w:t>
      </w:r>
      <w:r w:rsidR="001D4C9B" w:rsidRPr="00264DA8">
        <w:rPr>
          <w:lang w:val="lv-LV"/>
        </w:rPr>
        <w:t xml:space="preserve">lai </w:t>
      </w:r>
      <w:r w:rsidRPr="00264DA8">
        <w:rPr>
          <w:color w:val="000000" w:themeColor="text1"/>
          <w:lang w:val="lv-LV"/>
        </w:rPr>
        <w:t>īsteno</w:t>
      </w:r>
      <w:r w:rsidR="001D4C9B" w:rsidRPr="00264DA8">
        <w:rPr>
          <w:color w:val="000000" w:themeColor="text1"/>
          <w:lang w:val="lv-LV"/>
        </w:rPr>
        <w:t>tu atbalsta pasākumus un</w:t>
      </w:r>
      <w:r w:rsidRPr="00264DA8">
        <w:rPr>
          <w:color w:val="000000" w:themeColor="text1"/>
          <w:lang w:val="lv-LV"/>
        </w:rPr>
        <w:t xml:space="preserve"> motivētu ārstniecības personas sniegt veselības aprūpes pakalpojumus reģionos ārpus Rīgas</w:t>
      </w:r>
      <w:r>
        <w:rPr>
          <w:rStyle w:val="FootnoteReference"/>
          <w:color w:val="000000" w:themeColor="text1"/>
        </w:rPr>
        <w:footnoteReference w:id="57"/>
      </w:r>
      <w:r w:rsidRPr="00264DA8">
        <w:rPr>
          <w:color w:val="000000" w:themeColor="text1"/>
          <w:lang w:val="lv-LV"/>
        </w:rPr>
        <w:t>.</w:t>
      </w:r>
    </w:p>
    <w:p w14:paraId="0D900564" w14:textId="152A6521" w:rsidR="0056371D" w:rsidRPr="00264DA8" w:rsidRDefault="0056371D" w:rsidP="005F1568">
      <w:pPr>
        <w:rPr>
          <w:lang w:val="lv-LV"/>
        </w:rPr>
      </w:pPr>
      <w:r w:rsidRPr="00264DA8">
        <w:rPr>
          <w:lang w:val="lv-LV"/>
        </w:rPr>
        <w:t xml:space="preserve">Lai uzlabotu </w:t>
      </w:r>
      <w:r w:rsidRPr="00264DA8">
        <w:rPr>
          <w:b/>
          <w:lang w:val="lv-LV"/>
        </w:rPr>
        <w:t>veselības aprūpes kvalitāti</w:t>
      </w:r>
      <w:r w:rsidRPr="00264DA8">
        <w:rPr>
          <w:lang w:val="lv-LV"/>
        </w:rPr>
        <w:t xml:space="preserve">, </w:t>
      </w:r>
      <w:r w:rsidRPr="00264DA8">
        <w:rPr>
          <w:b/>
          <w:lang w:val="lv-LV"/>
        </w:rPr>
        <w:t>plānošanu un koordinēšanu veselības aprūpes sistēmā</w:t>
      </w:r>
      <w:r w:rsidRPr="00264DA8">
        <w:rPr>
          <w:lang w:val="lv-LV"/>
        </w:rPr>
        <w:t xml:space="preserve">, </w:t>
      </w:r>
      <w:r w:rsidR="00412750" w:rsidRPr="00264DA8">
        <w:rPr>
          <w:lang w:val="lv-LV"/>
        </w:rPr>
        <w:t xml:space="preserve">Pasaules Banka </w:t>
      </w:r>
      <w:r w:rsidRPr="00264DA8">
        <w:rPr>
          <w:lang w:val="lv-LV"/>
        </w:rPr>
        <w:t>ar ES fondu atbalstu</w:t>
      </w:r>
      <w:r>
        <w:rPr>
          <w:rStyle w:val="FootnoteReference"/>
          <w:rFonts w:ascii="Times New Roman" w:hAnsi="Times New Roman"/>
          <w:i/>
          <w:sz w:val="24"/>
        </w:rPr>
        <w:footnoteReference w:id="58"/>
      </w:r>
      <w:r w:rsidRPr="00264DA8">
        <w:rPr>
          <w:lang w:val="lv-LV"/>
        </w:rPr>
        <w:t xml:space="preserve"> </w:t>
      </w:r>
      <w:r w:rsidR="00412750" w:rsidRPr="00264DA8">
        <w:rPr>
          <w:lang w:val="lv-LV"/>
        </w:rPr>
        <w:t xml:space="preserve">veica Latvijas veselības aprūpes sistēmas izvērtējumu, </w:t>
      </w:r>
      <w:r w:rsidRPr="00264DA8">
        <w:rPr>
          <w:lang w:val="lv-LV"/>
        </w:rPr>
        <w:t>pamatojoties uz kuru tika izstrādāts veselības aprūpes reformu plāns. Papildus tam aktivitātes ietvaros tiks finansēti vairāki Veselības aprūpes sistēmas kvalitātes pilnveidošanas un pacientu drošības koncepcijas pasākumu plānā</w:t>
      </w:r>
      <w:r>
        <w:rPr>
          <w:rStyle w:val="FootnoteReference"/>
          <w:rFonts w:ascii="Times New Roman" w:hAnsi="Times New Roman"/>
          <w:i/>
          <w:sz w:val="24"/>
        </w:rPr>
        <w:footnoteReference w:id="59"/>
      </w:r>
      <w:r w:rsidRPr="00264DA8">
        <w:rPr>
          <w:lang w:val="lv-LV"/>
        </w:rPr>
        <w:t xml:space="preserve"> ietvertie uzdevumi </w:t>
      </w:r>
      <w:r w:rsidR="001D4C9B" w:rsidRPr="00264DA8">
        <w:rPr>
          <w:lang w:val="lv-LV"/>
        </w:rPr>
        <w:t>–</w:t>
      </w:r>
      <w:r w:rsidRPr="00264DA8">
        <w:rPr>
          <w:lang w:val="lv-LV"/>
        </w:rPr>
        <w:t xml:space="preserve"> mācības ārstniecības personām un </w:t>
      </w:r>
      <w:r w:rsidR="00294B5E">
        <w:rPr>
          <w:lang w:val="lv-LV"/>
        </w:rPr>
        <w:t>VM</w:t>
      </w:r>
      <w:r w:rsidRPr="00264DA8">
        <w:rPr>
          <w:lang w:val="lv-LV"/>
        </w:rPr>
        <w:t xml:space="preserve"> padotības iestāžu darbiniekiem par veselības aprūpes kvalitātes un pacientu drošības jautājumiem, izstrādāti klīniskie algoritmi un pacientu ceļi, kā arī veikts pētījums par pacientu un viņu ģimeņu apmierinātību ar saņemto veselības aprūpi.</w:t>
      </w:r>
    </w:p>
    <w:p w14:paraId="7D669E8C" w14:textId="0A7D79B3" w:rsidR="005F1568" w:rsidRPr="00264DA8" w:rsidRDefault="0056371D" w:rsidP="005F1568">
      <w:pPr>
        <w:rPr>
          <w:lang w:val="lv-LV"/>
        </w:rPr>
      </w:pPr>
      <w:r w:rsidRPr="00264DA8">
        <w:rPr>
          <w:lang w:val="lv-LV"/>
        </w:rPr>
        <w:t xml:space="preserve">Vienlaikus </w:t>
      </w:r>
      <w:r w:rsidR="001D4C9B" w:rsidRPr="00264DA8">
        <w:rPr>
          <w:lang w:val="lv-LV"/>
        </w:rPr>
        <w:t xml:space="preserve">pārskata periodā </w:t>
      </w:r>
      <w:r w:rsidR="005F1568" w:rsidRPr="00264DA8">
        <w:rPr>
          <w:lang w:val="lv-LV"/>
        </w:rPr>
        <w:t>no valsts budžeta palielināti ieguldījumi r</w:t>
      </w:r>
      <w:r w:rsidRPr="00264DA8">
        <w:rPr>
          <w:lang w:val="lv-LV"/>
        </w:rPr>
        <w:t>ezidentu apmācīb</w:t>
      </w:r>
      <w:r w:rsidR="005F1568" w:rsidRPr="00264DA8">
        <w:rPr>
          <w:lang w:val="lv-LV"/>
        </w:rPr>
        <w:t xml:space="preserve">ām, kā rezultātā </w:t>
      </w:r>
      <w:r w:rsidRPr="00264DA8">
        <w:rPr>
          <w:lang w:val="lv-LV"/>
        </w:rPr>
        <w:t xml:space="preserve">2016./2017. mācību gadā nodrošinātas 30 papildu vietas jauno rezidentu uzņemšanai, </w:t>
      </w:r>
      <w:r w:rsidR="005F1568" w:rsidRPr="00264DA8">
        <w:rPr>
          <w:lang w:val="lv-LV"/>
        </w:rPr>
        <w:t xml:space="preserve">bet </w:t>
      </w:r>
      <w:r w:rsidRPr="00264DA8">
        <w:rPr>
          <w:lang w:val="lv-LV"/>
        </w:rPr>
        <w:t>2017./2018.mācību gadā vēl papildu 20</w:t>
      </w:r>
      <w:r w:rsidR="005F1568" w:rsidRPr="00264DA8">
        <w:rPr>
          <w:lang w:val="lv-LV"/>
        </w:rPr>
        <w:t xml:space="preserve"> vietas. Tuvākajā laikā ar ES fondu atbalstu</w:t>
      </w:r>
      <w:r w:rsidR="005F1568">
        <w:rPr>
          <w:rStyle w:val="FootnoteReference"/>
          <w:rFonts w:ascii="Times New Roman" w:hAnsi="Times New Roman"/>
          <w:i/>
          <w:sz w:val="24"/>
        </w:rPr>
        <w:footnoteReference w:id="60"/>
      </w:r>
      <w:r w:rsidR="005F1568" w:rsidRPr="00264DA8">
        <w:rPr>
          <w:lang w:val="lv-LV"/>
        </w:rPr>
        <w:t xml:space="preserve"> plānots uzsākt ārstniecības procesā iesaistītā personāla – ārstniecības personu, ārstniecības atbalsta personu, farmaceitiskās aprūpes speciālistu un sociālajā jomā strādājošo speciālistu – zināšanu un prasmju pilnveidi, piedāvājot arī profesionālās darbības atjaunošanas vai pārkvalificēšanās iespējas ārstniecības personām un ārstniecības atbalsta personām, lai nodrošinātu noteiktas specialitātes personāla piesaisti veselības aprūpes sistēmai, kā arī ārstniecības un ārstniecības atbalsta personāla profesionālās un praktiskās pieredzes apmaiņu Latvijā un ārpus Latvijas.</w:t>
      </w:r>
    </w:p>
    <w:p w14:paraId="6B869476" w14:textId="12468C37" w:rsidR="0029617A" w:rsidRPr="0029617A" w:rsidRDefault="0029617A" w:rsidP="0029617A">
      <w:pPr>
        <w:rPr>
          <w:szCs w:val="22"/>
          <w:lang w:val="lv-LV"/>
        </w:rPr>
      </w:pPr>
      <w:r w:rsidRPr="0029617A">
        <w:rPr>
          <w:szCs w:val="22"/>
          <w:lang w:val="lv-LV"/>
        </w:rPr>
        <w:t xml:space="preserve">Lai ierobežotu atkarību izraisošo procesu un vielu lietošanas izplatību sabiedrībā, NAP2020 darbības periodā ir veiktas vairākas normatīvā regulējuma izmaiņas attiecībā uz alkoholiskajiem dzērieniem. Saskaņā ar grozījumiem Alkoholisko dzērienu aprites likumā, sākot ar 2014. gada 1.jūliju, alkoholisko dzērienu vides reklāmā ir aizliegta. Savukārt 2015. gadā un 2016. gadā tika palielināts akcīzes nodoklis alkoholiskajiem dzērieniem. Tāpat, </w:t>
      </w:r>
      <w:r w:rsidRPr="0029617A">
        <w:rPr>
          <w:color w:val="000000"/>
          <w:szCs w:val="22"/>
          <w:shd w:val="clear" w:color="auto" w:fill="FFFFFF"/>
          <w:lang w:val="lv-LV"/>
        </w:rPr>
        <w:t>lai novērstu alkoholisko dzērienu pārdošanu personām līdz 18 gadu vecumam</w:t>
      </w:r>
      <w:r w:rsidRPr="0029617A">
        <w:rPr>
          <w:szCs w:val="22"/>
          <w:lang w:val="lv-LV"/>
        </w:rPr>
        <w:t>, k</w:t>
      </w:r>
      <w:r w:rsidRPr="0029617A">
        <w:rPr>
          <w:color w:val="000000"/>
          <w:szCs w:val="22"/>
          <w:shd w:val="clear" w:color="auto" w:fill="FFFFFF"/>
          <w:lang w:val="lv-LV"/>
        </w:rPr>
        <w:t>opš 2013. gada Valsts policijas darbiniekam ir tiesības veikt kontrolpirkumus, iesaistot to veikšanā arī nepilngadīgos.</w:t>
      </w:r>
      <w:r w:rsidRPr="0029617A">
        <w:rPr>
          <w:szCs w:val="22"/>
          <w:lang w:val="lv-LV"/>
        </w:rPr>
        <w:t xml:space="preserve"> Jāpiemin, ka 2014.</w:t>
      </w:r>
      <w:r w:rsidR="001D4C9B">
        <w:rPr>
          <w:szCs w:val="22"/>
          <w:lang w:val="lv-LV"/>
        </w:rPr>
        <w:t> </w:t>
      </w:r>
      <w:r w:rsidRPr="0029617A">
        <w:rPr>
          <w:szCs w:val="22"/>
          <w:lang w:val="lv-LV"/>
        </w:rPr>
        <w:t xml:space="preserve">gada 1.janvārī stājās spēkā grozījumi Latvijas Administratīvo pārkāpumu kodeksā (LAPK), paredzot administratīvo atbildību par alkoholisko dzērienu iegādāšanos nepilngadīgām personām. Ņemot vērā minētās izmaiņas normatīvajā regulējumā, kā arī īstenotās sabiedrības izglītošanas kampaņas, ir vērojama alkoholisko dzērienu patēriņa mazināšanās jauniešu vidū </w:t>
      </w:r>
      <w:r w:rsidR="001D4C9B">
        <w:rPr>
          <w:szCs w:val="22"/>
          <w:lang w:val="lv-LV"/>
        </w:rPr>
        <w:t>–</w:t>
      </w:r>
      <w:r w:rsidRPr="0029617A">
        <w:rPr>
          <w:szCs w:val="22"/>
          <w:lang w:val="lv-LV"/>
        </w:rPr>
        <w:t xml:space="preserve"> s</w:t>
      </w:r>
      <w:r w:rsidR="001D4C9B">
        <w:rPr>
          <w:szCs w:val="22"/>
          <w:lang w:val="lv-LV"/>
        </w:rPr>
        <w:t>askaņā ar 2015. </w:t>
      </w:r>
      <w:r w:rsidRPr="0029617A">
        <w:rPr>
          <w:szCs w:val="22"/>
          <w:lang w:val="lv-LV"/>
        </w:rPr>
        <w:t>gada ESPAD pētījum</w:t>
      </w:r>
      <w:r w:rsidR="00294B5E">
        <w:rPr>
          <w:szCs w:val="22"/>
          <w:lang w:val="lv-LV"/>
        </w:rPr>
        <w:t>u</w:t>
      </w:r>
      <w:r w:rsidR="001D4C9B">
        <w:rPr>
          <w:szCs w:val="22"/>
          <w:lang w:val="lv-LV"/>
        </w:rPr>
        <w:t xml:space="preserve"> salīdzinājumā ar 2011. </w:t>
      </w:r>
      <w:r w:rsidRPr="0029617A">
        <w:rPr>
          <w:szCs w:val="22"/>
          <w:lang w:val="lv-LV"/>
        </w:rPr>
        <w:t>gadu ir samazinājies par 7% to skolēnu skaits, kuri pēdējo 30 dienu laikā lietoja alkoholu riskanta veidā (vairāk par 60 g absolūtā alkohola vienā lietošanas reizē)</w:t>
      </w:r>
      <w:r w:rsidR="001D4C9B">
        <w:rPr>
          <w:szCs w:val="22"/>
          <w:lang w:val="lv-LV"/>
        </w:rPr>
        <w:t>, kā arī salīdzinājumā ar 2011. </w:t>
      </w:r>
      <w:r w:rsidRPr="0029617A">
        <w:rPr>
          <w:szCs w:val="22"/>
          <w:lang w:val="lv-LV"/>
        </w:rPr>
        <w:t>gadu par 6% samazinājies skolēnu skaits, kuri pēdējo 30 dienu laikā bija pied</w:t>
      </w:r>
      <w:r w:rsidR="001D4C9B">
        <w:rPr>
          <w:szCs w:val="22"/>
          <w:lang w:val="lv-LV"/>
        </w:rPr>
        <w:t>zērušies. Vienlaikus kopš 2011. </w:t>
      </w:r>
      <w:r w:rsidRPr="0029617A">
        <w:rPr>
          <w:szCs w:val="22"/>
          <w:lang w:val="lv-LV"/>
        </w:rPr>
        <w:t>gada alkoholisko dzērienu pie</w:t>
      </w:r>
      <w:r w:rsidR="001D4C9B">
        <w:rPr>
          <w:szCs w:val="22"/>
          <w:lang w:val="lv-LV"/>
        </w:rPr>
        <w:t>ejamība skolēnu vidū samazinājusies</w:t>
      </w:r>
      <w:r w:rsidRPr="0029617A">
        <w:rPr>
          <w:szCs w:val="22"/>
          <w:lang w:val="lv-LV"/>
        </w:rPr>
        <w:t xml:space="preserve"> par 14%.</w:t>
      </w:r>
    </w:p>
    <w:p w14:paraId="72647C99" w14:textId="2C0DB86F" w:rsidR="0029617A" w:rsidRPr="0029617A" w:rsidRDefault="0029617A" w:rsidP="0029617A">
      <w:pPr>
        <w:rPr>
          <w:szCs w:val="22"/>
          <w:lang w:val="lv-LV"/>
        </w:rPr>
      </w:pPr>
      <w:r w:rsidRPr="0029617A">
        <w:rPr>
          <w:szCs w:val="22"/>
          <w:lang w:val="lv-LV"/>
        </w:rPr>
        <w:lastRenderedPageBreak/>
        <w:t>Smē</w:t>
      </w:r>
      <w:r w:rsidR="001D4C9B">
        <w:rPr>
          <w:szCs w:val="22"/>
          <w:lang w:val="lv-LV"/>
        </w:rPr>
        <w:t>ķēšanas mazināšanas jomā 2016. gada 20. </w:t>
      </w:r>
      <w:r w:rsidRPr="0029617A">
        <w:rPr>
          <w:szCs w:val="22"/>
          <w:lang w:val="lv-LV"/>
        </w:rPr>
        <w:t xml:space="preserve">maijā stājās spēkā jaunais Tabakas izstrādājumu, augu smēķēšanas produktu, elektronisko smēķēšanas ierīču un to šķidrumu aprites likums, ar ko  nacionālajā likumdošanā tika pārņemta Eiropas Parlamenta un Padomes </w:t>
      </w:r>
      <w:r w:rsidRPr="0029617A">
        <w:rPr>
          <w:rFonts w:eastAsia="Meiryo"/>
          <w:szCs w:val="22"/>
          <w:lang w:val="lv-LV"/>
        </w:rPr>
        <w:t>Direktīva 2014/40/ES, kā arī</w:t>
      </w:r>
      <w:r w:rsidRPr="0029617A">
        <w:rPr>
          <w:szCs w:val="22"/>
          <w:lang w:val="lv-LV"/>
        </w:rPr>
        <w:t xml:space="preserve"> vairāki ar šo likumu saistītie normatīvie akti</w:t>
      </w:r>
      <w:r w:rsidRPr="0029617A">
        <w:rPr>
          <w:rFonts w:eastAsia="Meiryo"/>
          <w:szCs w:val="22"/>
          <w:lang w:val="lv-LV"/>
        </w:rPr>
        <w:t xml:space="preserve">. </w:t>
      </w:r>
      <w:r w:rsidRPr="0029617A">
        <w:rPr>
          <w:szCs w:val="22"/>
          <w:lang w:val="lv-LV"/>
        </w:rPr>
        <w:t xml:space="preserve">Likums nosaka stingrākas prasības attiecībā uz smēķēšanas ierobežojumiem, piemēram, ir aizliegts smēķēt grūtnieces klātbūtnē, </w:t>
      </w:r>
      <w:r w:rsidRPr="0029617A">
        <w:rPr>
          <w:bCs/>
          <w:szCs w:val="22"/>
          <w:lang w:val="lv-LV"/>
        </w:rPr>
        <w:t>valsts un pašvaldību transportlīdzekļos, kā arī paredz regulējumu attiecībā uz elektroniskajām smēķēšanas ierīcēm utt.</w:t>
      </w:r>
      <w:r w:rsidRPr="0029617A">
        <w:rPr>
          <w:szCs w:val="22"/>
          <w:lang w:val="lv-LV"/>
        </w:rPr>
        <w:t xml:space="preserve"> Vienlaikus kopš 2014.</w:t>
      </w:r>
      <w:r w:rsidR="001D4C9B">
        <w:rPr>
          <w:szCs w:val="22"/>
          <w:lang w:val="lv-LV"/>
        </w:rPr>
        <w:t> </w:t>
      </w:r>
      <w:r w:rsidRPr="0029617A">
        <w:rPr>
          <w:szCs w:val="22"/>
          <w:lang w:val="lv-LV"/>
        </w:rPr>
        <w:t xml:space="preserve">gada saskaņā ar Bērnu tiesību aizsardzības likumā noteikto </w:t>
      </w:r>
      <w:r w:rsidRPr="0029617A">
        <w:rPr>
          <w:bCs/>
          <w:szCs w:val="22"/>
          <w:lang w:val="lv-LV"/>
        </w:rPr>
        <w:t>bērna pakļaušana tabakas dūmu iedarbībai tiek uzskatīta par fizisku vardarbību</w:t>
      </w:r>
      <w:r w:rsidRPr="0029617A">
        <w:rPr>
          <w:szCs w:val="22"/>
          <w:lang w:val="lv-LV"/>
        </w:rPr>
        <w:t>. Tāpat tiek īstenoti sabiedrības informēšanas pasākumi par smēķēšanas kaitīgumu, t.sk. pasīvās smēķēšanas ietekmi uz bērniem.</w:t>
      </w:r>
    </w:p>
    <w:p w14:paraId="140CE45C" w14:textId="4D1F09F2" w:rsidR="0029617A" w:rsidRPr="0029617A" w:rsidRDefault="0029617A" w:rsidP="0029617A">
      <w:pPr>
        <w:rPr>
          <w:color w:val="000000"/>
          <w:szCs w:val="22"/>
          <w:shd w:val="clear" w:color="auto" w:fill="FFFFFF"/>
          <w:lang w:val="lv-LV"/>
        </w:rPr>
      </w:pPr>
      <w:r w:rsidRPr="0029617A">
        <w:rPr>
          <w:szCs w:val="22"/>
          <w:lang w:val="lv-LV"/>
        </w:rPr>
        <w:t>Ņemot vērā, ka Latvijā līdzīgi kā citur pasaulē aktuāla problēma ir jauno psihoaktīvo vielu aprite un lietošana, lai risinātu</w:t>
      </w:r>
      <w:r w:rsidR="001D4C9B">
        <w:rPr>
          <w:szCs w:val="22"/>
          <w:lang w:val="lv-LV"/>
        </w:rPr>
        <w:t xml:space="preserve"> šo problēmu Latvijā kopš 2013. </w:t>
      </w:r>
      <w:r w:rsidRPr="0029617A">
        <w:rPr>
          <w:szCs w:val="22"/>
          <w:lang w:val="lv-LV"/>
        </w:rPr>
        <w:t>gada ir ieviesta ģenēriskā sistēma jauno vielu iekļaušanai kontrolējamo vielu sarakstos, kā arī ir izveidota tā saucamā pagaidu aizlieguma sistēma, ar kuru jaunu vielu ātri var pakļaut p</w:t>
      </w:r>
      <w:r w:rsidR="001D4C9B">
        <w:rPr>
          <w:szCs w:val="22"/>
          <w:lang w:val="lv-LV"/>
        </w:rPr>
        <w:t>agaidu kontrolei uz laiku līdz vienam</w:t>
      </w:r>
      <w:r w:rsidRPr="0029617A">
        <w:rPr>
          <w:szCs w:val="22"/>
          <w:lang w:val="lv-LV"/>
        </w:rPr>
        <w:t xml:space="preserve"> gadam. Vienlaikus 2014. gadā stājās spēkā grozījumi Krimināllikumā, kas paredz kriminālatbildību par jauno psihoaktīvo vielu </w:t>
      </w:r>
      <w:r w:rsidRPr="0029617A">
        <w:rPr>
          <w:bCs/>
          <w:szCs w:val="22"/>
          <w:lang w:val="lv-LV"/>
        </w:rPr>
        <w:t xml:space="preserve">neatļautu izgatavošanu, iegādāšanos, glabāšanu, pārvadāšanu, pārsūtīšanu un jaunu psihoaktīvu vielu neatļautu lietošanu. Minētās iniciatīvas </w:t>
      </w:r>
      <w:r w:rsidRPr="0029617A">
        <w:rPr>
          <w:szCs w:val="22"/>
          <w:lang w:val="lv-LV"/>
        </w:rPr>
        <w:t>ir ļāvušas jauno vielu apriti samaz</w:t>
      </w:r>
      <w:r w:rsidR="001D4C9B">
        <w:rPr>
          <w:szCs w:val="22"/>
          <w:lang w:val="lv-LV"/>
        </w:rPr>
        <w:t xml:space="preserve">ināt. </w:t>
      </w:r>
      <w:r w:rsidRPr="0029617A">
        <w:rPr>
          <w:szCs w:val="22"/>
          <w:lang w:val="lv-LV"/>
        </w:rPr>
        <w:t>Tāpat, p</w:t>
      </w:r>
      <w:r w:rsidRPr="0029617A">
        <w:rPr>
          <w:color w:val="000000"/>
          <w:szCs w:val="22"/>
          <w:shd w:val="clear" w:color="auto" w:fill="FFFFFF"/>
          <w:lang w:val="lv-LV"/>
        </w:rPr>
        <w:t>amatojoties uz ESPAD pētījuma datiem</w:t>
      </w:r>
      <w:r w:rsidR="001D4C9B">
        <w:rPr>
          <w:iCs/>
          <w:color w:val="000000"/>
          <w:szCs w:val="22"/>
          <w:shd w:val="clear" w:color="auto" w:fill="FFFFFF"/>
          <w:lang w:val="lv-LV"/>
        </w:rPr>
        <w:t xml:space="preserve">, </w:t>
      </w:r>
      <w:r w:rsidRPr="0029617A">
        <w:rPr>
          <w:iCs/>
          <w:color w:val="000000"/>
          <w:szCs w:val="22"/>
          <w:shd w:val="clear" w:color="auto" w:fill="FFFFFF"/>
          <w:lang w:val="lv-LV"/>
        </w:rPr>
        <w:t>Spice</w:t>
      </w:r>
      <w:r w:rsidRPr="0029617A">
        <w:rPr>
          <w:color w:val="000000"/>
          <w:szCs w:val="22"/>
          <w:shd w:val="clear" w:color="auto" w:fill="FFFFFF"/>
          <w:lang w:val="lv-LV"/>
        </w:rPr>
        <w:t> vielas lietojušo 15 gadus veco jauniešu īpatsv</w:t>
      </w:r>
      <w:r w:rsidR="001D4C9B">
        <w:rPr>
          <w:color w:val="000000"/>
          <w:szCs w:val="22"/>
          <w:shd w:val="clear" w:color="auto" w:fill="FFFFFF"/>
          <w:lang w:val="lv-LV"/>
        </w:rPr>
        <w:t xml:space="preserve">ars salīdzinājumā ar 2011. gadu ir </w:t>
      </w:r>
      <w:r w:rsidRPr="0029617A">
        <w:rPr>
          <w:color w:val="000000"/>
          <w:szCs w:val="22"/>
          <w:shd w:val="clear" w:color="auto" w:fill="FFFFFF"/>
          <w:lang w:val="lv-LV"/>
        </w:rPr>
        <w:t xml:space="preserve">nedaudz samazinājies, kā arī salīdzinājumā ar 2011. gadu par 8% samazinājies to 15 gadus veco skolēnu īpatsvars, kuri kaut reizi pamēģinājuši kādu no narkotikām 2015. gadā. </w:t>
      </w:r>
    </w:p>
    <w:p w14:paraId="78EFE6D7" w14:textId="54D6E4FF" w:rsidR="0056371D" w:rsidRPr="005D4144" w:rsidRDefault="0029617A" w:rsidP="005D4144">
      <w:pPr>
        <w:rPr>
          <w:szCs w:val="22"/>
          <w:lang w:val="lv-LV"/>
        </w:rPr>
      </w:pPr>
      <w:r w:rsidRPr="005D4144">
        <w:rPr>
          <w:szCs w:val="22"/>
          <w:lang w:val="lv-LV"/>
        </w:rPr>
        <w:t>NAP2020 darbības periodā ir veiktas investīcijas ārstēšanas pieejamības nodrošināšanai atkarību gadījumos, uzlabojot ambulatoro narkologa konsultāciju, Metadona aizvietojošās terapijas, narkoloģisko slimnieku ārstēšanas narkoloģiskā profila dienas stacionārā, kā arī atkarību ārstēšanas stacionār</w:t>
      </w:r>
      <w:r w:rsidR="001D4C9B">
        <w:rPr>
          <w:szCs w:val="22"/>
          <w:lang w:val="lv-LV"/>
        </w:rPr>
        <w:t>ā pieejamību. Saskaņā ar normatīvo regulē</w:t>
      </w:r>
      <w:r w:rsidRPr="005D4144">
        <w:rPr>
          <w:szCs w:val="22"/>
          <w:lang w:val="lv-LV"/>
        </w:rPr>
        <w:t>jumu alkohola un narkotisko vielu atkarības medicīniskās rehabilitācijas programmas ietvaros no valsts budžeta līdzekļiem tiek apmaksāta arī psiholoģiskā un psihoterapeitiskā palīdzība, ja palīdzību sniedz multiprofesionāla komanda.</w:t>
      </w:r>
    </w:p>
    <w:p w14:paraId="3DE5E5FF" w14:textId="45EEC365" w:rsidR="0029617A" w:rsidRPr="005D4144" w:rsidRDefault="0029617A" w:rsidP="005D4144">
      <w:pPr>
        <w:rPr>
          <w:rFonts w:eastAsia="Times New Roman"/>
          <w:szCs w:val="22"/>
          <w:lang w:val="lv-LV"/>
        </w:rPr>
      </w:pPr>
      <w:r w:rsidRPr="005D4144">
        <w:rPr>
          <w:szCs w:val="22"/>
          <w:shd w:val="clear" w:color="auto" w:fill="FFFFFF"/>
          <w:lang w:val="lv-LV"/>
        </w:rPr>
        <w:t xml:space="preserve">Vienlaikus </w:t>
      </w:r>
      <w:r w:rsidR="00294B5E">
        <w:rPr>
          <w:szCs w:val="22"/>
          <w:shd w:val="clear" w:color="auto" w:fill="FFFFFF"/>
          <w:lang w:val="lv-LV"/>
        </w:rPr>
        <w:t>VM</w:t>
      </w:r>
      <w:r w:rsidRPr="005D4144">
        <w:rPr>
          <w:szCs w:val="22"/>
          <w:shd w:val="clear" w:color="auto" w:fill="FFFFFF"/>
          <w:lang w:val="lv-LV"/>
        </w:rPr>
        <w:t xml:space="preserve"> ir uzsākusi darbu pie politikas plānošanas dokumenta </w:t>
      </w:r>
      <w:r w:rsidRPr="005D4144">
        <w:rPr>
          <w:szCs w:val="22"/>
          <w:lang w:val="lv-LV"/>
        </w:rPr>
        <w:t>izstrādes</w:t>
      </w:r>
      <w:r w:rsidRPr="005D4144">
        <w:rPr>
          <w:szCs w:val="22"/>
          <w:shd w:val="clear" w:color="auto" w:fill="FFFFFF"/>
          <w:lang w:val="lv-LV"/>
        </w:rPr>
        <w:t xml:space="preserve"> nākamajam periodam attiecībā uz a</w:t>
      </w:r>
      <w:r w:rsidRPr="005D4144">
        <w:rPr>
          <w:szCs w:val="22"/>
          <w:lang w:val="lv-LV"/>
        </w:rPr>
        <w:t xml:space="preserve">lkoholisko dzērienu patēriņa mazināšanu un alkoholisma ierobežošanu, izvirzot galvenos rīcības virzienus un ietverot arī pasākumus </w:t>
      </w:r>
      <w:r w:rsidRPr="005D4144">
        <w:rPr>
          <w:szCs w:val="22"/>
          <w:shd w:val="clear" w:color="auto" w:fill="FFFFFF"/>
          <w:lang w:val="lv-LV"/>
        </w:rPr>
        <w:t xml:space="preserve">ārstēšanas un rehabilitācijas nodrošināšanas uzlabošanai. Saskaņā ar </w:t>
      </w:r>
      <w:r w:rsidRPr="005D4144">
        <w:rPr>
          <w:szCs w:val="22"/>
          <w:lang w:val="lv-LV"/>
        </w:rPr>
        <w:t>Valdības rīcības plān</w:t>
      </w:r>
      <w:r w:rsidR="005D4144" w:rsidRPr="005D4144">
        <w:rPr>
          <w:szCs w:val="22"/>
          <w:lang w:val="lv-LV"/>
        </w:rPr>
        <w:t>u attīstības plānošanas dokuments</w:t>
      </w:r>
      <w:r w:rsidR="005D4144" w:rsidRPr="005D4144">
        <w:rPr>
          <w:bCs/>
          <w:szCs w:val="22"/>
          <w:lang w:val="lv-LV"/>
        </w:rPr>
        <w:t xml:space="preserve"> jāizstrādā līdz 2018. gada 31. </w:t>
      </w:r>
      <w:r w:rsidRPr="005D4144">
        <w:rPr>
          <w:bCs/>
          <w:szCs w:val="22"/>
          <w:lang w:val="lv-LV"/>
        </w:rPr>
        <w:t>oktobrim.</w:t>
      </w:r>
    </w:p>
    <w:p w14:paraId="08F519A8" w14:textId="3B9A4B15" w:rsidR="0029617A" w:rsidRPr="005D4144" w:rsidRDefault="005D4144" w:rsidP="0029617A">
      <w:pPr>
        <w:rPr>
          <w:szCs w:val="22"/>
          <w:lang w:val="lv-LV"/>
        </w:rPr>
      </w:pPr>
      <w:r w:rsidRPr="005D4144">
        <w:rPr>
          <w:szCs w:val="22"/>
          <w:lang w:val="lv-LV"/>
        </w:rPr>
        <w:t>Tāpat V</w:t>
      </w:r>
      <w:r w:rsidR="0029617A" w:rsidRPr="005D4144">
        <w:rPr>
          <w:szCs w:val="22"/>
          <w:lang w:val="lv-LV"/>
        </w:rPr>
        <w:t>eselības aprūpes pakalpojumu onkoloģijas jom</w:t>
      </w:r>
      <w:r w:rsidRPr="005D4144">
        <w:rPr>
          <w:szCs w:val="22"/>
          <w:lang w:val="lv-LV"/>
        </w:rPr>
        <w:t>ā uzlabošanas plāna 2017.-2020. </w:t>
      </w:r>
      <w:r w:rsidR="0029617A" w:rsidRPr="005D4144">
        <w:rPr>
          <w:szCs w:val="22"/>
          <w:lang w:val="lv-LV"/>
        </w:rPr>
        <w:t>gadam ietvaros plānots nodrošināt iespēju ārstēties no tabakas atkarības personām, kuras to vēlas, izvērtējot ārstēšanas izmaksu efektivitāti un sniedzot vērtējumu par valsts apmaksātu tabakas atkarības ārstēšanu.</w:t>
      </w:r>
    </w:p>
    <w:p w14:paraId="6D0EF6BC" w14:textId="77777777" w:rsidR="00A9642F" w:rsidRPr="00595533" w:rsidRDefault="00A9642F" w:rsidP="00A9642F">
      <w:pPr>
        <w:pStyle w:val="NoSpacing"/>
        <w:rPr>
          <w:sz w:val="10"/>
          <w:szCs w:val="10"/>
          <w:lang w:val="lv-LV"/>
        </w:rPr>
      </w:pPr>
    </w:p>
    <w:p w14:paraId="512755AF" w14:textId="48A188C9" w:rsidR="00A9642F" w:rsidRDefault="00A9642F" w:rsidP="00A9642F">
      <w:pPr>
        <w:pStyle w:val="Heading3"/>
        <w:rPr>
          <w:lang w:val="lv-LV"/>
        </w:rPr>
      </w:pPr>
      <w:bookmarkStart w:id="56" w:name="_Toc498690636"/>
      <w:r w:rsidRPr="00595533">
        <w:rPr>
          <w:lang w:val="lv-LV"/>
        </w:rPr>
        <w:t>PROGRESA NOVĒRTĒJUMS</w:t>
      </w:r>
      <w:bookmarkEnd w:id="56"/>
    </w:p>
    <w:p w14:paraId="012953A8" w14:textId="0710DBC1" w:rsidR="00184FFF" w:rsidRDefault="00A6152B">
      <w:pPr>
        <w:rPr>
          <w:lang w:val="lv-LV"/>
        </w:rPr>
      </w:pPr>
      <w:r w:rsidRPr="00A6152B">
        <w:rPr>
          <w:lang w:val="lv-LV"/>
        </w:rPr>
        <w:t xml:space="preserve">Rīcības virziena </w:t>
      </w:r>
      <w:r w:rsidRPr="00A6152B">
        <w:rPr>
          <w:i/>
          <w:lang w:val="lv-LV"/>
        </w:rPr>
        <w:t>Vesels un darbspējīgs cilvēks</w:t>
      </w:r>
      <w:r w:rsidRPr="00A6152B">
        <w:rPr>
          <w:lang w:val="lv-LV"/>
        </w:rPr>
        <w:t xml:space="preserve"> mērķu sasniegšanai sākotnēji tika plānots investēt kopumā 462,9 mlj euro. Uz starpposma izvērtējuma brīdi rīcības virziena uzdevumu īstenošanai ir apzinātas kopējās investīcijas 496,4 mlj euro apmērā jeb par 7,3% vairāk nekā sākotnēji plānots. No minētajām investīcijām lielāko daļu jeb 54,4% veido nacionālais finansējums, savukārt atlikušo daļu - ES fondu finansējums.</w:t>
      </w:r>
    </w:p>
    <w:p w14:paraId="780967E6" w14:textId="75F3A6C4" w:rsidR="00A9642F" w:rsidRDefault="00E30FB2">
      <w:pPr>
        <w:rPr>
          <w:lang w:val="lv-LV"/>
        </w:rPr>
      </w:pPr>
      <w:r>
        <w:rPr>
          <w:lang w:val="lv-LV"/>
        </w:rPr>
        <w:t>Vērtējot progresu NAP2020 indikatoros veselības jomā, situācija nav vērtējama viennozīmīgi. No vienas puses, rādītāji, kas tiešā veidā saistīti ar veselību ietekmējošo riska faktoru izplatību sabiedrībā, uzlabojas, jo pēdējo gadu laikā mazinājusies gan smēķēšanas izplatība jauniešu vidū, gan ar</w:t>
      </w:r>
      <w:r w:rsidR="008F657C">
        <w:rPr>
          <w:lang w:val="lv-LV"/>
        </w:rPr>
        <w:t xml:space="preserve">ī </w:t>
      </w:r>
      <w:r w:rsidR="0086126D">
        <w:rPr>
          <w:lang w:val="lv-LV"/>
        </w:rPr>
        <w:t>stabilizējies riskants</w:t>
      </w:r>
      <w:r w:rsidR="008F657C">
        <w:rPr>
          <w:lang w:val="lv-LV"/>
        </w:rPr>
        <w:t xml:space="preserve"> alkohola lietošana</w:t>
      </w:r>
      <w:r w:rsidR="0086126D">
        <w:rPr>
          <w:lang w:val="lv-LV"/>
        </w:rPr>
        <w:t>s patēriņš</w:t>
      </w:r>
      <w:r w:rsidR="008F657C">
        <w:rPr>
          <w:lang w:val="lv-LV"/>
        </w:rPr>
        <w:t xml:space="preserve"> </w:t>
      </w:r>
      <w:r>
        <w:rPr>
          <w:lang w:val="lv-LV"/>
        </w:rPr>
        <w:t>sabiedrībā kopumā</w:t>
      </w:r>
      <w:r w:rsidR="008F657C">
        <w:rPr>
          <w:lang w:val="lv-LV"/>
        </w:rPr>
        <w:t xml:space="preserve">, kas skaidrojams gan ar paaudžu maiņu un līdz ar to </w:t>
      </w:r>
      <w:r w:rsidR="008F657C">
        <w:rPr>
          <w:lang w:val="lv-LV"/>
        </w:rPr>
        <w:lastRenderedPageBreak/>
        <w:t>paaudzei raksturīgo paradumu, tostarp atkarību transformāciju (pieaugot IKT lietojumam sabiedrībā, vielu atkarība jauniešu vidū tiek aizstāta ar procesu atkarību), gan arī īstenotajām aktivitātēm sabiedrības veselības jomā, nostiprinot veselību kā vērtību un īstenojot efektīvu rīcību atkarību izraisošo vielu patēriņa mazināšanai (akcīzes politika, ierobežojumi tirdzniecībai un reklāmai)</w:t>
      </w:r>
      <w:r w:rsidR="00C5346A">
        <w:rPr>
          <w:lang w:val="lv-LV"/>
        </w:rPr>
        <w:t>. Ja 2010.</w:t>
      </w:r>
      <w:r w:rsidR="00530B10">
        <w:rPr>
          <w:lang w:val="lv-LV"/>
        </w:rPr>
        <w:t> </w:t>
      </w:r>
      <w:r w:rsidR="00C5346A">
        <w:rPr>
          <w:lang w:val="lv-LV"/>
        </w:rPr>
        <w:t>gadā par regulāriem smēķētājiem bija uzskatāma aptuveni ceturtā daļa (26,9%) 15 gadus veco jauniešu, tad 2014.</w:t>
      </w:r>
      <w:r w:rsidR="00530B10">
        <w:rPr>
          <w:lang w:val="lv-LV"/>
        </w:rPr>
        <w:t> </w:t>
      </w:r>
      <w:r w:rsidR="00C5346A">
        <w:rPr>
          <w:lang w:val="lv-LV"/>
        </w:rPr>
        <w:t>gadā to skaits bija ievērojami mazāks un veidoja salīdzinoši vien 14,3%</w:t>
      </w:r>
      <w:r w:rsidR="0086126D">
        <w:rPr>
          <w:lang w:val="lv-LV"/>
        </w:rPr>
        <w:t>. Savukārt darbspējas vecuma iedzīvotāju skaits, kuri alkoholu pēdēja gada laikā lietojuši riskantā veidā, vismaz vienā iedzeršanas reizē izdzerot 60 un vairāk gramus absolūtā alkohola, kopš 2011.</w:t>
      </w:r>
      <w:r w:rsidR="00530B10">
        <w:rPr>
          <w:lang w:val="lv-LV"/>
        </w:rPr>
        <w:t> </w:t>
      </w:r>
      <w:r w:rsidR="0086126D">
        <w:rPr>
          <w:lang w:val="lv-LV"/>
        </w:rPr>
        <w:t>gada praktiski nav mainījies un 2015.</w:t>
      </w:r>
      <w:r w:rsidR="00530B10">
        <w:rPr>
          <w:lang w:val="lv-LV"/>
        </w:rPr>
        <w:t> </w:t>
      </w:r>
      <w:r w:rsidR="0086126D">
        <w:rPr>
          <w:lang w:val="lv-LV"/>
        </w:rPr>
        <w:t>gadā veidoja 44,5% (2011.</w:t>
      </w:r>
      <w:r w:rsidR="00530B10">
        <w:rPr>
          <w:lang w:val="lv-LV"/>
        </w:rPr>
        <w:t> </w:t>
      </w:r>
      <w:r w:rsidR="0086126D">
        <w:rPr>
          <w:lang w:val="lv-LV"/>
        </w:rPr>
        <w:t xml:space="preserve">gadā šis rādītājs bija 43,7%). Sekojoši no gada uz gadu pakāpeniski mazinās arī potenciāli zaudēto mūža gadu skaits, kas saistīts </w:t>
      </w:r>
      <w:r w:rsidR="003C00C9">
        <w:rPr>
          <w:lang w:val="lv-LV"/>
        </w:rPr>
        <w:t xml:space="preserve">galvenokārt ar ārējo nāves cēloņu izraisītas </w:t>
      </w:r>
      <w:r w:rsidR="0086126D">
        <w:rPr>
          <w:lang w:val="lv-LV"/>
        </w:rPr>
        <w:t>priek</w:t>
      </w:r>
      <w:r w:rsidR="003C00C9">
        <w:rPr>
          <w:lang w:val="lv-LV"/>
        </w:rPr>
        <w:t>šlaicīgas mirstības mazināšanos. Taču, no otras puses, rādītājs par veselīgi nodzīvoto mūža gadu skaitu</w:t>
      </w:r>
      <w:r w:rsidR="00E63D3F">
        <w:rPr>
          <w:lang w:val="lv-LV"/>
        </w:rPr>
        <w:t xml:space="preserve">, kas atspoguļo bez hroniskām slimībām un </w:t>
      </w:r>
      <w:r w:rsidR="00EF111E">
        <w:rPr>
          <w:lang w:val="lv-LV"/>
        </w:rPr>
        <w:t>ilgtermiņa aktivitāšu ierobežojuma</w:t>
      </w:r>
      <w:r w:rsidR="00E63D3F">
        <w:rPr>
          <w:lang w:val="lv-LV"/>
        </w:rPr>
        <w:t xml:space="preserve"> sagaidāmo mūža ilgumu,</w:t>
      </w:r>
      <w:r w:rsidR="003C00C9">
        <w:rPr>
          <w:lang w:val="lv-LV"/>
        </w:rPr>
        <w:t xml:space="preserve"> pozitīvas izmaiņas pēdējo gadu laikā neuzrāda, bet tieši pretēji – tas samazinājies </w:t>
      </w:r>
      <w:r w:rsidR="00AF06BD">
        <w:rPr>
          <w:lang w:val="lv-LV"/>
        </w:rPr>
        <w:t xml:space="preserve">vīriešiem </w:t>
      </w:r>
      <w:r w:rsidR="003C00C9">
        <w:rPr>
          <w:lang w:val="lv-LV"/>
        </w:rPr>
        <w:t>no 53,6 gadiem 2011.</w:t>
      </w:r>
      <w:r w:rsidR="00E76957">
        <w:rPr>
          <w:lang w:val="lv-LV"/>
        </w:rPr>
        <w:t> </w:t>
      </w:r>
      <w:r w:rsidR="003C00C9">
        <w:rPr>
          <w:lang w:val="lv-LV"/>
        </w:rPr>
        <w:t xml:space="preserve">gadā uz </w:t>
      </w:r>
      <w:r w:rsidR="00AF06BD">
        <w:rPr>
          <w:lang w:val="lv-LV"/>
        </w:rPr>
        <w:t>51,8 gadiem 2015.</w:t>
      </w:r>
      <w:r w:rsidR="00E76957">
        <w:rPr>
          <w:lang w:val="lv-LV"/>
        </w:rPr>
        <w:t> </w:t>
      </w:r>
      <w:r w:rsidR="00AF06BD">
        <w:rPr>
          <w:lang w:val="lv-LV"/>
        </w:rPr>
        <w:t>gadā, savukārt sievietēm – no</w:t>
      </w:r>
      <w:r w:rsidR="003C00C9">
        <w:rPr>
          <w:lang w:val="lv-LV"/>
        </w:rPr>
        <w:t xml:space="preserve"> </w:t>
      </w:r>
      <w:r w:rsidR="00AF06BD">
        <w:rPr>
          <w:lang w:val="lv-LV"/>
        </w:rPr>
        <w:t>56,6 gadiem 2011.</w:t>
      </w:r>
      <w:r w:rsidR="00E76957">
        <w:rPr>
          <w:lang w:val="lv-LV"/>
        </w:rPr>
        <w:t> </w:t>
      </w:r>
      <w:r w:rsidR="00AF06BD">
        <w:rPr>
          <w:lang w:val="lv-LV"/>
        </w:rPr>
        <w:t>gadā uz 54,1 gadam 2015.</w:t>
      </w:r>
      <w:r w:rsidR="00E76957">
        <w:rPr>
          <w:lang w:val="lv-LV"/>
        </w:rPr>
        <w:t> </w:t>
      </w:r>
      <w:r w:rsidR="00AF06BD">
        <w:rPr>
          <w:lang w:val="lv-LV"/>
        </w:rPr>
        <w:t>gadā.</w:t>
      </w:r>
      <w:r w:rsidR="00E63D3F">
        <w:rPr>
          <w:lang w:val="lv-LV"/>
        </w:rPr>
        <w:t xml:space="preserve"> </w:t>
      </w:r>
      <w:r w:rsidR="00E76957">
        <w:rPr>
          <w:lang w:val="lv-LV"/>
        </w:rPr>
        <w:t>Attīstītās valstīs veselīgi nodzīvoto mūža gadu skaits nemēdz samazināties, tāpēc š</w:t>
      </w:r>
      <w:r w:rsidR="00E63D3F">
        <w:rPr>
          <w:lang w:val="lv-LV"/>
        </w:rPr>
        <w:t xml:space="preserve">āds samazinājums ir skaidrs brīdinājums par ilgstošām problēmām veselības aprūpes sistēmā un </w:t>
      </w:r>
      <w:r w:rsidR="00E76957">
        <w:rPr>
          <w:lang w:val="lv-LV"/>
        </w:rPr>
        <w:t xml:space="preserve">būtiskiem </w:t>
      </w:r>
      <w:r w:rsidR="00E63D3F">
        <w:rPr>
          <w:lang w:val="lv-LV"/>
        </w:rPr>
        <w:t xml:space="preserve">ierobežojumiem veselības aprūpes pakalpojumu pieejamībā, </w:t>
      </w:r>
      <w:r w:rsidR="00E76957">
        <w:rPr>
          <w:lang w:val="lv-LV"/>
        </w:rPr>
        <w:t>kas uzrāda</w:t>
      </w:r>
      <w:r w:rsidR="00EF111E">
        <w:rPr>
          <w:lang w:val="lv-LV"/>
        </w:rPr>
        <w:t xml:space="preserve"> veselīb</w:t>
      </w:r>
      <w:r w:rsidR="00E76957">
        <w:rPr>
          <w:lang w:val="lv-LV"/>
        </w:rPr>
        <w:t>as aprūpes ilgtspējas zaudējumu.</w:t>
      </w:r>
      <w:r w:rsidR="00EF111E">
        <w:rPr>
          <w:lang w:val="lv-LV"/>
        </w:rPr>
        <w:t xml:space="preserve"> </w:t>
      </w:r>
      <w:r w:rsidR="00E76957">
        <w:rPr>
          <w:lang w:val="lv-LV"/>
        </w:rPr>
        <w:t>T</w:t>
      </w:r>
      <w:r w:rsidR="00E63D3F">
        <w:rPr>
          <w:lang w:val="lv-LV"/>
        </w:rPr>
        <w:t>as rezultējas neveselā, darbspējas pri</w:t>
      </w:r>
      <w:r w:rsidR="00EF111E">
        <w:rPr>
          <w:lang w:val="lv-LV"/>
        </w:rPr>
        <w:t>ek</w:t>
      </w:r>
      <w:r w:rsidR="00E76957">
        <w:rPr>
          <w:lang w:val="lv-LV"/>
        </w:rPr>
        <w:t>šlaicīgi zaudējušā sabiedrībā,</w:t>
      </w:r>
      <w:r w:rsidR="00E63D3F">
        <w:rPr>
          <w:lang w:val="lv-LV"/>
        </w:rPr>
        <w:t xml:space="preserve"> kas tādējādi būtiski ietekmē un ierobežo arī Latvijas konkurētspēju un ekonomisko izaugsmi.</w:t>
      </w:r>
      <w:r w:rsidR="00EF111E">
        <w:rPr>
          <w:lang w:val="lv-LV"/>
        </w:rPr>
        <w:t xml:space="preserve"> Ņemot vērā rādītāja komplekso raksturu, </w:t>
      </w:r>
      <w:r w:rsidR="001238D3">
        <w:rPr>
          <w:lang w:val="lv-LV"/>
        </w:rPr>
        <w:t xml:space="preserve">izmanotojot gan veselības, gan labklājības sistēmās uzkrāto informāciju, </w:t>
      </w:r>
      <w:r w:rsidR="00212B56">
        <w:rPr>
          <w:lang w:val="lv-LV"/>
        </w:rPr>
        <w:t xml:space="preserve">steidzami </w:t>
      </w:r>
      <w:r w:rsidR="00EF111E">
        <w:rPr>
          <w:lang w:val="lv-LV"/>
        </w:rPr>
        <w:t xml:space="preserve">padziļināti analizējami </w:t>
      </w:r>
      <w:r w:rsidR="001238D3">
        <w:rPr>
          <w:lang w:val="lv-LV"/>
        </w:rPr>
        <w:t>ilgstošas darba nespējas cēloņi reģionālā griezumā, kā arī hronisko slimību ārstēšanas process pirm</w:t>
      </w:r>
      <w:r w:rsidR="00212B56">
        <w:rPr>
          <w:lang w:val="lv-LV"/>
        </w:rPr>
        <w:t>spensijas vecuma iedzīvotājiem, lai tālāk lemtu par taktisko rīcību un uzlabotu darbspējas vecuma iedzīv</w:t>
      </w:r>
      <w:r w:rsidR="00E76957">
        <w:rPr>
          <w:lang w:val="lv-LV"/>
        </w:rPr>
        <w:t>otāju dzīves kvalitāti, mazinot</w:t>
      </w:r>
      <w:r w:rsidR="00212B56">
        <w:rPr>
          <w:lang w:val="lv-LV"/>
        </w:rPr>
        <w:t xml:space="preserve"> Latvijas konkurētspējas apdraudējuma riskus. </w:t>
      </w:r>
      <w:r w:rsidR="001238D3">
        <w:rPr>
          <w:lang w:val="lv-LV"/>
        </w:rPr>
        <w:t>Vienlaikus gan jānorāda, ka to darbspējas vecuma iedzīvotāju skaits, kuri pēdējā gada laikā kaut reizi apmeklējuši ģimenes ārstu, ar katru gadu pieaug un 2016.</w:t>
      </w:r>
      <w:r w:rsidR="00E76957">
        <w:rPr>
          <w:lang w:val="lv-LV"/>
        </w:rPr>
        <w:t> </w:t>
      </w:r>
      <w:r w:rsidR="001238D3">
        <w:rPr>
          <w:lang w:val="lv-LV"/>
        </w:rPr>
        <w:t>gadā veidoja 78%. Salīdzinājumam: 2013.</w:t>
      </w:r>
      <w:r w:rsidR="00E76957">
        <w:rPr>
          <w:lang w:val="lv-LV"/>
        </w:rPr>
        <w:t> </w:t>
      </w:r>
      <w:r w:rsidR="001238D3">
        <w:rPr>
          <w:lang w:val="lv-LV"/>
        </w:rPr>
        <w:t xml:space="preserve">gadā to darbspējas vecuma cilvēku skaits, kuri kaut </w:t>
      </w:r>
      <w:r w:rsidR="00212B56">
        <w:rPr>
          <w:lang w:val="lv-LV"/>
        </w:rPr>
        <w:t>reizi apmeklējuši ģimenes ārstu, bija 73%.</w:t>
      </w:r>
    </w:p>
    <w:p w14:paraId="5D023E5F" w14:textId="6F3A4349" w:rsidR="00212B56" w:rsidRDefault="00212B56">
      <w:pPr>
        <w:rPr>
          <w:lang w:val="lv-LV"/>
        </w:rPr>
      </w:pPr>
      <w:r>
        <w:rPr>
          <w:lang w:val="lv-LV"/>
        </w:rPr>
        <w:t xml:space="preserve">Arī viedokļu līderi kritiski vērtē progresu NAP2020 rīcības virzienā </w:t>
      </w:r>
      <w:r w:rsidRPr="00212B56">
        <w:rPr>
          <w:i/>
          <w:lang w:val="lv-LV"/>
        </w:rPr>
        <w:t>Vesels un darbspējīgs cilvēks</w:t>
      </w:r>
      <w:r w:rsidR="00C06EFD">
        <w:rPr>
          <w:lang w:val="lv-LV"/>
        </w:rPr>
        <w:t>, uzskatot, ka hronisko slimību un ārējo nāves cēloņu riska faktoru izplatības mazināšanas mērķis netiek īstenots. Tikai 12% aptaujāto ekspertu domā, ka progress ar rīcības virziena mērķa sasniegšanu vērtējams kā drīzāk sekmīgs. Tādējādi NAP2020 mērķa progress veselības jomā ir viens no diviem visbiežāk kritiski</w:t>
      </w:r>
      <w:r w:rsidR="00E76957">
        <w:rPr>
          <w:lang w:val="lv-LV"/>
        </w:rPr>
        <w:t xml:space="preserve"> vērtētajiem starp vairāk kā trī</w:t>
      </w:r>
      <w:r w:rsidR="00C06EFD">
        <w:rPr>
          <w:lang w:val="lv-LV"/>
        </w:rPr>
        <w:t>sdesmit NAP2020 mērķiem.</w:t>
      </w:r>
      <w:r w:rsidR="008E45FF">
        <w:rPr>
          <w:lang w:val="lv-LV"/>
        </w:rPr>
        <w:t xml:space="preserve"> </w:t>
      </w:r>
    </w:p>
    <w:p w14:paraId="146B30C2" w14:textId="183A65C7" w:rsidR="008E45FF" w:rsidRDefault="00431F2B">
      <w:pPr>
        <w:rPr>
          <w:lang w:val="lv-LV"/>
        </w:rPr>
      </w:pPr>
      <w:r>
        <w:rPr>
          <w:lang w:val="lv-LV"/>
        </w:rPr>
        <w:t>Būtiskākais iemesls</w:t>
      </w:r>
      <w:r w:rsidR="008E45FF">
        <w:rPr>
          <w:lang w:val="lv-LV"/>
        </w:rPr>
        <w:t xml:space="preserve"> vājam progresam nosprausto mērķu sasniegšanā </w:t>
      </w:r>
      <w:r>
        <w:rPr>
          <w:lang w:val="lv-LV"/>
        </w:rPr>
        <w:t>pēc viedokļu līderu domām saistīts ar</w:t>
      </w:r>
      <w:r w:rsidR="008E45FF">
        <w:rPr>
          <w:lang w:val="lv-LV"/>
        </w:rPr>
        <w:t xml:space="preserve"> </w:t>
      </w:r>
      <w:r>
        <w:rPr>
          <w:lang w:val="lv-LV"/>
        </w:rPr>
        <w:t>to, kā funkc</w:t>
      </w:r>
      <w:r w:rsidR="001B6EA5">
        <w:rPr>
          <w:lang w:val="lv-LV"/>
        </w:rPr>
        <w:t>ionē</w:t>
      </w:r>
      <w:r w:rsidR="003B0747">
        <w:rPr>
          <w:lang w:val="lv-LV"/>
        </w:rPr>
        <w:t xml:space="preserve"> veselības aprūpes sistēma. P</w:t>
      </w:r>
      <w:r>
        <w:rPr>
          <w:lang w:val="lv-LV"/>
        </w:rPr>
        <w:t xml:space="preserve">roti, no vienas puses, ir nepietiekams publiskais finansējums, taču, no otras puses, </w:t>
      </w:r>
      <w:r w:rsidR="003B0747">
        <w:rPr>
          <w:lang w:val="lv-LV"/>
        </w:rPr>
        <w:t xml:space="preserve">sistēmā </w:t>
      </w:r>
      <w:r>
        <w:rPr>
          <w:lang w:val="lv-LV"/>
        </w:rPr>
        <w:t>iztrū</w:t>
      </w:r>
      <w:r w:rsidR="003B0747">
        <w:rPr>
          <w:lang w:val="lv-LV"/>
        </w:rPr>
        <w:t>kst efektivitāte, caurspīdīgums un</w:t>
      </w:r>
      <w:r>
        <w:rPr>
          <w:lang w:val="lv-LV"/>
        </w:rPr>
        <w:t xml:space="preserve"> kompetenta uzra</w:t>
      </w:r>
      <w:r w:rsidR="004E427C">
        <w:rPr>
          <w:lang w:val="lv-LV"/>
        </w:rPr>
        <w:t>udzība, kā</w:t>
      </w:r>
      <w:r w:rsidR="003B0747">
        <w:rPr>
          <w:lang w:val="lv-LV"/>
        </w:rPr>
        <w:t>dēļ viedokļu līderi veltījuši visai skarbus vārdus par veselības aprūpes sistēmu</w:t>
      </w:r>
      <w:r>
        <w:rPr>
          <w:lang w:val="lv-LV"/>
        </w:rPr>
        <w:t xml:space="preserve"> </w:t>
      </w:r>
      <w:r w:rsidR="003B0747">
        <w:rPr>
          <w:lang w:val="lv-LV"/>
        </w:rPr>
        <w:t>kopumā:</w:t>
      </w:r>
    </w:p>
    <w:p w14:paraId="73CCA0A3" w14:textId="1ABF7C8C" w:rsidR="003B0747" w:rsidRPr="000664FB" w:rsidRDefault="003B0747" w:rsidP="004E427C">
      <w:pPr>
        <w:ind w:left="720"/>
        <w:rPr>
          <w:i/>
          <w:color w:val="1E5E9F" w:themeColor="accent3" w:themeShade="BF"/>
          <w:lang w:val="lv-LV"/>
        </w:rPr>
      </w:pPr>
      <w:r w:rsidRPr="004E427C">
        <w:rPr>
          <w:i/>
          <w:color w:val="1E5E9F" w:themeColor="accent3" w:themeShade="BF"/>
          <w:lang w:val="lv-LV"/>
        </w:rPr>
        <w:t>“</w:t>
      </w:r>
      <w:r w:rsidRPr="000664FB">
        <w:rPr>
          <w:i/>
          <w:color w:val="1E5E9F" w:themeColor="accent3" w:themeShade="BF"/>
          <w:lang w:val="lv-LV"/>
        </w:rPr>
        <w:t>Veselības aprūpes sistēmā daudz naudas tiek tērēts bejēdzīgi - gan birokrātiskās pieejas, gan bieži arī profesionālisma trūkuma dēļ.”</w:t>
      </w:r>
    </w:p>
    <w:p w14:paraId="4B2F1C0B" w14:textId="0FC2FBEC" w:rsidR="00C06EFD" w:rsidRDefault="003B0747">
      <w:pPr>
        <w:rPr>
          <w:lang w:val="lv-LV"/>
        </w:rPr>
      </w:pPr>
      <w:r>
        <w:rPr>
          <w:lang w:val="lv-LV"/>
        </w:rPr>
        <w:t>Publisk</w:t>
      </w:r>
      <w:r w:rsidR="006662FD">
        <w:rPr>
          <w:lang w:val="lv-LV"/>
        </w:rPr>
        <w:t xml:space="preserve">ais finansējums veselības jomai, kā arī pakalpojumu tīkla attīstība </w:t>
      </w:r>
      <w:r>
        <w:rPr>
          <w:lang w:val="lv-LV"/>
        </w:rPr>
        <w:t xml:space="preserve">nosaka to, vai veselības aprūpes pakalpojumi ir pieejami. </w:t>
      </w:r>
      <w:r w:rsidR="006662FD">
        <w:rPr>
          <w:lang w:val="lv-LV"/>
        </w:rPr>
        <w:t>Ņemot vērā privātā sektora piedāvāto veselības aprūpes pakalpojumu klāstu un tīklu, veselības aprūpes pakalpojumu pieejamība valstī kļūst atkarīga tikai no iedzīvotāju pirktspējas un ienākumiem, tāpēc zemie ienākumi un augstais nabadzības risks tajās sabiedrības grupās, kam veselības aprūpes pakalpojumi nepieciešami visvairāk</w:t>
      </w:r>
      <w:r w:rsidR="004E427C">
        <w:rPr>
          <w:lang w:val="lv-LV"/>
        </w:rPr>
        <w:t>, ekspertu vidū tiek minēts kā otrs būtiskākais iemesls, kas ierobežo pieejamību veselības aprūpei:</w:t>
      </w:r>
    </w:p>
    <w:p w14:paraId="44C40B48" w14:textId="62D449D1" w:rsidR="006662FD" w:rsidRPr="000664FB" w:rsidRDefault="004E427C" w:rsidP="004E427C">
      <w:pPr>
        <w:ind w:left="720"/>
        <w:rPr>
          <w:rFonts w:ascii="Cambria" w:hAnsi="Cambria"/>
          <w:i/>
          <w:color w:val="1E5E9F" w:themeColor="accent3" w:themeShade="BF"/>
          <w:szCs w:val="22"/>
          <w:lang w:val="lv-LV"/>
        </w:rPr>
      </w:pPr>
      <w:r w:rsidRPr="000664FB">
        <w:rPr>
          <w:rFonts w:ascii="Cambria" w:hAnsi="Cambria"/>
          <w:i/>
          <w:color w:val="1E5E9F" w:themeColor="accent3" w:themeShade="BF"/>
          <w:szCs w:val="22"/>
          <w:lang w:val="lv-LV"/>
        </w:rPr>
        <w:lastRenderedPageBreak/>
        <w:t>“</w:t>
      </w:r>
      <w:r w:rsidR="006662FD" w:rsidRPr="000664FB">
        <w:rPr>
          <w:rFonts w:ascii="Cambria" w:hAnsi="Cambria"/>
          <w:i/>
          <w:color w:val="1E5E9F" w:themeColor="accent3" w:themeShade="BF"/>
          <w:szCs w:val="22"/>
          <w:lang w:val="lv-LV"/>
        </w:rPr>
        <w:t>Sabiedrības nabadzība un veselības aizsardzības sistēmas nespēja strādāt proaktīvā, profilaktiskā režīmā</w:t>
      </w:r>
      <w:r w:rsidRPr="000664FB">
        <w:rPr>
          <w:rFonts w:ascii="Cambria" w:hAnsi="Cambria"/>
          <w:i/>
          <w:color w:val="1E5E9F" w:themeColor="accent3" w:themeShade="BF"/>
          <w:szCs w:val="22"/>
          <w:lang w:val="lv-LV"/>
        </w:rPr>
        <w:t>.”</w:t>
      </w:r>
    </w:p>
    <w:p w14:paraId="49102B8F" w14:textId="59CBF96D" w:rsidR="006662FD" w:rsidRPr="004A1ED7" w:rsidRDefault="004E427C" w:rsidP="004E427C">
      <w:pPr>
        <w:ind w:left="720"/>
        <w:rPr>
          <w:rFonts w:ascii="Cambria" w:eastAsia="Times New Roman" w:hAnsi="Cambria" w:cs="Times New Roman"/>
          <w:i/>
          <w:color w:val="1E5E9F" w:themeColor="accent3" w:themeShade="BF"/>
          <w:szCs w:val="22"/>
          <w:lang w:val="lv-LV"/>
        </w:rPr>
      </w:pPr>
      <w:r w:rsidRPr="004A1ED7">
        <w:rPr>
          <w:rFonts w:ascii="Cambria" w:eastAsia="Times New Roman" w:hAnsi="Cambria" w:cs="Times New Roman"/>
          <w:i/>
          <w:color w:val="1E5E9F" w:themeColor="accent3" w:themeShade="BF"/>
          <w:szCs w:val="22"/>
          <w:lang w:val="lv-LV"/>
        </w:rPr>
        <w:t>“</w:t>
      </w:r>
      <w:r w:rsidR="006662FD" w:rsidRPr="004A1ED7">
        <w:rPr>
          <w:rFonts w:ascii="Cambria" w:eastAsia="Times New Roman" w:hAnsi="Cambria" w:cs="Times New Roman"/>
          <w:i/>
          <w:color w:val="1E5E9F" w:themeColor="accent3" w:themeShade="BF"/>
          <w:szCs w:val="22"/>
          <w:lang w:val="lv-LV"/>
        </w:rPr>
        <w:t>Nav profilakses programmas, nav pietiekams daudzums ārstu, ārstu profesionalitāte klibo, valstij nav naudas konkrētām programmām - līdz ar to, iedzīvotājiem nav naudas ārstēšanai</w:t>
      </w:r>
      <w:r w:rsidRPr="004A1ED7">
        <w:rPr>
          <w:rFonts w:ascii="Cambria" w:eastAsia="Times New Roman" w:hAnsi="Cambria" w:cs="Times New Roman"/>
          <w:i/>
          <w:color w:val="1E5E9F" w:themeColor="accent3" w:themeShade="BF"/>
          <w:szCs w:val="22"/>
          <w:lang w:val="lv-LV"/>
        </w:rPr>
        <w:t>,</w:t>
      </w:r>
      <w:r w:rsidR="006662FD" w:rsidRPr="004A1ED7">
        <w:rPr>
          <w:rFonts w:ascii="Cambria" w:eastAsia="Times New Roman" w:hAnsi="Cambria" w:cs="Times New Roman"/>
          <w:i/>
          <w:color w:val="1E5E9F" w:themeColor="accent3" w:themeShade="BF"/>
          <w:szCs w:val="22"/>
          <w:lang w:val="lv-LV"/>
        </w:rPr>
        <w:t xml:space="preserve"> plus viņiem ir jāgaida drausmīgi garās rindās gan uz izmeklēšanu, gan ārstēšanu. Kamēr gaida rindās, tikmēr nomirst.</w:t>
      </w:r>
      <w:r w:rsidRPr="004A1ED7">
        <w:rPr>
          <w:rFonts w:ascii="Cambria" w:eastAsia="Times New Roman" w:hAnsi="Cambria" w:cs="Times New Roman"/>
          <w:i/>
          <w:color w:val="1E5E9F" w:themeColor="accent3" w:themeShade="BF"/>
          <w:szCs w:val="22"/>
          <w:lang w:val="lv-LV"/>
        </w:rPr>
        <w:t>”</w:t>
      </w:r>
    </w:p>
    <w:p w14:paraId="165DCF8A" w14:textId="730DF52B" w:rsidR="006662FD" w:rsidRPr="004A1ED7" w:rsidRDefault="004E427C" w:rsidP="004E427C">
      <w:pPr>
        <w:ind w:left="720"/>
        <w:rPr>
          <w:rFonts w:ascii="Cambria" w:eastAsia="Times New Roman" w:hAnsi="Cambria" w:cs="Times New Roman"/>
          <w:i/>
          <w:color w:val="1E5E9F" w:themeColor="accent3" w:themeShade="BF"/>
          <w:szCs w:val="22"/>
          <w:lang w:val="lv-LV"/>
        </w:rPr>
      </w:pPr>
      <w:r w:rsidRPr="004A1ED7">
        <w:rPr>
          <w:rFonts w:ascii="Cambria" w:eastAsia="Times New Roman" w:hAnsi="Cambria" w:cs="Times New Roman"/>
          <w:i/>
          <w:color w:val="1E5E9F" w:themeColor="accent3" w:themeShade="BF"/>
          <w:szCs w:val="22"/>
          <w:lang w:val="lv-LV"/>
        </w:rPr>
        <w:t>“M</w:t>
      </w:r>
      <w:r w:rsidR="006662FD" w:rsidRPr="004A1ED7">
        <w:rPr>
          <w:rFonts w:ascii="Cambria" w:eastAsia="Times New Roman" w:hAnsi="Cambria" w:cs="Times New Roman"/>
          <w:i/>
          <w:color w:val="1E5E9F" w:themeColor="accent3" w:themeShade="BF"/>
          <w:szCs w:val="22"/>
          <w:lang w:val="lv-LV"/>
        </w:rPr>
        <w:t>edicīnas nepie</w:t>
      </w:r>
      <w:r w:rsidRPr="004A1ED7">
        <w:rPr>
          <w:rFonts w:ascii="Cambria" w:eastAsia="Times New Roman" w:hAnsi="Cambria" w:cs="Times New Roman"/>
          <w:i/>
          <w:color w:val="1E5E9F" w:themeColor="accent3" w:themeShade="BF"/>
          <w:szCs w:val="22"/>
          <w:lang w:val="lv-LV"/>
        </w:rPr>
        <w:t>e</w:t>
      </w:r>
      <w:r w:rsidR="006662FD" w:rsidRPr="004A1ED7">
        <w:rPr>
          <w:rFonts w:ascii="Cambria" w:eastAsia="Times New Roman" w:hAnsi="Cambria" w:cs="Times New Roman"/>
          <w:i/>
          <w:color w:val="1E5E9F" w:themeColor="accent3" w:themeShade="BF"/>
          <w:szCs w:val="22"/>
          <w:lang w:val="lv-LV"/>
        </w:rPr>
        <w:t>jamība sakarā ar augstām medicīnas pakalpojumu cenām, iedzīvotāju nabadzības līmenis neļauj savlaicīgi veikt veselības profilaktiskās pārbaudes un realizēt veselības uzturēšanas pasākumus</w:t>
      </w:r>
      <w:r w:rsidR="004A1ED7" w:rsidRPr="004A1ED7">
        <w:rPr>
          <w:rFonts w:ascii="Cambria" w:eastAsia="Times New Roman" w:hAnsi="Cambria" w:cs="Times New Roman"/>
          <w:i/>
          <w:color w:val="1E5E9F" w:themeColor="accent3" w:themeShade="BF"/>
          <w:szCs w:val="22"/>
          <w:lang w:val="lv-LV"/>
        </w:rPr>
        <w:t>.”</w:t>
      </w:r>
    </w:p>
    <w:p w14:paraId="57BE1C76" w14:textId="5FC78DD3" w:rsidR="006662FD" w:rsidRDefault="004E427C">
      <w:pPr>
        <w:rPr>
          <w:lang w:val="lv-LV"/>
        </w:rPr>
      </w:pPr>
      <w:r>
        <w:rPr>
          <w:lang w:val="lv-LV"/>
        </w:rPr>
        <w:t xml:space="preserve">Tieši iedzīvotāju nabadzība un zemie ienākumi liedz savlaicīgi vērsties pēc palīdzības, veikt izmeklējumus un īstenot agrīnas intervences veselības stāvokļa uzlabošanai. Kā </w:t>
      </w:r>
      <w:r w:rsidR="004A1ED7">
        <w:rPr>
          <w:lang w:val="lv-LV"/>
        </w:rPr>
        <w:t>uzskata viedokļu līderi, visapterošas, efektīvas slimību profilakses trūkums</w:t>
      </w:r>
      <w:r>
        <w:rPr>
          <w:lang w:val="lv-LV"/>
        </w:rPr>
        <w:t xml:space="preserve"> </w:t>
      </w:r>
      <w:r w:rsidR="004A1ED7">
        <w:rPr>
          <w:lang w:val="lv-LV"/>
        </w:rPr>
        <w:t>uzskatāms par trešo būtiskāko iemeslu tam, kādēļ NAP2020 mērķi veselības jomā netiek sasniegti. Eksperti norāda, ka efektīva slimību profilakse un veselības veicināšana neaprobežojas tikai ar sabiedrības veselības kampaņu īstenošanu, bet paredz uz pierādījumiem balstītu pasākumu īstenošanu veselību ietemējošo riska faktoru ietekmes mazināšanai, mazinot alkohola un tabakas lietošanu sabiedrībā, kā arī atbalstot fiziskās aktivitātes un veselīgus uztura paradumus prioritāri tajās iedzīvotāju grupās, kuras visvairāk pakļautas mazkustīga dzīvesveida un neveselīga uztura radītajiem riskiem. Tāpat būtiska loma slimību profi</w:t>
      </w:r>
      <w:r w:rsidR="001B6EA5">
        <w:rPr>
          <w:lang w:val="lv-LV"/>
        </w:rPr>
        <w:t>l</w:t>
      </w:r>
      <w:r w:rsidR="004A1ED7">
        <w:rPr>
          <w:lang w:val="lv-LV"/>
        </w:rPr>
        <w:t>a</w:t>
      </w:r>
      <w:r w:rsidR="001B6EA5">
        <w:rPr>
          <w:lang w:val="lv-LV"/>
        </w:rPr>
        <w:t>k</w:t>
      </w:r>
      <w:r w:rsidR="004A1ED7">
        <w:rPr>
          <w:lang w:val="lv-LV"/>
        </w:rPr>
        <w:t xml:space="preserve">sē ir ģimenes ārstu prakses komandai, ne tikai ģimenes ārstam, taču </w:t>
      </w:r>
      <w:r w:rsidR="003F5BC9">
        <w:rPr>
          <w:lang w:val="lv-LV"/>
        </w:rPr>
        <w:t>rīc</w:t>
      </w:r>
      <w:r w:rsidR="001B6EA5">
        <w:rPr>
          <w:lang w:val="lv-LV"/>
        </w:rPr>
        <w:t>ībpolitika, lai profilakses akti</w:t>
      </w:r>
      <w:r w:rsidR="003F5BC9">
        <w:rPr>
          <w:lang w:val="lv-LV"/>
        </w:rPr>
        <w:t>vitātēs plašāk iesaistītu māsas, kā tas ir, piemēram, Igaunijā un Skandināvijas valstīs, šobrīd Latvijā netiek īstenota:</w:t>
      </w:r>
    </w:p>
    <w:p w14:paraId="26A194AD" w14:textId="252AD1ED" w:rsidR="003F5BC9" w:rsidRPr="003F5BC9" w:rsidRDefault="003F5BC9" w:rsidP="003F5BC9">
      <w:pPr>
        <w:ind w:left="720"/>
        <w:rPr>
          <w:i/>
          <w:color w:val="1E5E9F" w:themeColor="accent3" w:themeShade="BF"/>
          <w:lang w:val="lv-LV"/>
        </w:rPr>
      </w:pPr>
      <w:r>
        <w:rPr>
          <w:i/>
          <w:color w:val="1E5E9F" w:themeColor="accent3" w:themeShade="BF"/>
          <w:lang w:val="lv-LV"/>
        </w:rPr>
        <w:t>“</w:t>
      </w:r>
      <w:r w:rsidRPr="003F5BC9">
        <w:rPr>
          <w:i/>
          <w:color w:val="1E5E9F" w:themeColor="accent3" w:themeShade="BF"/>
          <w:lang w:val="lv-LV"/>
        </w:rPr>
        <w:t>Primarā veselības aprūpe ir vāja. Netiek izmantotss māsu potenciāls pacientu izglītošanā, ārstiem nav laika vai nav motivācijas ar to nodarboties. Skolās maz fizkultūras nodarbību.</w:t>
      </w:r>
      <w:r>
        <w:rPr>
          <w:i/>
          <w:color w:val="1E5E9F" w:themeColor="accent3" w:themeShade="BF"/>
          <w:lang w:val="lv-LV"/>
        </w:rPr>
        <w:t>”</w:t>
      </w:r>
    </w:p>
    <w:p w14:paraId="4ACBE4B9" w14:textId="09968C01" w:rsidR="003F5BC9" w:rsidRDefault="003F5BC9">
      <w:pPr>
        <w:rPr>
          <w:lang w:val="lv-LV"/>
        </w:rPr>
      </w:pPr>
      <w:r>
        <w:rPr>
          <w:lang w:val="lv-LV"/>
        </w:rPr>
        <w:t xml:space="preserve">Tāpat atsevišķos komentāros viedokļu līderi norādījuši uz problēmām saistībā ar veselības aprūpes kvalitāti, kas, viņuprāt, ietekmē mērķu veselības jomā īstenošanu. </w:t>
      </w:r>
    </w:p>
    <w:p w14:paraId="686405D9" w14:textId="77777777" w:rsidR="00027B9E" w:rsidRDefault="003F5BC9">
      <w:pPr>
        <w:rPr>
          <w:lang w:val="lv-LV"/>
        </w:rPr>
      </w:pPr>
      <w:r>
        <w:rPr>
          <w:lang w:val="lv-LV"/>
        </w:rPr>
        <w:t>Viedokļu līderi aicina politikas veidotājus uzmanību koncentrēt noteiktu iedzīvotāju grupu vajadzībām saistībā ar veselības aprūpi, prioritāri gādājot par veselības aprūpes pakalpojumu pieejamību saprātīgā termiņā g</w:t>
      </w:r>
      <w:r w:rsidR="00630E9C">
        <w:rPr>
          <w:lang w:val="lv-LV"/>
        </w:rPr>
        <w:t>rūtniecēm un bērniem, kā arī pacientiem ar tādām saslimšanām, kas var izraisīt ilgstošu darbspēju zaudējumu un invaliditāti. Ņemot vērā arī secinājumus, kas balstīti uz indikatoru rādītāju analīzi, tuvākajā laikā</w:t>
      </w:r>
      <w:r w:rsidR="00027B9E">
        <w:rPr>
          <w:lang w:val="lv-LV"/>
        </w:rPr>
        <w:t>:</w:t>
      </w:r>
    </w:p>
    <w:p w14:paraId="0B55A685" w14:textId="1DAC40C2" w:rsidR="00027B9E" w:rsidRPr="00027B9E" w:rsidRDefault="005324F2" w:rsidP="00027B9E">
      <w:pPr>
        <w:pStyle w:val="ListParagraph"/>
        <w:numPr>
          <w:ilvl w:val="0"/>
          <w:numId w:val="27"/>
        </w:numPr>
        <w:rPr>
          <w:lang w:val="lv-LV"/>
        </w:rPr>
      </w:pPr>
      <w:r>
        <w:rPr>
          <w:lang w:val="lv-LV"/>
        </w:rPr>
        <w:t xml:space="preserve">atkārtoti </w:t>
      </w:r>
      <w:r w:rsidR="00630E9C" w:rsidRPr="00027B9E">
        <w:rPr>
          <w:lang w:val="lv-LV"/>
        </w:rPr>
        <w:t>analizējams un</w:t>
      </w:r>
      <w:r>
        <w:rPr>
          <w:lang w:val="lv-LV"/>
        </w:rPr>
        <w:t>,</w:t>
      </w:r>
      <w:r w:rsidR="00630E9C" w:rsidRPr="00027B9E">
        <w:rPr>
          <w:lang w:val="lv-LV"/>
        </w:rPr>
        <w:t xml:space="preserve"> iespējams</w:t>
      </w:r>
      <w:r>
        <w:rPr>
          <w:lang w:val="lv-LV"/>
        </w:rPr>
        <w:t>,</w:t>
      </w:r>
      <w:r w:rsidR="00630E9C" w:rsidRPr="00027B9E">
        <w:rPr>
          <w:lang w:val="lv-LV"/>
        </w:rPr>
        <w:t xml:space="preserve"> pārskatāms onkoloģisko pacientu diagnostikas un ārstniecības ceļš, </w:t>
      </w:r>
    </w:p>
    <w:p w14:paraId="6A902011" w14:textId="0B4A1C45" w:rsidR="00027B9E" w:rsidRDefault="005324F2" w:rsidP="00027B9E">
      <w:pPr>
        <w:pStyle w:val="ListParagraph"/>
        <w:numPr>
          <w:ilvl w:val="0"/>
          <w:numId w:val="27"/>
        </w:numPr>
        <w:rPr>
          <w:lang w:val="lv-LV"/>
        </w:rPr>
      </w:pPr>
      <w:r>
        <w:rPr>
          <w:lang w:val="lv-LV"/>
        </w:rPr>
        <w:t>jāanalizē</w:t>
      </w:r>
      <w:r w:rsidR="00630E9C" w:rsidRPr="00027B9E">
        <w:rPr>
          <w:lang w:val="lv-LV"/>
        </w:rPr>
        <w:t xml:space="preserve"> psihiskās veselības jomas pacientu ārstniec</w:t>
      </w:r>
      <w:r w:rsidR="00027B9E" w:rsidRPr="00027B9E">
        <w:rPr>
          <w:lang w:val="lv-LV"/>
        </w:rPr>
        <w:t>ības proces</w:t>
      </w:r>
      <w:r>
        <w:rPr>
          <w:lang w:val="lv-LV"/>
        </w:rPr>
        <w:t>a efektivitāte, tai skaitā kontekstā ar deinstitucionalizācijas pasākumu īstenošanu</w:t>
      </w:r>
      <w:r w:rsidR="00027B9E" w:rsidRPr="00027B9E">
        <w:rPr>
          <w:lang w:val="lv-LV"/>
        </w:rPr>
        <w:t xml:space="preserve">, </w:t>
      </w:r>
    </w:p>
    <w:p w14:paraId="6F85C160" w14:textId="62849D56" w:rsidR="003F5BC9" w:rsidRDefault="00027B9E" w:rsidP="00027B9E">
      <w:pPr>
        <w:pStyle w:val="ListParagraph"/>
        <w:numPr>
          <w:ilvl w:val="0"/>
          <w:numId w:val="27"/>
        </w:numPr>
        <w:rPr>
          <w:lang w:val="lv-LV"/>
        </w:rPr>
      </w:pPr>
      <w:r w:rsidRPr="00027B9E">
        <w:rPr>
          <w:lang w:val="lv-LV"/>
        </w:rPr>
        <w:t>aktualizējams jautājums par</w:t>
      </w:r>
      <w:r w:rsidR="00630E9C" w:rsidRPr="00027B9E">
        <w:rPr>
          <w:lang w:val="lv-LV"/>
        </w:rPr>
        <w:t xml:space="preserve"> muskuļu un skeleta sistēmas slimību </w:t>
      </w:r>
      <w:r>
        <w:rPr>
          <w:lang w:val="lv-LV"/>
        </w:rPr>
        <w:t xml:space="preserve">ārstniecības procesu un </w:t>
      </w:r>
      <w:r w:rsidRPr="00027B9E">
        <w:rPr>
          <w:lang w:val="lv-LV"/>
        </w:rPr>
        <w:t>pakalpojumu pieejamību, īpaši</w:t>
      </w:r>
      <w:r w:rsidR="00630E9C" w:rsidRPr="00027B9E">
        <w:rPr>
          <w:lang w:val="lv-LV"/>
        </w:rPr>
        <w:t xml:space="preserve"> pirmspensijas vecuma </w:t>
      </w:r>
      <w:r w:rsidRPr="00027B9E">
        <w:rPr>
          <w:lang w:val="lv-LV"/>
        </w:rPr>
        <w:t>iedzīvotājiem</w:t>
      </w:r>
      <w:r>
        <w:rPr>
          <w:lang w:val="lv-LV"/>
        </w:rPr>
        <w:t>, ņemot vērā</w:t>
      </w:r>
      <w:r w:rsidR="00630E9C" w:rsidRPr="00027B9E">
        <w:rPr>
          <w:lang w:val="lv-LV"/>
        </w:rPr>
        <w:t xml:space="preserve"> šīs s</w:t>
      </w:r>
      <w:r>
        <w:rPr>
          <w:lang w:val="lv-LV"/>
        </w:rPr>
        <w:t>limību grupas saslimšanu ietekmi</w:t>
      </w:r>
      <w:r w:rsidR="00630E9C" w:rsidRPr="00027B9E">
        <w:rPr>
          <w:lang w:val="lv-LV"/>
        </w:rPr>
        <w:t xml:space="preserve"> uz darbspējām un priekšlaicīgu vai ilgstošu darbspēju zaudējumu.</w:t>
      </w:r>
      <w:r w:rsidR="003F5BC9" w:rsidRPr="00027B9E">
        <w:rPr>
          <w:lang w:val="lv-LV"/>
        </w:rPr>
        <w:t xml:space="preserve"> </w:t>
      </w:r>
      <w:r>
        <w:rPr>
          <w:lang w:val="lv-LV"/>
        </w:rPr>
        <w:t xml:space="preserve"> Veselības jomas datu analīze uzrāda, ka muskuļu un skeleta sistēmas slimības </w:t>
      </w:r>
      <w:r w:rsidR="001B6EA5">
        <w:rPr>
          <w:lang w:val="lv-LV"/>
        </w:rPr>
        <w:t>ir izplatītākā</w:t>
      </w:r>
      <w:r>
        <w:rPr>
          <w:lang w:val="lv-LV"/>
        </w:rPr>
        <w:t xml:space="preserve"> invaliditāti izraisošā slimību grupa Latvijā un Eiropā</w:t>
      </w:r>
      <w:r w:rsidR="001B6EA5">
        <w:rPr>
          <w:lang w:val="lv-LV"/>
        </w:rPr>
        <w:t>,</w:t>
      </w:r>
      <w:r>
        <w:rPr>
          <w:lang w:val="lv-LV"/>
        </w:rPr>
        <w:t xml:space="preserve"> un šīm slimībām vai to izraisītai invaliditātei pakļauts katrs sestais iedzīvotājs darbspējas vecumā. </w:t>
      </w:r>
    </w:p>
    <w:p w14:paraId="33207F87" w14:textId="77777777" w:rsidR="009073AC" w:rsidRPr="00027B9E" w:rsidRDefault="009073AC" w:rsidP="009073AC">
      <w:pPr>
        <w:pStyle w:val="ListParagraph"/>
        <w:rPr>
          <w:lang w:val="lv-LV"/>
        </w:rPr>
      </w:pPr>
    </w:p>
    <w:p w14:paraId="19AA5D59" w14:textId="7BA340C1" w:rsidR="00DB3CB3" w:rsidRPr="00595533" w:rsidRDefault="00654F5A" w:rsidP="00C66E1E">
      <w:pPr>
        <w:pStyle w:val="Heading2"/>
        <w:rPr>
          <w:lang w:val="lv-LV"/>
        </w:rPr>
      </w:pPr>
      <w:bookmarkStart w:id="57" w:name="_Toc498690637"/>
      <w:bookmarkStart w:id="58" w:name="_Toc499025319"/>
      <w:r>
        <w:rPr>
          <w:lang w:val="lv-LV"/>
        </w:rPr>
        <w:t xml:space="preserve">3.9. </w:t>
      </w:r>
      <w:r w:rsidR="00DB3CB3" w:rsidRPr="00595533">
        <w:rPr>
          <w:lang w:val="lv-LV"/>
        </w:rPr>
        <w:t>Cilvēku sadarbība, kultūra un pilsoniskā līdzdalība kā piederības Latvijai pamats</w:t>
      </w:r>
      <w:bookmarkEnd w:id="57"/>
      <w:bookmarkEnd w:id="58"/>
    </w:p>
    <w:p w14:paraId="220419A2" w14:textId="07FC9729" w:rsidR="00DB3CB3" w:rsidRPr="00595533" w:rsidRDefault="00E747F1">
      <w:pPr>
        <w:rPr>
          <w:lang w:val="lv-LV"/>
        </w:rPr>
      </w:pPr>
      <w:r w:rsidRPr="00595533">
        <w:rPr>
          <w:lang w:val="lv-LV"/>
        </w:rPr>
        <w:t xml:space="preserve">Rīcības virziens </w:t>
      </w:r>
      <w:r w:rsidRPr="00595533">
        <w:rPr>
          <w:i/>
          <w:lang w:val="lv-LV"/>
        </w:rPr>
        <w:t xml:space="preserve">Cilvēku sadarbība, kultūra un pilsoniskā līdzdalība kā piederības Latvijai pamats </w:t>
      </w:r>
      <w:r w:rsidRPr="00595533">
        <w:rPr>
          <w:lang w:val="lv-LV"/>
        </w:rPr>
        <w:t xml:space="preserve">vērsts uz nacionālās identitātes </w:t>
      </w:r>
      <w:r w:rsidR="00BF2B4D" w:rsidRPr="00595533">
        <w:rPr>
          <w:lang w:val="lv-LV"/>
        </w:rPr>
        <w:t xml:space="preserve">un latviešu valodas kā nācijas pamata </w:t>
      </w:r>
      <w:r w:rsidRPr="00595533">
        <w:rPr>
          <w:lang w:val="lv-LV"/>
        </w:rPr>
        <w:t>stiprināšanu</w:t>
      </w:r>
      <w:r w:rsidR="00BF2B4D" w:rsidRPr="00595533">
        <w:rPr>
          <w:lang w:val="lv-LV"/>
        </w:rPr>
        <w:t xml:space="preserve">, aptverot ne tikai Latvijā dzīvojošos, bet arī emigrējušos tautiešus, lai tādā </w:t>
      </w:r>
      <w:r w:rsidR="00BF2B4D" w:rsidRPr="00595533">
        <w:rPr>
          <w:lang w:val="lv-LV"/>
        </w:rPr>
        <w:lastRenderedPageBreak/>
        <w:t>veidā stiprinātu viņu piederību latviešiem un Latvijai. Vienlaikus rīcības virziena mērķis ir veicināt pilsonisko apziņu, līdzdalību, savstarpējo sadarbību un uzticēšanos, tādā veidā stiprinot demokrātiju valstī. Lai sasniegtu mērķus, uzdevumu līmenī paredzēts atbalsts kultūras aktivitātēm, kvalita</w:t>
      </w:r>
      <w:r w:rsidR="00C66E1E" w:rsidRPr="00595533">
        <w:rPr>
          <w:lang w:val="lv-LV"/>
        </w:rPr>
        <w:t>tīvas un demokrātiskas informatīvā</w:t>
      </w:r>
      <w:r w:rsidR="00BF2B4D" w:rsidRPr="00595533">
        <w:rPr>
          <w:lang w:val="lv-LV"/>
        </w:rPr>
        <w:t>s telpas vei</w:t>
      </w:r>
      <w:r w:rsidR="00C66E1E" w:rsidRPr="00595533">
        <w:rPr>
          <w:lang w:val="lv-LV"/>
        </w:rPr>
        <w:t>d</w:t>
      </w:r>
      <w:r w:rsidR="00BF2B4D" w:rsidRPr="00595533">
        <w:rPr>
          <w:lang w:val="lv-LV"/>
        </w:rPr>
        <w:t xml:space="preserve">ošanai, latviešu valodas apguves sistēmas attīstībai, </w:t>
      </w:r>
      <w:r w:rsidR="00EE5FA0" w:rsidRPr="00595533">
        <w:rPr>
          <w:lang w:val="lv-LV"/>
        </w:rPr>
        <w:t>izglītības un kultūras pieejamībai ārpus Latvijas dzīvojošiem, kā arī atbalsts pilsoniskās līdzdalības veicināšanai un sabiedrības integrācijai.</w:t>
      </w:r>
    </w:p>
    <w:p w14:paraId="171BFA62" w14:textId="77777777" w:rsidR="00184FFF" w:rsidRPr="00595533" w:rsidRDefault="00184FFF" w:rsidP="00184FFF">
      <w:pPr>
        <w:pStyle w:val="NoSpacing"/>
        <w:rPr>
          <w:sz w:val="10"/>
          <w:szCs w:val="10"/>
          <w:lang w:val="lv-LV"/>
        </w:rPr>
      </w:pPr>
    </w:p>
    <w:p w14:paraId="27614D6E" w14:textId="77777777" w:rsidR="00184FFF" w:rsidRPr="00595533" w:rsidRDefault="00184FFF" w:rsidP="00184FFF">
      <w:pPr>
        <w:pStyle w:val="Heading3"/>
        <w:rPr>
          <w:lang w:val="lv-LV"/>
        </w:rPr>
      </w:pPr>
      <w:bookmarkStart w:id="59" w:name="_Toc498690638"/>
      <w:r w:rsidRPr="00595533">
        <w:rPr>
          <w:lang w:val="lv-LV"/>
        </w:rPr>
        <w:t>UZDEVUMU ĪSTENOŠANAS PROGRESS</w:t>
      </w:r>
      <w:bookmarkEnd w:id="59"/>
    </w:p>
    <w:p w14:paraId="27B20656" w14:textId="44D1E099" w:rsidR="005704F0" w:rsidRPr="00426C2F" w:rsidRDefault="005704F0" w:rsidP="005704F0">
      <w:pPr>
        <w:rPr>
          <w:lang w:val="lv-LV"/>
        </w:rPr>
      </w:pPr>
      <w:r>
        <w:rPr>
          <w:lang w:val="lv-LV"/>
        </w:rPr>
        <w:t>Atbalstot nacionālās identitātes veidošanu</w:t>
      </w:r>
      <w:r w:rsidR="00ED7E2D">
        <w:rPr>
          <w:lang w:val="lv-LV"/>
        </w:rPr>
        <w:t xml:space="preserve"> un</w:t>
      </w:r>
      <w:r>
        <w:rPr>
          <w:lang w:val="lv-LV"/>
        </w:rPr>
        <w:t xml:space="preserve"> kultūras jaunradīto vērtību iedzīvināšanu</w:t>
      </w:r>
      <w:r w:rsidR="00ED7E2D">
        <w:rPr>
          <w:lang w:val="lv-LV"/>
        </w:rPr>
        <w:t>,</w:t>
      </w:r>
      <w:r>
        <w:rPr>
          <w:lang w:val="lv-LV"/>
        </w:rPr>
        <w:t xml:space="preserve"> n</w:t>
      </w:r>
      <w:r w:rsidRPr="00426C2F">
        <w:rPr>
          <w:lang w:val="lv-LV"/>
        </w:rPr>
        <w:t>o 2017.</w:t>
      </w:r>
      <w:r w:rsidR="00ED7E2D">
        <w:rPr>
          <w:lang w:val="lv-LV"/>
        </w:rPr>
        <w:t> </w:t>
      </w:r>
      <w:r w:rsidRPr="00426C2F">
        <w:rPr>
          <w:lang w:val="lv-LV"/>
        </w:rPr>
        <w:t xml:space="preserve">gada tiek īstenoti pasākumi Latvijas </w:t>
      </w:r>
      <w:r w:rsidRPr="00CE320D">
        <w:rPr>
          <w:b/>
          <w:lang w:val="lv-LV"/>
        </w:rPr>
        <w:t>valsts simtgades svinībām</w:t>
      </w:r>
      <w:r w:rsidRPr="00426C2F">
        <w:rPr>
          <w:lang w:val="lv-LV"/>
        </w:rPr>
        <w:t xml:space="preserve">, lai padziļinātu iedzīvotāju izpratni par Latvijas valstiskuma būtību, tā tapšanas vēsturi un priekšnoteikumiem, notikumiem un personībām, kas veidojušas Latvijas valsti, kā arī </w:t>
      </w:r>
      <w:r w:rsidR="00ED7E2D">
        <w:rPr>
          <w:lang w:val="lv-LV"/>
        </w:rPr>
        <w:t xml:space="preserve">lai </w:t>
      </w:r>
      <w:r w:rsidRPr="00426C2F">
        <w:rPr>
          <w:lang w:val="lv-LV"/>
        </w:rPr>
        <w:t>apzināt</w:t>
      </w:r>
      <w:r w:rsidR="00ED7E2D">
        <w:rPr>
          <w:lang w:val="lv-LV"/>
        </w:rPr>
        <w:t>o</w:t>
      </w:r>
      <w:r w:rsidRPr="00426C2F">
        <w:rPr>
          <w:lang w:val="lv-LV"/>
        </w:rPr>
        <w:t>s savu lomu un atbildību Latvijas mantojuma saglabāšanā un nākotnes Latvijas veidošanā. Plānoto pasāku</w:t>
      </w:r>
      <w:r>
        <w:rPr>
          <w:lang w:val="lv-LV"/>
        </w:rPr>
        <w:t>mu kopums noslēgsies 2021.</w:t>
      </w:r>
      <w:r w:rsidR="00ED7E2D">
        <w:rPr>
          <w:lang w:val="lv-LV"/>
        </w:rPr>
        <w:t> </w:t>
      </w:r>
      <w:r>
        <w:rPr>
          <w:lang w:val="lv-LV"/>
        </w:rPr>
        <w:t>gadā.</w:t>
      </w:r>
    </w:p>
    <w:p w14:paraId="73A9DCFE" w14:textId="68C922D0" w:rsidR="005704F0" w:rsidRPr="00426C2F" w:rsidRDefault="005704F0" w:rsidP="005704F0">
      <w:pPr>
        <w:rPr>
          <w:lang w:val="lv-LV"/>
        </w:rPr>
      </w:pPr>
      <w:r w:rsidRPr="00426C2F">
        <w:rPr>
          <w:lang w:val="lv-LV"/>
        </w:rPr>
        <w:t xml:space="preserve">Lai nodrošinātu labvēlīgu vidi kultūras matojuma saglabāšanai un attīstībai, kā arī jaunu vērtību radīšanai, tiek sniegts atbalsts </w:t>
      </w:r>
      <w:r w:rsidRPr="00CE320D">
        <w:rPr>
          <w:b/>
          <w:lang w:val="lv-LV"/>
        </w:rPr>
        <w:t>tautas māksla</w:t>
      </w:r>
      <w:r w:rsidR="00ED7E2D">
        <w:rPr>
          <w:b/>
          <w:lang w:val="lv-LV"/>
        </w:rPr>
        <w:t>s un tradicionālo kultūras pasā</w:t>
      </w:r>
      <w:r w:rsidRPr="00CE320D">
        <w:rPr>
          <w:b/>
          <w:lang w:val="lv-LV"/>
        </w:rPr>
        <w:t>kumu organizācijai</w:t>
      </w:r>
      <w:r w:rsidRPr="00426C2F">
        <w:rPr>
          <w:lang w:val="lv-LV"/>
        </w:rPr>
        <w:t>, tādā veidā arī nodrošinot Dziesmu un deju svētku procesa nepārtrauktību. 2015.</w:t>
      </w:r>
      <w:r w:rsidR="00ED7E2D">
        <w:rPr>
          <w:lang w:val="lv-LV"/>
        </w:rPr>
        <w:t> </w:t>
      </w:r>
      <w:r w:rsidRPr="00426C2F">
        <w:rPr>
          <w:lang w:val="lv-LV"/>
        </w:rPr>
        <w:t>gadā Rīgā notika XI Latvijas skolu jaunatnes dziesmu un deju svētki, kuros piedalījās 37</w:t>
      </w:r>
      <w:r w:rsidR="00ED7E2D">
        <w:rPr>
          <w:lang w:val="lv-LV"/>
        </w:rPr>
        <w:t> </w:t>
      </w:r>
      <w:r w:rsidRPr="00426C2F">
        <w:rPr>
          <w:lang w:val="lv-LV"/>
        </w:rPr>
        <w:t>890 dalībnieki, tai skaitā 287 dalībnieki no latviešu diasporas 11 mākslinieciskajiem k</w:t>
      </w:r>
      <w:r>
        <w:rPr>
          <w:lang w:val="lv-LV"/>
        </w:rPr>
        <w:t xml:space="preserve">olektīviem no deviņām valstīm. </w:t>
      </w:r>
    </w:p>
    <w:p w14:paraId="568FEE9D" w14:textId="26F18C2B" w:rsidR="005704F0" w:rsidRDefault="005704F0" w:rsidP="005704F0">
      <w:pPr>
        <w:rPr>
          <w:lang w:val="lv-LV"/>
        </w:rPr>
      </w:pPr>
      <w:r w:rsidRPr="00426C2F">
        <w:rPr>
          <w:lang w:val="lv-LV"/>
        </w:rPr>
        <w:t xml:space="preserve">Ar mērķi saglabāt </w:t>
      </w:r>
      <w:r w:rsidRPr="00CE320D">
        <w:rPr>
          <w:b/>
          <w:lang w:val="lv-LV"/>
        </w:rPr>
        <w:t>nemateriālo kultūras mantojumu</w:t>
      </w:r>
      <w:r w:rsidRPr="00426C2F">
        <w:rPr>
          <w:lang w:val="lv-LV"/>
        </w:rPr>
        <w:t xml:space="preserve"> un </w:t>
      </w:r>
      <w:r>
        <w:rPr>
          <w:lang w:val="lv-LV"/>
        </w:rPr>
        <w:t>nodo</w:t>
      </w:r>
      <w:r w:rsidRPr="00426C2F">
        <w:rPr>
          <w:lang w:val="lv-LV"/>
        </w:rPr>
        <w:t>t to nākamajām paaudzēm, Saeima 2016.</w:t>
      </w:r>
      <w:r w:rsidR="00ED7E2D">
        <w:rPr>
          <w:lang w:val="lv-LV"/>
        </w:rPr>
        <w:t> </w:t>
      </w:r>
      <w:r w:rsidRPr="00426C2F">
        <w:rPr>
          <w:lang w:val="lv-LV"/>
        </w:rPr>
        <w:t>gadā pieņēma Nemateriālā kultūras mantojuma likumu. Likuma galvenie uzdevumi ir nostiprināt sabiedrības, kā arī valsts un pašvaldību iestāžu atbildību nemateriālā kultūras mantojuma saglabāšanā, sekmēt valsts, pašvaldību, nevalstiskā sektora un kopienu sadarbību, kā arī nodrošināt nemateriālā kultūras mantojuma elementu iekļaušanu UNESCO mantojuma sarakstos.</w:t>
      </w:r>
      <w:r>
        <w:rPr>
          <w:lang w:val="lv-LV"/>
        </w:rPr>
        <w:t xml:space="preserve"> </w:t>
      </w:r>
      <w:r w:rsidRPr="00426C2F">
        <w:rPr>
          <w:lang w:val="lv-LV"/>
        </w:rPr>
        <w:t xml:space="preserve">Latvijas Nacionālajā arhīvā un Latvijas Nacionālajā bibliotēkā (LNB) turpinās </w:t>
      </w:r>
      <w:r w:rsidRPr="00CE320D">
        <w:rPr>
          <w:b/>
          <w:lang w:val="lv-LV"/>
        </w:rPr>
        <w:t>krājuma vienību restaurācija</w:t>
      </w:r>
      <w:r>
        <w:rPr>
          <w:lang w:val="lv-LV"/>
        </w:rPr>
        <w:t>.</w:t>
      </w:r>
      <w:r w:rsidRPr="00426C2F">
        <w:rPr>
          <w:lang w:val="lv-LV"/>
        </w:rPr>
        <w:t xml:space="preserve"> Šīs aktivitātes ietvaros tiek nodrošināta LNB jauno produktu un pakalpojumu pieejamība visā Latvijas bibliotēku tīklā, notiek valsts vienotās bibliotēku informācijas sistēmas (VVBIS) attīstība. </w:t>
      </w:r>
    </w:p>
    <w:p w14:paraId="2A7114A2" w14:textId="5704AB10" w:rsidR="005704F0" w:rsidRPr="00BA73E9" w:rsidRDefault="005704F0" w:rsidP="005704F0">
      <w:pPr>
        <w:rPr>
          <w:lang w:val="lv-LV"/>
        </w:rPr>
      </w:pPr>
      <w:r w:rsidRPr="003A09E8">
        <w:rPr>
          <w:lang w:val="lv-LV"/>
        </w:rPr>
        <w:t>P</w:t>
      </w:r>
      <w:r w:rsidR="00E9453B">
        <w:rPr>
          <w:lang w:val="lv-LV"/>
        </w:rPr>
        <w:t>akāpeniski tiek uzlabota p</w:t>
      </w:r>
      <w:r w:rsidRPr="003A09E8">
        <w:rPr>
          <w:lang w:val="lv-LV"/>
        </w:rPr>
        <w:t xml:space="preserve">ubliskās pārvaldes komunikācija, </w:t>
      </w:r>
      <w:r w:rsidR="00E9453B">
        <w:rPr>
          <w:lang w:val="lv-LV"/>
        </w:rPr>
        <w:t>vienlaikus</w:t>
      </w:r>
      <w:r w:rsidRPr="003A09E8">
        <w:rPr>
          <w:lang w:val="lv-LV"/>
        </w:rPr>
        <w:t xml:space="preserve"> stiprin</w:t>
      </w:r>
      <w:r w:rsidR="00E9453B">
        <w:rPr>
          <w:lang w:val="lv-LV"/>
        </w:rPr>
        <w:t>ot</w:t>
      </w:r>
      <w:r w:rsidRPr="003A09E8">
        <w:rPr>
          <w:lang w:val="lv-LV"/>
        </w:rPr>
        <w:t xml:space="preserve"> </w:t>
      </w:r>
      <w:r w:rsidRPr="003A09E8">
        <w:rPr>
          <w:b/>
          <w:lang w:val="lv-LV"/>
        </w:rPr>
        <w:t>pilsonisk</w:t>
      </w:r>
      <w:r w:rsidR="00E9453B">
        <w:rPr>
          <w:b/>
          <w:lang w:val="lv-LV"/>
        </w:rPr>
        <w:t>o</w:t>
      </w:r>
      <w:r w:rsidRPr="003A09E8">
        <w:rPr>
          <w:b/>
          <w:lang w:val="lv-LV"/>
        </w:rPr>
        <w:t xml:space="preserve"> līdzdalību</w:t>
      </w:r>
      <w:r w:rsidRPr="003A09E8">
        <w:rPr>
          <w:lang w:val="lv-LV"/>
        </w:rPr>
        <w:t xml:space="preserve"> </w:t>
      </w:r>
      <w:r w:rsidR="00E9453B">
        <w:rPr>
          <w:lang w:val="lv-LV"/>
        </w:rPr>
        <w:t xml:space="preserve">jeb </w:t>
      </w:r>
      <w:r w:rsidRPr="003A09E8">
        <w:rPr>
          <w:lang w:val="lv-LV"/>
        </w:rPr>
        <w:t>iespēju</w:t>
      </w:r>
      <w:r>
        <w:rPr>
          <w:lang w:val="lv-LV"/>
        </w:rPr>
        <w:t xml:space="preserve"> līdzdarboties demokrātiskos procesos. Vides aizsardzības un reģionālās attīstības ministrija ir ieguldījusi ievērojamus ES fond</w:t>
      </w:r>
      <w:r w:rsidR="00E9453B">
        <w:rPr>
          <w:lang w:val="lv-LV"/>
        </w:rPr>
        <w:t>u</w:t>
      </w:r>
      <w:r>
        <w:rPr>
          <w:lang w:val="lv-LV"/>
        </w:rPr>
        <w:t xml:space="preserve"> un valsts budžeta līdzekļus, lai nodrošinātu sabiedrības līdzdalību un komunikāciju vides pārvaldībā</w:t>
      </w:r>
      <w:r w:rsidR="00E9453B">
        <w:rPr>
          <w:lang w:val="lv-LV"/>
        </w:rPr>
        <w:t xml:space="preserve"> un</w:t>
      </w:r>
      <w:r>
        <w:rPr>
          <w:lang w:val="lv-LV"/>
        </w:rPr>
        <w:t xml:space="preserve"> bioloģiskās daudzveidības nodrošināšanā.  </w:t>
      </w:r>
      <w:r w:rsidRPr="00A947E3">
        <w:rPr>
          <w:rFonts w:cs="Times New Roman"/>
          <w:lang w:val="lv-LV"/>
        </w:rPr>
        <w:t>Valsts pārvaldes komunikācijas koordinācijas pilnveidošana</w:t>
      </w:r>
      <w:r>
        <w:rPr>
          <w:rFonts w:cs="Times New Roman"/>
          <w:lang w:val="lv-LV"/>
        </w:rPr>
        <w:t>s ietvaros, Valsts kanceleja</w:t>
      </w:r>
      <w:r w:rsidRPr="004C5AED">
        <w:rPr>
          <w:rFonts w:cs="Times New Roman"/>
          <w:lang w:val="lv-LV"/>
        </w:rPr>
        <w:t xml:space="preserve"> izstrādā</w:t>
      </w:r>
      <w:r w:rsidR="00E9453B">
        <w:rPr>
          <w:rFonts w:cs="Times New Roman"/>
          <w:lang w:val="lv-LV"/>
        </w:rPr>
        <w:t>jusi</w:t>
      </w:r>
      <w:r w:rsidRPr="004C5AED">
        <w:rPr>
          <w:rFonts w:cs="Times New Roman"/>
          <w:lang w:val="lv-LV"/>
        </w:rPr>
        <w:t xml:space="preserve"> vienot</w:t>
      </w:r>
      <w:r>
        <w:rPr>
          <w:rFonts w:cs="Times New Roman"/>
          <w:lang w:val="lv-LV"/>
        </w:rPr>
        <w:t>u</w:t>
      </w:r>
      <w:r w:rsidRPr="004C5AED">
        <w:rPr>
          <w:rFonts w:cs="Times New Roman"/>
          <w:lang w:val="lv-LV"/>
        </w:rPr>
        <w:t xml:space="preserve"> stratēģisk</w:t>
      </w:r>
      <w:r>
        <w:rPr>
          <w:rFonts w:cs="Times New Roman"/>
          <w:lang w:val="lv-LV"/>
        </w:rPr>
        <w:t>o</w:t>
      </w:r>
      <w:r w:rsidRPr="004C5AED">
        <w:rPr>
          <w:rFonts w:cs="Times New Roman"/>
          <w:lang w:val="lv-LV"/>
        </w:rPr>
        <w:t xml:space="preserve"> komunikācijas sistēm</w:t>
      </w:r>
      <w:r>
        <w:rPr>
          <w:rFonts w:cs="Times New Roman"/>
          <w:lang w:val="lv-LV"/>
        </w:rPr>
        <w:t>u un</w:t>
      </w:r>
      <w:r>
        <w:rPr>
          <w:lang w:val="lv-LV"/>
        </w:rPr>
        <w:t xml:space="preserve"> ir īstenojusi tādus pasākumus, kā </w:t>
      </w:r>
      <w:r w:rsidRPr="00007385">
        <w:rPr>
          <w:rFonts w:cs="Times New Roman"/>
          <w:szCs w:val="18"/>
          <w:lang w:val="lv-LV"/>
        </w:rPr>
        <w:t xml:space="preserve">valstiskuma nedēļas norises novembrī, </w:t>
      </w:r>
      <w:r w:rsidR="00E9453B">
        <w:rPr>
          <w:rFonts w:cs="Times New Roman"/>
          <w:szCs w:val="18"/>
          <w:lang w:val="lv-LV"/>
        </w:rPr>
        <w:t xml:space="preserve">tai </w:t>
      </w:r>
      <w:r>
        <w:rPr>
          <w:rFonts w:cs="Times New Roman"/>
          <w:szCs w:val="18"/>
          <w:lang w:val="lv-LV"/>
        </w:rPr>
        <w:t>sk</w:t>
      </w:r>
      <w:r w:rsidR="00E9453B">
        <w:rPr>
          <w:rFonts w:cs="Times New Roman"/>
          <w:szCs w:val="18"/>
          <w:lang w:val="lv-LV"/>
        </w:rPr>
        <w:t xml:space="preserve">aitā </w:t>
      </w:r>
      <w:r w:rsidRPr="00007385">
        <w:rPr>
          <w:rFonts w:cs="Times New Roman"/>
          <w:szCs w:val="18"/>
          <w:lang w:val="lv-LV"/>
        </w:rPr>
        <w:t>“Staro Rīga</w:t>
      </w:r>
      <w:r>
        <w:rPr>
          <w:rFonts w:cs="Times New Roman"/>
          <w:szCs w:val="18"/>
          <w:lang w:val="lv-LV"/>
        </w:rPr>
        <w:t>”</w:t>
      </w:r>
      <w:r w:rsidRPr="00007385">
        <w:rPr>
          <w:rFonts w:cs="Times New Roman"/>
          <w:szCs w:val="18"/>
          <w:lang w:val="lv-LV"/>
        </w:rPr>
        <w:t xml:space="preserve"> ar video stāstu par Latvijas vēsturi, vērtībām, personībām. Tāpat iedzīvotāju līdzdalība tiek sekmēta, piedaloties sarunu festivālā “LAMPA”, īstenojot kampaņu “Mazāks slogs” un iev</w:t>
      </w:r>
      <w:r>
        <w:rPr>
          <w:rFonts w:cs="Times New Roman"/>
          <w:szCs w:val="18"/>
          <w:lang w:val="lv-LV"/>
        </w:rPr>
        <w:t xml:space="preserve">iešot mobilo lietotni “Futbols”, kā arī </w:t>
      </w:r>
      <w:r w:rsidRPr="000E3D00">
        <w:rPr>
          <w:rFonts w:cs="Times New Roman"/>
          <w:szCs w:val="18"/>
          <w:lang w:val="lv-LV"/>
        </w:rPr>
        <w:t>strādā</w:t>
      </w:r>
      <w:r w:rsidR="000E3D00" w:rsidRPr="000E3D00">
        <w:rPr>
          <w:rFonts w:cs="Times New Roman"/>
          <w:szCs w:val="18"/>
          <w:lang w:val="lv-LV"/>
        </w:rPr>
        <w:t>jot</w:t>
      </w:r>
      <w:r w:rsidRPr="000E3D00">
        <w:rPr>
          <w:rFonts w:cs="Times New Roman"/>
          <w:szCs w:val="18"/>
          <w:lang w:val="lv-LV"/>
        </w:rPr>
        <w:t xml:space="preserve"> ar korupcijas mazināšanas pasākumiem, kas ietekmē iedzīvotāju uztveri par uzticēšanos valstij.</w:t>
      </w:r>
      <w:r>
        <w:rPr>
          <w:rFonts w:cs="Times New Roman"/>
          <w:szCs w:val="18"/>
          <w:lang w:val="lv-LV"/>
        </w:rPr>
        <w:t xml:space="preserve"> </w:t>
      </w:r>
    </w:p>
    <w:p w14:paraId="4F315840" w14:textId="2222C4E0" w:rsidR="005704F0" w:rsidRDefault="005704F0" w:rsidP="005704F0">
      <w:pPr>
        <w:rPr>
          <w:lang w:val="lv-LV"/>
        </w:rPr>
      </w:pPr>
      <w:r>
        <w:rPr>
          <w:lang w:val="lv-LV"/>
        </w:rPr>
        <w:t xml:space="preserve">Lai veidotu tādu </w:t>
      </w:r>
      <w:r w:rsidRPr="008864B3">
        <w:rPr>
          <w:b/>
          <w:lang w:val="lv-LV"/>
        </w:rPr>
        <w:t>mediju vidi</w:t>
      </w:r>
      <w:r>
        <w:rPr>
          <w:lang w:val="lv-LV"/>
        </w:rPr>
        <w:t>, kas nodrošina informāciju par valsti un sabiedrisko dzīvi visiem Latvijas valsts piederīgajiem, trīs ga</w:t>
      </w:r>
      <w:r w:rsidR="000E3D00">
        <w:rPr>
          <w:lang w:val="lv-LV"/>
        </w:rPr>
        <w:t>du periodā veiktas aptuveni 17 mlj euro</w:t>
      </w:r>
      <w:r>
        <w:rPr>
          <w:lang w:val="lv-LV"/>
        </w:rPr>
        <w:t xml:space="preserve"> investīcijas kvalitatīvas informācijas pieejamības nodrošināšanai dažādām iedzīvotāju grupām. Teritoriālu pieejamību uzlabo </w:t>
      </w:r>
      <w:r w:rsidRPr="008864B3">
        <w:rPr>
          <w:lang w:val="lv-LV"/>
        </w:rPr>
        <w:t>LR1, LR3 un LR4</w:t>
      </w:r>
      <w:r>
        <w:rPr>
          <w:lang w:val="lv-LV"/>
        </w:rPr>
        <w:t xml:space="preserve"> pārklājuma palielinājums, </w:t>
      </w:r>
      <w:r w:rsidRPr="008864B3">
        <w:rPr>
          <w:lang w:val="lv-LV"/>
        </w:rPr>
        <w:t>Latgales multimediju studijas darbības nodrošināšana</w:t>
      </w:r>
      <w:r>
        <w:rPr>
          <w:lang w:val="lv-LV"/>
        </w:rPr>
        <w:t xml:space="preserve">, konkursi </w:t>
      </w:r>
      <w:r w:rsidRPr="008864B3">
        <w:rPr>
          <w:lang w:val="lv-LV"/>
        </w:rPr>
        <w:t>komerciālajiem medijiem raidījumu krievu valodā veidošanai Latgalē</w:t>
      </w:r>
      <w:r>
        <w:rPr>
          <w:lang w:val="lv-LV"/>
        </w:rPr>
        <w:t xml:space="preserve">, atbalsts </w:t>
      </w:r>
      <w:r w:rsidRPr="008864B3">
        <w:rPr>
          <w:lang w:val="lv-LV"/>
        </w:rPr>
        <w:t>Novadu ziņu veidošan</w:t>
      </w:r>
      <w:r>
        <w:rPr>
          <w:lang w:val="lv-LV"/>
        </w:rPr>
        <w:t xml:space="preserve">ai, </w:t>
      </w:r>
      <w:r w:rsidRPr="008864B3">
        <w:rPr>
          <w:lang w:val="lv-LV"/>
        </w:rPr>
        <w:t>2014.</w:t>
      </w:r>
      <w:r w:rsidR="000E3D00">
        <w:rPr>
          <w:lang w:val="lv-LV"/>
        </w:rPr>
        <w:t> </w:t>
      </w:r>
      <w:r w:rsidRPr="008864B3">
        <w:rPr>
          <w:lang w:val="lv-LV"/>
        </w:rPr>
        <w:t>gadā uzsākt</w:t>
      </w:r>
      <w:r>
        <w:rPr>
          <w:lang w:val="lv-LV"/>
        </w:rPr>
        <w:t>ā</w:t>
      </w:r>
      <w:r w:rsidRPr="008864B3">
        <w:rPr>
          <w:lang w:val="lv-LV"/>
        </w:rPr>
        <w:t xml:space="preserve"> papildu ziņu un aktuālo informācijas raidījuma apjoma krievu valodā turpināšana</w:t>
      </w:r>
      <w:r>
        <w:rPr>
          <w:lang w:val="lv-LV"/>
        </w:rPr>
        <w:t xml:space="preserve">. Bērnu un jauniešu </w:t>
      </w:r>
      <w:r w:rsidRPr="008864B3">
        <w:rPr>
          <w:lang w:val="lv-LV"/>
        </w:rPr>
        <w:t>auditorij</w:t>
      </w:r>
      <w:r>
        <w:rPr>
          <w:lang w:val="lv-LV"/>
        </w:rPr>
        <w:t>ām nodrošināti</w:t>
      </w:r>
      <w:r w:rsidRPr="008864B3">
        <w:rPr>
          <w:lang w:val="lv-LV"/>
        </w:rPr>
        <w:t xml:space="preserve"> atb</w:t>
      </w:r>
      <w:r>
        <w:rPr>
          <w:lang w:val="lv-LV"/>
        </w:rPr>
        <w:t>i</w:t>
      </w:r>
      <w:r w:rsidRPr="008864B3">
        <w:rPr>
          <w:lang w:val="lv-LV"/>
        </w:rPr>
        <w:t>lstoš</w:t>
      </w:r>
      <w:r>
        <w:rPr>
          <w:lang w:val="lv-LV"/>
        </w:rPr>
        <w:t>i</w:t>
      </w:r>
      <w:r w:rsidRPr="008864B3">
        <w:rPr>
          <w:lang w:val="lv-LV"/>
        </w:rPr>
        <w:t xml:space="preserve"> informācijas, </w:t>
      </w:r>
      <w:r w:rsidRPr="008864B3">
        <w:rPr>
          <w:lang w:val="lv-LV"/>
        </w:rPr>
        <w:lastRenderedPageBreak/>
        <w:t>izglītības, kultūras un izklaides resurs</w:t>
      </w:r>
      <w:r>
        <w:rPr>
          <w:lang w:val="lv-LV"/>
        </w:rPr>
        <w:t>i, LR</w:t>
      </w:r>
      <w:r w:rsidRPr="008864B3">
        <w:rPr>
          <w:lang w:val="lv-LV"/>
        </w:rPr>
        <w:t>5 darbība</w:t>
      </w:r>
      <w:r>
        <w:rPr>
          <w:lang w:val="lv-LV"/>
        </w:rPr>
        <w:t xml:space="preserve">. </w:t>
      </w:r>
      <w:r w:rsidR="000E3D00">
        <w:rPr>
          <w:lang w:val="lv-LV"/>
        </w:rPr>
        <w:t>Tāpat p</w:t>
      </w:r>
      <w:r>
        <w:rPr>
          <w:lang w:val="lv-LV"/>
        </w:rPr>
        <w:t>alielināta a</w:t>
      </w:r>
      <w:r w:rsidRPr="008864B3">
        <w:rPr>
          <w:lang w:val="lv-LV"/>
        </w:rPr>
        <w:t>tsevišķ</w:t>
      </w:r>
      <w:r>
        <w:rPr>
          <w:lang w:val="lv-LV"/>
        </w:rPr>
        <w:t>u</w:t>
      </w:r>
      <w:r w:rsidRPr="008864B3">
        <w:rPr>
          <w:lang w:val="lv-LV"/>
        </w:rPr>
        <w:t xml:space="preserve"> raidījumu pieejamīb</w:t>
      </w:r>
      <w:r>
        <w:rPr>
          <w:lang w:val="lv-LV"/>
        </w:rPr>
        <w:t>a</w:t>
      </w:r>
      <w:r w:rsidRPr="008864B3">
        <w:rPr>
          <w:lang w:val="lv-LV"/>
        </w:rPr>
        <w:t xml:space="preserve"> cilvēkiem ar redzes un dzirdes traucējumiem</w:t>
      </w:r>
      <w:r>
        <w:rPr>
          <w:lang w:val="lv-LV"/>
        </w:rPr>
        <w:t>.</w:t>
      </w:r>
      <w:r w:rsidRPr="00FE1F5C">
        <w:rPr>
          <w:lang w:val="lv-LV"/>
        </w:rPr>
        <w:t xml:space="preserve"> </w:t>
      </w:r>
      <w:r>
        <w:rPr>
          <w:lang w:val="lv-LV"/>
        </w:rPr>
        <w:t>M</w:t>
      </w:r>
      <w:r w:rsidRPr="008864B3">
        <w:rPr>
          <w:lang w:val="lv-LV"/>
        </w:rPr>
        <w:t>ediju atbalsta fond</w:t>
      </w:r>
      <w:r>
        <w:rPr>
          <w:lang w:val="lv-LV"/>
        </w:rPr>
        <w:t xml:space="preserve">s nodrošina pieejamību </w:t>
      </w:r>
      <w:r w:rsidRPr="00623487">
        <w:rPr>
          <w:lang w:val="lv-LV"/>
        </w:rPr>
        <w:t>sabiedriski nozīmīga satura r</w:t>
      </w:r>
      <w:r>
        <w:rPr>
          <w:lang w:val="lv-LV"/>
        </w:rPr>
        <w:t>aidījumiem privāt</w:t>
      </w:r>
      <w:r w:rsidRPr="00623487">
        <w:rPr>
          <w:lang w:val="lv-LV"/>
        </w:rPr>
        <w:t>o medij</w:t>
      </w:r>
      <w:r>
        <w:rPr>
          <w:lang w:val="lv-LV"/>
        </w:rPr>
        <w:t xml:space="preserve">u patērētājiem. </w:t>
      </w:r>
    </w:p>
    <w:p w14:paraId="33138171" w14:textId="73CAC5BE" w:rsidR="005704F0" w:rsidRPr="00D779D3" w:rsidRDefault="005704F0" w:rsidP="005704F0">
      <w:pPr>
        <w:rPr>
          <w:lang w:val="lv-LV"/>
        </w:rPr>
      </w:pPr>
      <w:r w:rsidRPr="005C760B">
        <w:rPr>
          <w:lang w:val="lv-LV"/>
        </w:rPr>
        <w:t xml:space="preserve">Ar mērķi radīt </w:t>
      </w:r>
      <w:r w:rsidRPr="005C760B">
        <w:rPr>
          <w:b/>
          <w:lang w:val="lv-LV"/>
        </w:rPr>
        <w:t>mediju darbībai</w:t>
      </w:r>
      <w:r w:rsidRPr="005C760B">
        <w:rPr>
          <w:lang w:val="lv-LV"/>
        </w:rPr>
        <w:t xml:space="preserve"> labvēlīgus apstākļus, nodrošinot un attīstot mediju daudzveidību, pilnveidojot mediju nozares profesionāļu izglītību, paaugstinot mediju vides kvalitāti un atbildīgumu, sekmējot mediju pratības attīstību un veicinot indivīdam un sabiedrībai drošu mediju vidi, valdībā tika apstipri</w:t>
      </w:r>
      <w:r>
        <w:rPr>
          <w:lang w:val="lv-LV"/>
        </w:rPr>
        <w:t>nāts mediju politikas dokuments</w:t>
      </w:r>
      <w:r w:rsidRPr="005C760B">
        <w:rPr>
          <w:lang w:val="lv-LV"/>
        </w:rPr>
        <w:t>. Lai esošais tiesiskais regulējums atbilstu aktuālajai situācijai un mediju vajadzībām, norisinās aktīvs darbs pie jauna mediju vides tiesiskā regulējuma izstrādes.</w:t>
      </w:r>
    </w:p>
    <w:p w14:paraId="0E599F00" w14:textId="68A3F7F2" w:rsidR="005704F0" w:rsidRPr="00B815EA" w:rsidRDefault="005704F0" w:rsidP="005704F0">
      <w:pPr>
        <w:rPr>
          <w:rFonts w:ascii="source_sans_proregular" w:hAnsi="source_sans_proregular" w:hint="eastAsia"/>
          <w:color w:val="2F373A"/>
          <w:sz w:val="23"/>
          <w:szCs w:val="23"/>
          <w:shd w:val="clear" w:color="auto" w:fill="FFFFFF"/>
          <w:lang w:val="lv-LV"/>
        </w:rPr>
      </w:pPr>
      <w:r>
        <w:rPr>
          <w:lang w:val="lv-LV"/>
        </w:rPr>
        <w:t xml:space="preserve">Lai radītu apstākļus </w:t>
      </w:r>
      <w:r w:rsidRPr="00D756DB">
        <w:rPr>
          <w:lang w:val="lv-LV"/>
        </w:rPr>
        <w:t>savstarpējai sadarbībai un sapratnei starp dažādām iedzīvotāju grupām,</w:t>
      </w:r>
      <w:r>
        <w:rPr>
          <w:lang w:val="lv-LV"/>
        </w:rPr>
        <w:t xml:space="preserve"> </w:t>
      </w:r>
      <w:r w:rsidR="00793242">
        <w:rPr>
          <w:lang w:val="lv-LV"/>
        </w:rPr>
        <w:t xml:space="preserve">tiek </w:t>
      </w:r>
      <w:r w:rsidRPr="00D756DB">
        <w:rPr>
          <w:lang w:val="lv-LV"/>
        </w:rPr>
        <w:t xml:space="preserve">stiprināts </w:t>
      </w:r>
      <w:r w:rsidRPr="00D756DB">
        <w:rPr>
          <w:b/>
          <w:lang w:val="lv-LV"/>
        </w:rPr>
        <w:t>pilsoniskās sabiedrības atbalsts</w:t>
      </w:r>
      <w:r>
        <w:rPr>
          <w:lang w:val="lv-LV"/>
        </w:rPr>
        <w:t>.</w:t>
      </w:r>
      <w:r w:rsidR="00793242">
        <w:rPr>
          <w:lang w:val="lv-LV"/>
        </w:rPr>
        <w:t xml:space="preserve"> </w:t>
      </w:r>
      <w:r w:rsidR="00294B5E">
        <w:rPr>
          <w:lang w:val="lv-LV"/>
        </w:rPr>
        <w:t>ZM</w:t>
      </w:r>
      <w:r>
        <w:rPr>
          <w:lang w:val="lv-LV"/>
        </w:rPr>
        <w:t xml:space="preserve"> ar ievērojamu ES finansējumu atbalsta </w:t>
      </w:r>
      <w:r w:rsidRPr="00376AA5">
        <w:rPr>
          <w:lang w:val="lv-LV"/>
        </w:rPr>
        <w:t>Vietēj</w:t>
      </w:r>
      <w:r>
        <w:rPr>
          <w:lang w:val="lv-LV"/>
        </w:rPr>
        <w:t>ās</w:t>
      </w:r>
      <w:r w:rsidRPr="00376AA5">
        <w:rPr>
          <w:lang w:val="lv-LV"/>
        </w:rPr>
        <w:t xml:space="preserve"> rīcību grupu </w:t>
      </w:r>
      <w:r>
        <w:rPr>
          <w:lang w:val="lv-LV"/>
        </w:rPr>
        <w:t>aktivitātes, kas</w:t>
      </w:r>
      <w:r w:rsidRPr="00D756DB">
        <w:rPr>
          <w:lang w:val="lv-LV"/>
        </w:rPr>
        <w:t xml:space="preserve"> sekmē sabiedrības virzītas vietējās attīstības stratēģijas.</w:t>
      </w:r>
      <w:r w:rsidRPr="005E3009">
        <w:rPr>
          <w:lang w:val="lv-LV"/>
        </w:rPr>
        <w:t xml:space="preserve"> 2014.</w:t>
      </w:r>
      <w:r w:rsidR="00793242">
        <w:rPr>
          <w:lang w:val="lv-LV"/>
        </w:rPr>
        <w:t> </w:t>
      </w:r>
      <w:r w:rsidRPr="005E3009">
        <w:rPr>
          <w:lang w:val="lv-LV"/>
        </w:rPr>
        <w:t>gadā uzsākta NVO reģionu atbalsta programma</w:t>
      </w:r>
      <w:r>
        <w:rPr>
          <w:lang w:val="lv-LV"/>
        </w:rPr>
        <w:t xml:space="preserve"> caur NVO reģionu centriem</w:t>
      </w:r>
      <w:r w:rsidRPr="005E3009">
        <w:rPr>
          <w:lang w:val="lv-LV"/>
        </w:rPr>
        <w:t xml:space="preserve"> pilsoniskās sabiedrības aktivitātēm, mazākumtautību organizāciju atbalstam un starpkultūru dialoga veicināšanai.</w:t>
      </w:r>
      <w:r>
        <w:rPr>
          <w:lang w:val="lv-LV"/>
        </w:rPr>
        <w:t xml:space="preserve"> </w:t>
      </w:r>
      <w:r w:rsidRPr="005E3009">
        <w:rPr>
          <w:lang w:val="lv-LV"/>
        </w:rPr>
        <w:t>2016.</w:t>
      </w:r>
      <w:r w:rsidR="00793242">
        <w:rPr>
          <w:lang w:val="lv-LV"/>
        </w:rPr>
        <w:t> </w:t>
      </w:r>
      <w:r w:rsidRPr="005E3009">
        <w:rPr>
          <w:lang w:val="lv-LV"/>
        </w:rPr>
        <w:t>gadā darbu uzsāka Val</w:t>
      </w:r>
      <w:r>
        <w:rPr>
          <w:lang w:val="lv-LV"/>
        </w:rPr>
        <w:t>sts budžeta programma NVO fonds</w:t>
      </w:r>
      <w:r w:rsidRPr="005E3009">
        <w:rPr>
          <w:lang w:val="lv-LV"/>
        </w:rPr>
        <w:t>, kura mērķis ir veicināt pilsoniskās sabiedrības ilgtspējīgu attīstību</w:t>
      </w:r>
      <w:r>
        <w:rPr>
          <w:lang w:val="lv-LV"/>
        </w:rPr>
        <w:t xml:space="preserve">. </w:t>
      </w:r>
      <w:r w:rsidRPr="005E3009">
        <w:rPr>
          <w:lang w:val="lv-LV"/>
        </w:rPr>
        <w:t>Tiek nodrošināts atbalsts uz mazākumtautībām vērs</w:t>
      </w:r>
      <w:r w:rsidR="00793242">
        <w:rPr>
          <w:lang w:val="lv-LV"/>
        </w:rPr>
        <w:t>tiem projektiem un aktivitātēm, p</w:t>
      </w:r>
      <w:r w:rsidRPr="005E3009">
        <w:rPr>
          <w:lang w:val="lv-LV"/>
        </w:rPr>
        <w:t xml:space="preserve">iemēram, sniegts atbalsts Latvijas Nacionālo kultūras biedrību asociācijas darbībai, mazākumtautību pārstāvju kā Latvijas kultūrtelpas vēstnieku sagatavošanai un mazākumtautību radošajām nometnēm, </w:t>
      </w:r>
      <w:r w:rsidR="00793242">
        <w:rPr>
          <w:lang w:val="lv-LV"/>
        </w:rPr>
        <w:t xml:space="preserve">tiek īstenots </w:t>
      </w:r>
      <w:r w:rsidRPr="005E3009">
        <w:rPr>
          <w:lang w:val="lv-LV"/>
        </w:rPr>
        <w:t>projekts sadarbībā ar mazākumtautību skolām „Eiropas pēdas Latvijā”.</w:t>
      </w:r>
      <w:r>
        <w:rPr>
          <w:lang w:val="lv-LV"/>
        </w:rPr>
        <w:t xml:space="preserve"> Sabiedrības integrācijas fonds uz projekta bāzes (bez pastāvīga finansējuma) nodrošinājis pasākumus diskriminācijas mazināšanai, </w:t>
      </w:r>
      <w:r w:rsidR="00793242">
        <w:rPr>
          <w:lang w:val="lv-LV"/>
        </w:rPr>
        <w:t>tai skaitā</w:t>
      </w:r>
      <w:r>
        <w:rPr>
          <w:lang w:val="lv-LV"/>
        </w:rPr>
        <w:t xml:space="preserve"> dzimumu līdztiesības jomā, trešo valsts piederīgo un bēgļu integrācijas jautājumos, kā arī dažādības vadībā</w:t>
      </w:r>
      <w:r w:rsidRPr="00AC0B1F">
        <w:rPr>
          <w:lang w:val="lv-LV"/>
        </w:rPr>
        <w:t xml:space="preserve"> un starpkultūru komunikācij</w:t>
      </w:r>
      <w:r>
        <w:rPr>
          <w:lang w:val="lv-LV"/>
        </w:rPr>
        <w:t>ā “</w:t>
      </w:r>
      <w:r w:rsidRPr="00AC0B1F">
        <w:rPr>
          <w:lang w:val="lv-LV"/>
        </w:rPr>
        <w:t xml:space="preserve">Dažādi cilvēki. Atšķirīga pieredze. Viena Latvija II". </w:t>
      </w:r>
    </w:p>
    <w:p w14:paraId="1F357966" w14:textId="70C64064" w:rsidR="005704F0" w:rsidRPr="00DC1F2A" w:rsidRDefault="005704F0" w:rsidP="005704F0">
      <w:pPr>
        <w:rPr>
          <w:lang w:val="lv-LV"/>
        </w:rPr>
      </w:pPr>
      <w:r w:rsidRPr="00870E2A">
        <w:rPr>
          <w:b/>
          <w:lang w:val="lv-LV"/>
        </w:rPr>
        <w:t>Sabiedrības integrācijas iespējas</w:t>
      </w:r>
      <w:r w:rsidRPr="00870E2A">
        <w:rPr>
          <w:lang w:val="lv-LV"/>
        </w:rPr>
        <w:t xml:space="preserve"> valsts piedāvā arī ārzemniekiem, trešo valstu pilsoņiem, kuri uztur</w:t>
      </w:r>
      <w:r>
        <w:rPr>
          <w:lang w:val="lv-LV"/>
        </w:rPr>
        <w:t>as</w:t>
      </w:r>
      <w:r w:rsidRPr="00870E2A">
        <w:rPr>
          <w:lang w:val="lv-LV"/>
        </w:rPr>
        <w:t xml:space="preserve"> Latvijā, t</w:t>
      </w:r>
      <w:r w:rsidR="00E36A3C">
        <w:rPr>
          <w:lang w:val="lv-LV"/>
        </w:rPr>
        <w:t xml:space="preserve">ai </w:t>
      </w:r>
      <w:r w:rsidRPr="00870E2A">
        <w:rPr>
          <w:lang w:val="lv-LV"/>
        </w:rPr>
        <w:t>sk</w:t>
      </w:r>
      <w:r w:rsidR="00E36A3C">
        <w:rPr>
          <w:lang w:val="lv-LV"/>
        </w:rPr>
        <w:t>aitā</w:t>
      </w:r>
      <w:r w:rsidRPr="00870E2A">
        <w:rPr>
          <w:lang w:val="lv-LV"/>
        </w:rPr>
        <w:t xml:space="preserve"> bēgļiem. NAP2020 apstiprināšanas laikā ES dalībvalstis vēl nebija saskārušās ar pastiprinātu bēgļu pieplūdumu, taču 2015.</w:t>
      </w:r>
      <w:r w:rsidR="00E36A3C">
        <w:rPr>
          <w:lang w:val="lv-LV"/>
        </w:rPr>
        <w:t> </w:t>
      </w:r>
      <w:r w:rsidRPr="00870E2A">
        <w:rPr>
          <w:lang w:val="lv-LV"/>
        </w:rPr>
        <w:t xml:space="preserve">gadā, kad strauji pieauga ES caur </w:t>
      </w:r>
      <w:r w:rsidRPr="00DC1F2A">
        <w:rPr>
          <w:lang w:val="lv-LV"/>
        </w:rPr>
        <w:t>Vidusjūras austrumu reģionu ieceļojošo migrantu skaits, valdība apstiprināja Indikatīvo rīcības plān</w:t>
      </w:r>
      <w:r w:rsidR="00E36A3C">
        <w:rPr>
          <w:lang w:val="lv-LV"/>
        </w:rPr>
        <w:t>u</w:t>
      </w:r>
      <w:r w:rsidRPr="00DC1F2A">
        <w:rPr>
          <w:lang w:val="lv-LV"/>
        </w:rPr>
        <w:t xml:space="preserve"> personu, kurām nepieciešama starptautiskā aizsardzība, pārvietošanai un uzņemšanai Latvijā</w:t>
      </w:r>
      <w:r w:rsidRPr="00DC1F2A">
        <w:rPr>
          <w:i/>
          <w:lang w:val="lv-LV"/>
        </w:rPr>
        <w:t>.</w:t>
      </w:r>
    </w:p>
    <w:p w14:paraId="617F12F2" w14:textId="00A12D8D" w:rsidR="005704F0" w:rsidRPr="00DC1F2A" w:rsidRDefault="005704F0" w:rsidP="005704F0">
      <w:pPr>
        <w:rPr>
          <w:lang w:val="lv-LV"/>
        </w:rPr>
      </w:pPr>
      <w:r w:rsidRPr="00DC1F2A">
        <w:rPr>
          <w:lang w:val="lv-LV"/>
        </w:rPr>
        <w:t>Eiropas Savienības Patvēruma, migrācijas un integrācijas fonda (PMIF) programmu ietvaros no 2016.</w:t>
      </w:r>
      <w:r w:rsidR="00E36A3C">
        <w:rPr>
          <w:lang w:val="lv-LV"/>
        </w:rPr>
        <w:t> </w:t>
      </w:r>
      <w:r w:rsidRPr="00DC1F2A">
        <w:rPr>
          <w:lang w:val="lv-LV"/>
        </w:rPr>
        <w:t xml:space="preserve">gada maija ir nodrošināts </w:t>
      </w:r>
      <w:r w:rsidRPr="00D779D3">
        <w:rPr>
          <w:lang w:val="lv-LV"/>
        </w:rPr>
        <w:t>Informācijas centrs</w:t>
      </w:r>
      <w:r w:rsidRPr="00DC1F2A">
        <w:rPr>
          <w:b/>
          <w:lang w:val="lv-LV"/>
        </w:rPr>
        <w:t xml:space="preserve"> </w:t>
      </w:r>
      <w:r w:rsidRPr="00DC1F2A">
        <w:rPr>
          <w:lang w:val="lv-LV"/>
        </w:rPr>
        <w:t xml:space="preserve">imigrantiem Rīgā, konsultācijas tiek nodrošinātas arī reģionālajos kontaktpunktos Jelgavā, Cēsīs, Liepājā un Daugavpilī. </w:t>
      </w:r>
    </w:p>
    <w:p w14:paraId="6306C666" w14:textId="425D1905" w:rsidR="005704F0" w:rsidRPr="00DC1F2A" w:rsidRDefault="005704F0" w:rsidP="005704F0">
      <w:pPr>
        <w:spacing w:line="256" w:lineRule="auto"/>
        <w:rPr>
          <w:lang w:val="lv-LV"/>
        </w:rPr>
      </w:pPr>
      <w:r w:rsidRPr="00DC1F2A">
        <w:rPr>
          <w:lang w:val="lv-LV"/>
        </w:rPr>
        <w:t xml:space="preserve">Nodrošināta sākotnējā </w:t>
      </w:r>
      <w:r w:rsidRPr="00DC1F2A">
        <w:rPr>
          <w:b/>
          <w:lang w:val="lv-LV"/>
        </w:rPr>
        <w:t>latviešu valodas apguve</w:t>
      </w:r>
      <w:r w:rsidRPr="00DC1F2A">
        <w:rPr>
          <w:lang w:val="lv-LV"/>
        </w:rPr>
        <w:t xml:space="preserve"> patvēruma meklētājiem</w:t>
      </w:r>
      <w:r w:rsidRPr="00DC1F2A">
        <w:rPr>
          <w:vertAlign w:val="superscript"/>
          <w:lang w:val="lv-LV"/>
        </w:rPr>
        <w:footnoteReference w:id="61"/>
      </w:r>
      <w:r w:rsidRPr="00DC1F2A">
        <w:rPr>
          <w:lang w:val="lv-LV"/>
        </w:rPr>
        <w:t xml:space="preserve"> un no 2017.gada janvāra latviešu valodas kursi trešo valstu pilsoņiem ar dažādiem latviešu valodas zināšanu līmeņiem, tomēr pieprasījums pēc latviešu valodas mācību kursiem ir lielāks nekā iespējas tos nodrošināt.</w:t>
      </w:r>
    </w:p>
    <w:p w14:paraId="15F613E5" w14:textId="0895A166" w:rsidR="005704F0" w:rsidRPr="00DC1F2A" w:rsidRDefault="005704F0" w:rsidP="005704F0">
      <w:pPr>
        <w:rPr>
          <w:lang w:val="lv-LV"/>
        </w:rPr>
      </w:pPr>
      <w:r w:rsidRPr="00DC1F2A">
        <w:rPr>
          <w:lang w:val="lv-LV"/>
        </w:rPr>
        <w:t>No 2017.</w:t>
      </w:r>
      <w:r w:rsidR="00E36A3C">
        <w:rPr>
          <w:lang w:val="lv-LV"/>
        </w:rPr>
        <w:t> </w:t>
      </w:r>
      <w:r w:rsidRPr="00DC1F2A">
        <w:rPr>
          <w:lang w:val="lv-LV"/>
        </w:rPr>
        <w:t xml:space="preserve">gada jūnija plānots uzsākt īstenot projektus/kursus, lai trešo valstu pilsoņiem palīdzētu iegūt </w:t>
      </w:r>
      <w:r w:rsidRPr="00DC1F2A">
        <w:rPr>
          <w:b/>
          <w:lang w:val="lv-LV"/>
        </w:rPr>
        <w:t>pamatzināšanas par Latviju</w:t>
      </w:r>
      <w:r w:rsidRPr="00DC1F2A">
        <w:rPr>
          <w:lang w:val="lv-LV"/>
        </w:rPr>
        <w:t>. Lai uzlabotu integrāciju izglītības iestādēs, skolām izstrādāti speciāli mācību materiāli un pedagogiem, kas strādā ar migrantiem, tiek nodrošināti kompetences</w:t>
      </w:r>
      <w:r w:rsidRPr="00DC1F2A">
        <w:rPr>
          <w:b/>
          <w:lang w:val="lv-LV"/>
        </w:rPr>
        <w:t xml:space="preserve"> </w:t>
      </w:r>
      <w:r w:rsidRPr="00DC1F2A">
        <w:rPr>
          <w:lang w:val="lv-LV"/>
        </w:rPr>
        <w:t>pilnveides pasākumi.</w:t>
      </w:r>
    </w:p>
    <w:p w14:paraId="6656BA56" w14:textId="73B23F26" w:rsidR="00E36A3C" w:rsidRDefault="005704F0" w:rsidP="005704F0">
      <w:pPr>
        <w:rPr>
          <w:b/>
          <w:lang w:val="lv-LV"/>
        </w:rPr>
      </w:pPr>
      <w:r w:rsidRPr="00DC1F2A">
        <w:rPr>
          <w:lang w:val="lv-LV"/>
        </w:rPr>
        <w:t>Lai palielinātu</w:t>
      </w:r>
      <w:r w:rsidRPr="00DC1F2A">
        <w:rPr>
          <w:b/>
          <w:lang w:val="lv-LV"/>
        </w:rPr>
        <w:t xml:space="preserve"> latviešu valodas lietojumu sabiedrībā</w:t>
      </w:r>
      <w:r>
        <w:rPr>
          <w:b/>
          <w:lang w:val="lv-LV"/>
        </w:rPr>
        <w:t xml:space="preserve">, </w:t>
      </w:r>
      <w:r w:rsidRPr="00DC1F2A">
        <w:rPr>
          <w:lang w:val="lv-LV"/>
        </w:rPr>
        <w:t>intensīvos kurs</w:t>
      </w:r>
      <w:r>
        <w:rPr>
          <w:lang w:val="lv-LV"/>
        </w:rPr>
        <w:t>o</w:t>
      </w:r>
      <w:r w:rsidRPr="00DC1F2A">
        <w:rPr>
          <w:lang w:val="lv-LV"/>
        </w:rPr>
        <w:t>s</w:t>
      </w:r>
      <w:r w:rsidRPr="00DC1F2A">
        <w:rPr>
          <w:b/>
          <w:lang w:val="lv-LV"/>
        </w:rPr>
        <w:t xml:space="preserve"> </w:t>
      </w:r>
      <w:r w:rsidRPr="00DC1F2A">
        <w:rPr>
          <w:lang w:val="lv-LV"/>
        </w:rPr>
        <w:t xml:space="preserve">mazākumtautībām un nepilsoņiem piedalījās gandrīz </w:t>
      </w:r>
      <w:r w:rsidRPr="00E36A3C">
        <w:rPr>
          <w:lang w:val="lv-LV"/>
        </w:rPr>
        <w:t>2</w:t>
      </w:r>
      <w:r w:rsidR="00E36A3C" w:rsidRPr="00E36A3C">
        <w:rPr>
          <w:lang w:val="lv-LV"/>
        </w:rPr>
        <w:t> </w:t>
      </w:r>
      <w:r w:rsidRPr="00E36A3C">
        <w:rPr>
          <w:lang w:val="lv-LV"/>
        </w:rPr>
        <w:t>400</w:t>
      </w:r>
      <w:r w:rsidRPr="00DC1F2A">
        <w:rPr>
          <w:lang w:val="lv-LV"/>
        </w:rPr>
        <w:t xml:space="preserve"> cilvēki, savukārt</w:t>
      </w:r>
      <w:r w:rsidR="002C5B2D">
        <w:rPr>
          <w:lang w:val="lv-LV"/>
        </w:rPr>
        <w:t xml:space="preserve"> kursos r</w:t>
      </w:r>
      <w:r w:rsidRPr="00DC1F2A">
        <w:rPr>
          <w:lang w:val="lv-LV"/>
        </w:rPr>
        <w:t>emigrantiem un viņu ģimenes locekļiem – 370 personas.</w:t>
      </w:r>
      <w:r w:rsidRPr="00DC1F2A">
        <w:rPr>
          <w:b/>
          <w:lang w:val="lv-LV"/>
        </w:rPr>
        <w:t xml:space="preserve"> </w:t>
      </w:r>
    </w:p>
    <w:p w14:paraId="1C65EDB1" w14:textId="28376483" w:rsidR="005704F0" w:rsidRDefault="005704F0" w:rsidP="00E36A3C">
      <w:pPr>
        <w:rPr>
          <w:b/>
          <w:lang w:val="lv-LV"/>
        </w:rPr>
      </w:pPr>
      <w:r w:rsidRPr="00D756DB">
        <w:rPr>
          <w:lang w:val="lv-LV"/>
        </w:rPr>
        <w:lastRenderedPageBreak/>
        <w:t>Ar ES fondu atbalstu tiek īstenots projekts, lai attīstītu pētniecību un inovācijas valodas automātiskā sapratnē un tekstradē, nostiprinot latviešu valodas tehnoloģisko atbalstu Eiropas daudzvalodu digitālajā vienotajā tirgū.</w:t>
      </w:r>
      <w:r>
        <w:rPr>
          <w:b/>
          <w:lang w:val="lv-LV"/>
        </w:rPr>
        <w:t xml:space="preserve"> </w:t>
      </w:r>
      <w:r w:rsidRPr="00CC73C7">
        <w:rPr>
          <w:lang w:val="lv-LV"/>
        </w:rPr>
        <w:t xml:space="preserve">Tiek izstrādāti un pilnveidoti latviešu valodas kā otrās valodas un svešvalodas mācību materiāli, tai skaitā elektroniskie </w:t>
      </w:r>
      <w:r>
        <w:rPr>
          <w:lang w:val="lv-LV"/>
        </w:rPr>
        <w:t xml:space="preserve">interaktīvi un citi </w:t>
      </w:r>
      <w:r w:rsidRPr="00CC73C7">
        <w:rPr>
          <w:lang w:val="lv-LV"/>
        </w:rPr>
        <w:t xml:space="preserve">mācību līdzekļi, kas publiski pieejami interneta vietnē – </w:t>
      </w:r>
      <w:hyperlink r:id="rId30" w:history="1">
        <w:r w:rsidRPr="006F0BAA">
          <w:rPr>
            <w:rStyle w:val="Hyperlink"/>
            <w:lang w:val="lv-LV"/>
          </w:rPr>
          <w:t>www.valoda.lv</w:t>
        </w:r>
      </w:hyperlink>
      <w:r>
        <w:rPr>
          <w:lang w:val="lv-LV"/>
        </w:rPr>
        <w:t>.</w:t>
      </w:r>
    </w:p>
    <w:p w14:paraId="0D5C6D4E" w14:textId="153E141C" w:rsidR="005704F0" w:rsidRDefault="005704F0" w:rsidP="005704F0">
      <w:pPr>
        <w:rPr>
          <w:lang w:val="lv-LV"/>
        </w:rPr>
      </w:pPr>
      <w:r>
        <w:rPr>
          <w:b/>
          <w:lang w:val="lv-LV"/>
        </w:rPr>
        <w:t>Re</w:t>
      </w:r>
      <w:r w:rsidRPr="00743320">
        <w:rPr>
          <w:b/>
          <w:lang w:val="lv-LV"/>
        </w:rPr>
        <w:t>migrācijas</w:t>
      </w:r>
      <w:r>
        <w:rPr>
          <w:rStyle w:val="FootnoteReference"/>
          <w:b/>
          <w:lang w:val="lv-LV"/>
        </w:rPr>
        <w:footnoteReference w:id="62"/>
      </w:r>
      <w:r w:rsidRPr="00743320">
        <w:rPr>
          <w:b/>
          <w:lang w:val="lv-LV"/>
        </w:rPr>
        <w:t xml:space="preserve"> veicināšanai</w:t>
      </w:r>
      <w:r w:rsidRPr="00743320">
        <w:rPr>
          <w:lang w:val="lv-LV"/>
        </w:rPr>
        <w:t xml:space="preserve"> </w:t>
      </w:r>
      <w:r w:rsidRPr="00743320">
        <w:rPr>
          <w:b/>
          <w:lang w:val="lv-LV"/>
        </w:rPr>
        <w:t>un ārzemēs dzīvojošo Latvijai piederīgo identitātes uzturēšanai</w:t>
      </w:r>
      <w:r>
        <w:rPr>
          <w:b/>
          <w:lang w:val="lv-LV"/>
        </w:rPr>
        <w:t xml:space="preserve"> </w:t>
      </w:r>
      <w:r w:rsidR="002C5B2D">
        <w:rPr>
          <w:lang w:val="lv-LV"/>
        </w:rPr>
        <w:t>nodrošināts</w:t>
      </w:r>
      <w:r>
        <w:rPr>
          <w:lang w:val="lv-LV"/>
        </w:rPr>
        <w:t xml:space="preserve"> atbalsts </w:t>
      </w:r>
      <w:r w:rsidR="002C5B2D">
        <w:rPr>
          <w:lang w:val="lv-LV"/>
        </w:rPr>
        <w:t>R</w:t>
      </w:r>
      <w:r w:rsidRPr="00F21ED4">
        <w:rPr>
          <w:lang w:val="lv-LV"/>
        </w:rPr>
        <w:t>emigrācijas atbalsta pasākumu plāna</w:t>
      </w:r>
      <w:r w:rsidR="002C5B2D">
        <w:rPr>
          <w:lang w:val="lv-LV"/>
        </w:rPr>
        <w:t>m</w:t>
      </w:r>
      <w:r w:rsidRPr="00F21ED4">
        <w:rPr>
          <w:lang w:val="lv-LV"/>
        </w:rPr>
        <w:t xml:space="preserve"> 2013.</w:t>
      </w:r>
      <w:r w:rsidR="002C5B2D">
        <w:rPr>
          <w:lang w:val="lv-LV"/>
        </w:rPr>
        <w:t> </w:t>
      </w:r>
      <w:r w:rsidRPr="00F21ED4">
        <w:rPr>
          <w:lang w:val="lv-LV"/>
        </w:rPr>
        <w:t>–</w:t>
      </w:r>
      <w:r w:rsidR="002C5B2D">
        <w:rPr>
          <w:lang w:val="lv-LV"/>
        </w:rPr>
        <w:t> </w:t>
      </w:r>
      <w:r w:rsidRPr="00F21ED4">
        <w:rPr>
          <w:lang w:val="lv-LV"/>
        </w:rPr>
        <w:t>2016.</w:t>
      </w:r>
      <w:r w:rsidR="002C5B2D">
        <w:rPr>
          <w:lang w:val="lv-LV"/>
        </w:rPr>
        <w:t> </w:t>
      </w:r>
      <w:r w:rsidRPr="00F21ED4">
        <w:rPr>
          <w:lang w:val="lv-LV"/>
        </w:rPr>
        <w:t>gadam</w:t>
      </w:r>
      <w:r>
        <w:rPr>
          <w:lang w:val="lv-LV"/>
        </w:rPr>
        <w:t>, kas bija</w:t>
      </w:r>
      <w:r w:rsidRPr="00F21ED4">
        <w:rPr>
          <w:lang w:val="lv-LV"/>
        </w:rPr>
        <w:t xml:space="preserve"> </w:t>
      </w:r>
      <w:r>
        <w:rPr>
          <w:lang w:val="lv-LV"/>
        </w:rPr>
        <w:t xml:space="preserve">vairāku ministriju pasākumu kopums, kuru koordinēja </w:t>
      </w:r>
      <w:r w:rsidR="00294B5E">
        <w:rPr>
          <w:lang w:val="lv-LV"/>
        </w:rPr>
        <w:t>EM</w:t>
      </w:r>
      <w:r>
        <w:rPr>
          <w:lang w:val="lv-LV"/>
        </w:rPr>
        <w:t xml:space="preserve"> ar nolūku radīt apstākļus tiem Latvijas valsts piederīgajiem, kuri apsver </w:t>
      </w:r>
      <w:r w:rsidR="002C5B2D">
        <w:rPr>
          <w:lang w:val="lv-LV"/>
        </w:rPr>
        <w:t xml:space="preserve">iespēju </w:t>
      </w:r>
      <w:r>
        <w:rPr>
          <w:lang w:val="lv-LV"/>
        </w:rPr>
        <w:t>atgrie</w:t>
      </w:r>
      <w:r w:rsidR="002C5B2D">
        <w:rPr>
          <w:lang w:val="lv-LV"/>
        </w:rPr>
        <w:t>zties</w:t>
      </w:r>
      <w:r>
        <w:rPr>
          <w:lang w:val="lv-LV"/>
        </w:rPr>
        <w:t xml:space="preserve"> Latvijā. </w:t>
      </w:r>
      <w:r w:rsidRPr="00737440">
        <w:rPr>
          <w:lang w:val="lv-LV"/>
        </w:rPr>
        <w:t xml:space="preserve">Remigrācijas atbalsta pasākumi, kas izriet no institūciju pastāvīgajiem uzdevumiem, tiek turpināti arī pēc </w:t>
      </w:r>
      <w:r w:rsidR="002C5B2D">
        <w:rPr>
          <w:lang w:val="lv-LV"/>
        </w:rPr>
        <w:t>attīstības plānošanas dokumenta darbības perioda beigām, bet</w:t>
      </w:r>
      <w:r>
        <w:rPr>
          <w:lang w:val="lv-LV"/>
        </w:rPr>
        <w:t xml:space="preserve"> par</w:t>
      </w:r>
      <w:r w:rsidRPr="00737440">
        <w:rPr>
          <w:lang w:val="lv-LV"/>
        </w:rPr>
        <w:t xml:space="preserve"> dokumenta pēctecību kompetenta ir KM.</w:t>
      </w:r>
    </w:p>
    <w:p w14:paraId="2DDA002F" w14:textId="22883D3A" w:rsidR="005704F0" w:rsidRPr="006E4948" w:rsidRDefault="005704F0" w:rsidP="005704F0">
      <w:pPr>
        <w:rPr>
          <w:b/>
          <w:lang w:val="lv-LV"/>
        </w:rPr>
      </w:pPr>
      <w:r>
        <w:rPr>
          <w:lang w:val="lv-LV"/>
        </w:rPr>
        <w:t>Līdztekus</w:t>
      </w:r>
      <w:r w:rsidR="002C5B2D">
        <w:rPr>
          <w:lang w:val="lv-LV"/>
        </w:rPr>
        <w:t xml:space="preserve"> </w:t>
      </w:r>
      <w:r>
        <w:rPr>
          <w:lang w:val="lv-LV"/>
        </w:rPr>
        <w:t xml:space="preserve">papildus ieguldījumi tika veikti diasporas piederības apziņas veicināšanai </w:t>
      </w:r>
      <w:r w:rsidR="002C5B2D">
        <w:rPr>
          <w:lang w:val="lv-LV"/>
        </w:rPr>
        <w:t>–</w:t>
      </w:r>
      <w:r>
        <w:rPr>
          <w:lang w:val="lv-LV"/>
        </w:rPr>
        <w:t xml:space="preserve"> </w:t>
      </w:r>
      <w:r w:rsidRPr="0090512D">
        <w:rPr>
          <w:lang w:val="lv-LV"/>
        </w:rPr>
        <w:t>diasporas organizāciju iedibinātajām vairāk</w:t>
      </w:r>
      <w:r>
        <w:rPr>
          <w:lang w:val="lv-LV"/>
        </w:rPr>
        <w:t xml:space="preserve">u </w:t>
      </w:r>
      <w:r w:rsidRPr="0090512D">
        <w:rPr>
          <w:lang w:val="lv-LV"/>
        </w:rPr>
        <w:t>paaudžu ģimeņu nometnēm/ saietiem dia</w:t>
      </w:r>
      <w:r>
        <w:rPr>
          <w:lang w:val="lv-LV"/>
        </w:rPr>
        <w:t xml:space="preserve">sporas mītnes zemēs un Latvijā, ikgadējai </w:t>
      </w:r>
      <w:r w:rsidRPr="0090512D">
        <w:rPr>
          <w:lang w:val="lv-LV"/>
        </w:rPr>
        <w:t>konference</w:t>
      </w:r>
      <w:r>
        <w:rPr>
          <w:lang w:val="lv-LV"/>
        </w:rPr>
        <w:t>i</w:t>
      </w:r>
      <w:r w:rsidRPr="0090512D">
        <w:rPr>
          <w:lang w:val="lv-LV"/>
        </w:rPr>
        <w:t xml:space="preserve"> „Latvieši pasaulē – piederīgi Latvijai”</w:t>
      </w:r>
      <w:r>
        <w:rPr>
          <w:lang w:val="lv-LV"/>
        </w:rPr>
        <w:t>, tematiskajiem forumiem, jauniešu vasaras praksēm Latvijā un latviešu valodas apguves un lietošanas veicināšana</w:t>
      </w:r>
      <w:r w:rsidR="00B37FEE">
        <w:rPr>
          <w:lang w:val="lv-LV"/>
        </w:rPr>
        <w:t>i</w:t>
      </w:r>
      <w:r>
        <w:rPr>
          <w:lang w:val="lv-LV"/>
        </w:rPr>
        <w:t xml:space="preserve">, </w:t>
      </w:r>
      <w:r w:rsidR="00B37FEE">
        <w:rPr>
          <w:lang w:val="lv-LV"/>
        </w:rPr>
        <w:t xml:space="preserve">kā arī </w:t>
      </w:r>
      <w:r>
        <w:rPr>
          <w:lang w:val="lv-LV"/>
        </w:rPr>
        <w:t>vēstniecību sadarbībai ar Latviju paplašināšana</w:t>
      </w:r>
      <w:r w:rsidR="00B37FEE">
        <w:rPr>
          <w:lang w:val="lv-LV"/>
        </w:rPr>
        <w:t>i</w:t>
      </w:r>
      <w:r>
        <w:rPr>
          <w:lang w:val="lv-LV"/>
        </w:rPr>
        <w:t>.</w:t>
      </w:r>
      <w:r w:rsidRPr="00E54945">
        <w:rPr>
          <w:lang w:val="lv-LV"/>
        </w:rPr>
        <w:t xml:space="preserve"> </w:t>
      </w:r>
      <w:r>
        <w:rPr>
          <w:lang w:val="lv-LV"/>
        </w:rPr>
        <w:t>Latviešu valodas a</w:t>
      </w:r>
      <w:r w:rsidRPr="00E54945">
        <w:rPr>
          <w:lang w:val="lv-LV"/>
        </w:rPr>
        <w:t>ģentūrai ir noteikts budžets diasporas atbalstam jeb t.s. diasporas grozs</w:t>
      </w:r>
      <w:r>
        <w:rPr>
          <w:lang w:val="lv-LV"/>
        </w:rPr>
        <w:t>.</w:t>
      </w:r>
      <w:r w:rsidRPr="0090512D">
        <w:rPr>
          <w:lang w:val="lv-LV"/>
        </w:rPr>
        <w:t xml:space="preserve"> </w:t>
      </w:r>
      <w:r w:rsidR="00294B5E">
        <w:rPr>
          <w:lang w:val="lv-LV"/>
        </w:rPr>
        <w:t>ĀM</w:t>
      </w:r>
      <w:r>
        <w:rPr>
          <w:lang w:val="lv-LV"/>
        </w:rPr>
        <w:t xml:space="preserve"> </w:t>
      </w:r>
      <w:r w:rsidR="00B37FEE">
        <w:rPr>
          <w:lang w:val="lv-LV"/>
        </w:rPr>
        <w:t xml:space="preserve">savukārt </w:t>
      </w:r>
      <w:r>
        <w:rPr>
          <w:lang w:val="lv-LV"/>
        </w:rPr>
        <w:t xml:space="preserve">veic virkni pasākumu no saviem budžeta līdzekļiem, kas sniedz artavu diasporas darbam, ar </w:t>
      </w:r>
      <w:r w:rsidRPr="00B85DB1">
        <w:rPr>
          <w:lang w:val="lv-LV"/>
        </w:rPr>
        <w:t xml:space="preserve">pārstāvniecību </w:t>
      </w:r>
      <w:r w:rsidRPr="00B85DB1">
        <w:rPr>
          <w:lang w:val="lv-LV" w:eastAsia="lv-LV"/>
        </w:rPr>
        <w:t>atbalstu tiek realizēti diaspor</w:t>
      </w:r>
      <w:r w:rsidR="00B37FEE">
        <w:rPr>
          <w:lang w:val="lv-LV" w:eastAsia="lv-LV"/>
        </w:rPr>
        <w:t>as organizāciju projekti (2016. </w:t>
      </w:r>
      <w:r w:rsidRPr="00B85DB1">
        <w:rPr>
          <w:lang w:val="lv-LV" w:eastAsia="lv-LV"/>
        </w:rPr>
        <w:t>gadā – 97 projekti)</w:t>
      </w:r>
      <w:r>
        <w:rPr>
          <w:lang w:val="lv-LV" w:eastAsia="lv-LV"/>
        </w:rPr>
        <w:t xml:space="preserve"> un no bāzes budžeta līdzekļiem </w:t>
      </w:r>
      <w:r w:rsidRPr="006E4948">
        <w:rPr>
          <w:lang w:val="lv-LV" w:eastAsia="lv-LV"/>
        </w:rPr>
        <w:t>Ārlietu ministrija</w:t>
      </w:r>
      <w:r>
        <w:rPr>
          <w:lang w:val="lv-LV" w:eastAsia="lv-LV"/>
        </w:rPr>
        <w:t xml:space="preserve"> </w:t>
      </w:r>
      <w:r w:rsidRPr="006E4948">
        <w:rPr>
          <w:lang w:val="lv-LV" w:eastAsia="lv-LV"/>
        </w:rPr>
        <w:t>atbalstījusi un nodrošinājusi LU Diasporas un migrācijas pētījumu centra izveidi un darbību, kā rezultātā tapuši vairāki pētījumi par aktuālām diasporas tēmām, tai skaitā pētījums par remigrāciju (</w:t>
      </w:r>
      <w:hyperlink r:id="rId31" w:history="1">
        <w:r w:rsidRPr="006E4948">
          <w:rPr>
            <w:rStyle w:val="Hyperlink"/>
            <w:lang w:val="lv-LV" w:eastAsia="lv-LV"/>
          </w:rPr>
          <w:t>www.diaspora.lu.lv/petijumi</w:t>
        </w:r>
      </w:hyperlink>
      <w:r w:rsidRPr="006E4948">
        <w:rPr>
          <w:rStyle w:val="Hyperlink"/>
          <w:lang w:val="lv-LV" w:eastAsia="lv-LV"/>
        </w:rPr>
        <w:t>).</w:t>
      </w:r>
      <w:r>
        <w:rPr>
          <w:rStyle w:val="Hyperlink"/>
          <w:lang w:val="lv-LV" w:eastAsia="lv-LV"/>
        </w:rPr>
        <w:t xml:space="preserve"> </w:t>
      </w:r>
      <w:r w:rsidRPr="00077A6F">
        <w:rPr>
          <w:lang w:val="lv-LV"/>
        </w:rPr>
        <w:t xml:space="preserve">Pamatojoties uz Latvijas Universitātes Diasporas un migrācijas pētījumu centra analītisko pārskatu “Vienojošas nacionālās identitātes un kultūrtelpas nostiprināšana”, </w:t>
      </w:r>
      <w:r w:rsidR="00294B5E">
        <w:rPr>
          <w:lang w:val="lv-LV"/>
        </w:rPr>
        <w:t>KM</w:t>
      </w:r>
      <w:r w:rsidRPr="00077A6F">
        <w:rPr>
          <w:lang w:val="lv-LV"/>
        </w:rPr>
        <w:t xml:space="preserve"> vadībā tiek gatavots </w:t>
      </w:r>
      <w:r w:rsidRPr="00B629A1">
        <w:rPr>
          <w:lang w:val="lv-LV"/>
        </w:rPr>
        <w:t xml:space="preserve">Nacionālās identitātes, pilsoniskās sabiedrības un sabiedrības integrācijas politikas plāns </w:t>
      </w:r>
      <w:r w:rsidRPr="00B629A1">
        <w:rPr>
          <w:bCs/>
          <w:lang w:val="lv-LV"/>
        </w:rPr>
        <w:t>2019.</w:t>
      </w:r>
      <w:r w:rsidR="00B37FEE">
        <w:rPr>
          <w:bCs/>
          <w:lang w:val="lv-LV"/>
        </w:rPr>
        <w:t>–</w:t>
      </w:r>
      <w:r w:rsidRPr="00B629A1">
        <w:rPr>
          <w:bCs/>
          <w:lang w:val="lv-LV"/>
        </w:rPr>
        <w:t>2</w:t>
      </w:r>
      <w:r w:rsidR="00B37FEE">
        <w:rPr>
          <w:bCs/>
          <w:lang w:val="lv-LV"/>
        </w:rPr>
        <w:t>02</w:t>
      </w:r>
      <w:r w:rsidR="0094697A">
        <w:rPr>
          <w:bCs/>
          <w:lang w:val="lv-LV"/>
        </w:rPr>
        <w:t>0</w:t>
      </w:r>
      <w:r w:rsidR="00B37FEE">
        <w:rPr>
          <w:bCs/>
          <w:lang w:val="lv-LV"/>
        </w:rPr>
        <w:t>. </w:t>
      </w:r>
      <w:r w:rsidRPr="00B629A1">
        <w:rPr>
          <w:bCs/>
          <w:lang w:val="lv-LV"/>
        </w:rPr>
        <w:t>gadam</w:t>
      </w:r>
      <w:r w:rsidR="0094697A">
        <w:rPr>
          <w:rFonts w:ascii="Times New Roman" w:hAnsi="Times New Roman"/>
          <w:sz w:val="24"/>
          <w:lang w:val="lv-LV"/>
        </w:rPr>
        <w:t>, savukārt, ĀM</w:t>
      </w:r>
      <w:r w:rsidR="0094697A" w:rsidRPr="00D80B84">
        <w:rPr>
          <w:rFonts w:ascii="Times New Roman" w:hAnsi="Times New Roman"/>
          <w:sz w:val="24"/>
          <w:lang w:val="lv-LV"/>
        </w:rPr>
        <w:t xml:space="preserve"> </w:t>
      </w:r>
      <w:r w:rsidR="0094697A">
        <w:rPr>
          <w:rFonts w:ascii="Times New Roman" w:hAnsi="Times New Roman"/>
          <w:sz w:val="24"/>
          <w:lang w:val="lv-LV"/>
        </w:rPr>
        <w:t>izstrādās r</w:t>
      </w:r>
      <w:r w:rsidR="0094697A" w:rsidRPr="00D80B84">
        <w:rPr>
          <w:rFonts w:ascii="Times New Roman" w:hAnsi="Times New Roman"/>
          <w:sz w:val="24"/>
          <w:lang w:val="lv-LV"/>
        </w:rPr>
        <w:t>īcības plānu sadarbīb</w:t>
      </w:r>
      <w:r w:rsidR="0094697A">
        <w:rPr>
          <w:rFonts w:ascii="Times New Roman" w:hAnsi="Times New Roman"/>
          <w:sz w:val="24"/>
          <w:lang w:val="lv-LV"/>
        </w:rPr>
        <w:t>ai</w:t>
      </w:r>
      <w:r w:rsidR="0094697A" w:rsidRPr="00D80B84">
        <w:rPr>
          <w:rFonts w:ascii="Times New Roman" w:hAnsi="Times New Roman"/>
          <w:sz w:val="24"/>
          <w:lang w:val="lv-LV"/>
        </w:rPr>
        <w:t xml:space="preserve"> ar Latvijas diasporu 2019.–2020. gadam. </w:t>
      </w:r>
    </w:p>
    <w:p w14:paraId="45D5E1D2" w14:textId="77777777" w:rsidR="00384533" w:rsidRPr="00595533" w:rsidRDefault="00384533" w:rsidP="00384533">
      <w:pPr>
        <w:pStyle w:val="NoSpacing"/>
        <w:rPr>
          <w:sz w:val="10"/>
          <w:szCs w:val="10"/>
          <w:lang w:val="lv-LV"/>
        </w:rPr>
      </w:pPr>
    </w:p>
    <w:p w14:paraId="7BB79CF0" w14:textId="77777777" w:rsidR="00B21C7B" w:rsidRPr="00595533" w:rsidRDefault="00B21C7B" w:rsidP="00B21C7B">
      <w:pPr>
        <w:pStyle w:val="Heading3"/>
        <w:rPr>
          <w:lang w:val="lv-LV"/>
        </w:rPr>
      </w:pPr>
      <w:bookmarkStart w:id="60" w:name="_Toc498690639"/>
      <w:r w:rsidRPr="00595533">
        <w:rPr>
          <w:lang w:val="lv-LV"/>
        </w:rPr>
        <w:t>PROGRESA NOVĒRTĒJUMS</w:t>
      </w:r>
      <w:bookmarkEnd w:id="60"/>
    </w:p>
    <w:p w14:paraId="442BEA4D" w14:textId="77777777" w:rsidR="00A6152B" w:rsidRPr="00595533" w:rsidRDefault="00A6152B" w:rsidP="00A6152B">
      <w:pPr>
        <w:rPr>
          <w:lang w:val="lv-LV"/>
        </w:rPr>
      </w:pPr>
      <w:r w:rsidRPr="00A6152B">
        <w:rPr>
          <w:lang w:val="lv-LV"/>
        </w:rPr>
        <w:t xml:space="preserve">Rīcības virziena </w:t>
      </w:r>
      <w:r w:rsidRPr="00A6152B">
        <w:rPr>
          <w:i/>
          <w:lang w:val="lv-LV"/>
        </w:rPr>
        <w:t>Cilvēku sadarbība, kultūra un pilsoniskā līdzdalība kā piederības Latvijai pamats</w:t>
      </w:r>
      <w:r w:rsidRPr="00A6152B">
        <w:rPr>
          <w:lang w:val="lv-LV"/>
        </w:rPr>
        <w:t xml:space="preserve"> mērķu sasniegšanai sākotnēji tika plānots investēt kopumā 186,6 mlj euro. Uz starpposma izvērtējuma brīdi rīcības virziena uzdevumu īstenošanai ir apzinātas kopējās investīcijas 110,8 mlj euro apmērā jeb 59,4% no sākotnēji plānotā. No minētajām investīcijām absolūti lielāko daļu jeb 72,3% veido nacionālais finansējums, vienlaikus ES fondu finansējums sastāda 18,6%, bet cits ārvalstu finansējums – 9,2%.</w:t>
      </w:r>
    </w:p>
    <w:p w14:paraId="12580E48" w14:textId="403D6250" w:rsidR="00EE5FA0" w:rsidRPr="00595533" w:rsidRDefault="00F07694">
      <w:pPr>
        <w:rPr>
          <w:lang w:val="lv-LV"/>
        </w:rPr>
      </w:pPr>
      <w:r w:rsidRPr="00595533">
        <w:rPr>
          <w:lang w:val="lv-LV"/>
        </w:rPr>
        <w:t>Kā liecina pētījumu dati, iedzīvotāju pilsoniskā aktivitāte lēnām, bet pieaug. Pēdējā gada laikā ar politiķiem vai kādu amatpersonu kaut reizi ir kontaktējušies 14% iedzīvotāju, 10% ir parakstījuši petīciju, bet 8% ir pauduši savu at</w:t>
      </w:r>
      <w:r w:rsidR="00270F32" w:rsidRPr="00595533">
        <w:rPr>
          <w:lang w:val="lv-LV"/>
        </w:rPr>
        <w:t>tieksmi, boikotējot noteiktus p</w:t>
      </w:r>
      <w:r w:rsidRPr="00595533">
        <w:rPr>
          <w:lang w:val="lv-LV"/>
        </w:rPr>
        <w:t>r</w:t>
      </w:r>
      <w:r w:rsidR="00270F32" w:rsidRPr="00595533">
        <w:rPr>
          <w:lang w:val="lv-LV"/>
        </w:rPr>
        <w:t>o</w:t>
      </w:r>
      <w:r w:rsidRPr="00595533">
        <w:rPr>
          <w:lang w:val="lv-LV"/>
        </w:rPr>
        <w:t xml:space="preserve">duktus vai preces. Visbiežāk iedzīvotāji savu pilsonisko aktivitāti apliecinājuši, piedaloties vēlēšanās (52%), bet citas pilsoniskās aktivitātes formas, piemēram, dalību piketā vai demonstrācijā, dalību partijā vai citā organizācijā, kampaņas atbalstīšanu, nēsājot piespraudi vai uzlīmi, </w:t>
      </w:r>
      <w:r w:rsidR="006F2CAD" w:rsidRPr="00595533">
        <w:rPr>
          <w:lang w:val="lv-LV"/>
        </w:rPr>
        <w:t>īstenojuši</w:t>
      </w:r>
      <w:r w:rsidRPr="00595533">
        <w:rPr>
          <w:lang w:val="lv-LV"/>
        </w:rPr>
        <w:t xml:space="preserve"> ne vairāk kā 5% sabiedrības.</w:t>
      </w:r>
      <w:r w:rsidR="00270F32" w:rsidRPr="00595533">
        <w:rPr>
          <w:lang w:val="lv-LV"/>
        </w:rPr>
        <w:t xml:space="preserve"> Salīdzinājumā ar citām valstīm pilsoniskās aktivitātes rādītāji Latvijā, līdzīgi kā citās Austrum</w:t>
      </w:r>
      <w:r w:rsidR="000C5AE1">
        <w:rPr>
          <w:lang w:val="lv-LV"/>
        </w:rPr>
        <w:t>ei</w:t>
      </w:r>
      <w:r w:rsidR="00595533" w:rsidRPr="00595533">
        <w:rPr>
          <w:lang w:val="lv-LV"/>
        </w:rPr>
        <w:t>ro</w:t>
      </w:r>
      <w:r w:rsidR="00270F32" w:rsidRPr="00595533">
        <w:rPr>
          <w:lang w:val="lv-LV"/>
        </w:rPr>
        <w:t>pas valstīs, uzskatāmi par zemiem. Ja Latvijā par pilsoniski aktīviem var uzskatīt kopumā 9% iedzīvotāju, tad Rietum</w:t>
      </w:r>
      <w:r w:rsidR="000C5AE1">
        <w:rPr>
          <w:lang w:val="lv-LV"/>
        </w:rPr>
        <w:t>ei</w:t>
      </w:r>
      <w:r w:rsidR="00595533" w:rsidRPr="00595533">
        <w:rPr>
          <w:lang w:val="lv-LV"/>
        </w:rPr>
        <w:t>ro</w:t>
      </w:r>
      <w:r w:rsidR="00270F32" w:rsidRPr="00595533">
        <w:rPr>
          <w:lang w:val="lv-LV"/>
        </w:rPr>
        <w:t xml:space="preserve">pas valstīs tādi caurmērā ir aptuveni 25%, bet Skandināvijas valstīs – vismaz katrs trešais. Pilsoniskā aktivitāte Skandināvijā lielā mērā skaidrojama ar arodbiedrību aktīvo lomu sabiedriskajā dzīvē, jo aptuveni katrs trešais </w:t>
      </w:r>
      <w:r w:rsidR="00270F32" w:rsidRPr="00595533">
        <w:rPr>
          <w:lang w:val="lv-LV"/>
        </w:rPr>
        <w:lastRenderedPageBreak/>
        <w:t>iedz</w:t>
      </w:r>
      <w:r w:rsidR="006F2CAD" w:rsidRPr="00595533">
        <w:rPr>
          <w:lang w:val="lv-LV"/>
        </w:rPr>
        <w:t>īvotājs ir arodbiedrības biedrs.</w:t>
      </w:r>
      <w:r w:rsidR="00270F32" w:rsidRPr="00595533">
        <w:rPr>
          <w:lang w:val="lv-LV"/>
        </w:rPr>
        <w:t xml:space="preserve"> </w:t>
      </w:r>
      <w:r w:rsidR="006F2CAD" w:rsidRPr="00595533">
        <w:rPr>
          <w:lang w:val="lv-LV"/>
        </w:rPr>
        <w:t xml:space="preserve">Salīdzinājumam: Latvijā nevalstisko organizāciju darbībā pēdējā gada laikā iesaistījušies vien 5% iedzīvotāju, bet arodbiedrībās - </w:t>
      </w:r>
      <w:r w:rsidR="00BA73E9">
        <w:rPr>
          <w:lang w:val="lv-LV"/>
        </w:rPr>
        <w:t>8</w:t>
      </w:r>
      <w:r w:rsidR="006F2CAD" w:rsidRPr="00595533">
        <w:rPr>
          <w:lang w:val="lv-LV"/>
        </w:rPr>
        <w:t>%. Vērtējot tendences valstī, tā sabiedrības daļa, kuri piedalās nevalstiskā sektora aktivitātēs, nedaudz pieaug, tāpēc ir pamats uzskatīt, ka NAP2020 izvirzītie pilsoniskās aktivitātes mērķrādītāji varētu tikt sasniegti.</w:t>
      </w:r>
    </w:p>
    <w:p w14:paraId="6238CDE6" w14:textId="618E00B7" w:rsidR="00F07694" w:rsidRPr="00595533" w:rsidRDefault="00DC2286">
      <w:pPr>
        <w:rPr>
          <w:lang w:val="lv-LV"/>
        </w:rPr>
      </w:pPr>
      <w:r w:rsidRPr="00595533">
        <w:rPr>
          <w:lang w:val="lv-LV"/>
        </w:rPr>
        <w:t>Iedzīvotāju savstarpējā uzticēšanās ir svarīgs priekšnoteikums ne vien apmierinātībai ar dzīvi, bet arī ekonomikas izaugsmei, tirgus ekonomikas efektivitātei un valsts konkurētspējai. Pētījumos pierādīts, ka uzticēšanās būtiski palielina izredzes,</w:t>
      </w:r>
      <w:r w:rsidR="004B5A3E">
        <w:rPr>
          <w:lang w:val="lv-LV"/>
        </w:rPr>
        <w:t xml:space="preserve"> ka iedzīvotāji maksās nodokļus</w:t>
      </w:r>
      <w:r w:rsidRPr="00595533">
        <w:rPr>
          <w:lang w:val="lv-LV"/>
        </w:rPr>
        <w:t xml:space="preserve">. Vienlaikus </w:t>
      </w:r>
      <w:r w:rsidR="002B1D39" w:rsidRPr="00595533">
        <w:rPr>
          <w:lang w:val="lv-LV"/>
        </w:rPr>
        <w:t>iedzīvotāju savstarpējā uzticēšanās ir izšķiroša, lai veidotos uzticība publiskai pārvaldībai un politikai. Šo iemeslu dēļ NAP2020 paredzēts visai ambiciozs mērķis, ko ar publiskā sektora resursiem ir visai grūti ietekmēt, – sekmēt, ka līdzcilvēkiem uzticas vismaz 62% sabiedrības. Salīdzinājumam: šobrīd līdzcilvēkiem uzticas 51%, kas ir par pieciem procentpunktiem vairāk nekā 2010.gadā. Ņemot vērā līdzšinējo progresu, maz ticams, ka pēc trīs gadiem nosprausto mērķi izdosies sasniegt.</w:t>
      </w:r>
      <w:r w:rsidR="00691B4C" w:rsidRPr="00595533">
        <w:rPr>
          <w:lang w:val="lv-LV"/>
        </w:rPr>
        <w:t xml:space="preserve"> Vienlaikus gan jāatzīmē, ka uzticēšanās līdzcilvēkiem ne tik ļoti saistīta ar demokrātijas tradīcijām valstī, kā ar vērtībuzskatiem sabiedrībā.</w:t>
      </w:r>
    </w:p>
    <w:p w14:paraId="3AB648E9" w14:textId="03280F8F" w:rsidR="00486B18" w:rsidRPr="00595533" w:rsidRDefault="00922987" w:rsidP="00467A2F">
      <w:pPr>
        <w:pStyle w:val="attelunosaukums"/>
      </w:pPr>
      <w:r>
        <w:t>22</w:t>
      </w:r>
      <w:r w:rsidR="00486B18" w:rsidRPr="00595533">
        <w:t xml:space="preserve">. attēls.  </w:t>
      </w:r>
      <w:r w:rsidR="00467A2F" w:rsidRPr="00595533">
        <w:t>Iedzīvotāju uzticēšanās līdzcilvēkiem</w:t>
      </w:r>
      <w:r w:rsidR="00336A33">
        <w:t>:</w:t>
      </w:r>
      <w:r w:rsidR="00467A2F" w:rsidRPr="00595533">
        <w:t xml:space="preserve"> </w:t>
      </w:r>
      <w:r w:rsidR="000C5AE1">
        <w:t>Ei</w:t>
      </w:r>
      <w:r w:rsidR="00595533" w:rsidRPr="00595533">
        <w:t>ro</w:t>
      </w:r>
      <w:r w:rsidR="00467A2F" w:rsidRPr="00595533">
        <w:t>pas valstu salīdzinājums, %</w:t>
      </w:r>
    </w:p>
    <w:p w14:paraId="60EFC091" w14:textId="77777777" w:rsidR="00C94575" w:rsidRDefault="00C94575">
      <w:pPr>
        <w:rPr>
          <w:lang w:val="lv-LV"/>
        </w:rPr>
      </w:pPr>
      <w:r>
        <w:rPr>
          <w:noProof/>
          <w:lang w:val="lv-LV" w:eastAsia="lv-LV"/>
        </w:rPr>
        <w:drawing>
          <wp:inline distT="0" distB="0" distL="0" distR="0" wp14:anchorId="27C79EF7" wp14:editId="44C4F8B9">
            <wp:extent cx="5270500" cy="2421255"/>
            <wp:effectExtent l="0" t="0" r="63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98D776" w14:textId="68BB5B55" w:rsidR="002B1D39" w:rsidRPr="00595533" w:rsidRDefault="005C3087">
      <w:pPr>
        <w:rPr>
          <w:lang w:val="lv-LV"/>
        </w:rPr>
      </w:pPr>
      <w:r w:rsidRPr="00595533">
        <w:rPr>
          <w:lang w:val="lv-LV"/>
        </w:rPr>
        <w:t>Lai gan politisko uzticēšanos lielā mērā determinē</w:t>
      </w:r>
      <w:r w:rsidR="001D5FE8" w:rsidRPr="00595533">
        <w:rPr>
          <w:lang w:val="lv-LV"/>
        </w:rPr>
        <w:t xml:space="preserve"> </w:t>
      </w:r>
      <w:r w:rsidRPr="00595533">
        <w:rPr>
          <w:lang w:val="lv-LV"/>
        </w:rPr>
        <w:t>uzticēšanā</w:t>
      </w:r>
      <w:r w:rsidR="001D5FE8" w:rsidRPr="00595533">
        <w:rPr>
          <w:lang w:val="lv-LV"/>
        </w:rPr>
        <w:t xml:space="preserve">s līdzcilvēkiem, tā pēdējos gados mazinās praktiski visās </w:t>
      </w:r>
      <w:r w:rsidR="000C5AE1">
        <w:rPr>
          <w:lang w:val="lv-LV"/>
        </w:rPr>
        <w:t>Ei</w:t>
      </w:r>
      <w:r w:rsidR="00595533" w:rsidRPr="00595533">
        <w:rPr>
          <w:lang w:val="lv-LV"/>
        </w:rPr>
        <w:t>ro</w:t>
      </w:r>
      <w:r w:rsidR="001D5FE8" w:rsidRPr="00595533">
        <w:rPr>
          <w:lang w:val="lv-LV"/>
        </w:rPr>
        <w:t>pas valstīs, izņemot Ungāriju. Arī Latvijā, Lietuvā un Čehijā politiskās uzticēšanās rādītājs</w:t>
      </w:r>
      <w:r w:rsidR="00EC3EB5" w:rsidRPr="00595533">
        <w:rPr>
          <w:lang w:val="lv-LV"/>
        </w:rPr>
        <w:t>, ko raksturo uzticēšanās parlamentam, politiķiem, partijām, starptautiskām institūcijām, tiesu sistēmai un policijai,</w:t>
      </w:r>
      <w:r w:rsidR="001D5FE8" w:rsidRPr="00595533">
        <w:rPr>
          <w:lang w:val="lv-LV"/>
        </w:rPr>
        <w:t xml:space="preserve"> ir salīdzinoši stabils. No vienas puses, pēdējo gadu laikā ir nedaudz pieaugusi uzticība </w:t>
      </w:r>
      <w:r w:rsidR="008134B0" w:rsidRPr="00595533">
        <w:rPr>
          <w:lang w:val="lv-LV"/>
        </w:rPr>
        <w:t>Saeimai, politiķiem, part</w:t>
      </w:r>
      <w:r w:rsidR="00CA57CA" w:rsidRPr="00595533">
        <w:rPr>
          <w:lang w:val="lv-LV"/>
        </w:rPr>
        <w:t>ijām un policijai, bet no otras </w:t>
      </w:r>
      <w:r w:rsidR="008134B0" w:rsidRPr="00595533">
        <w:rPr>
          <w:lang w:val="lv-LV"/>
        </w:rPr>
        <w:t>– samazinājusies uzticēšanās starptautiskām institūcijām un tieslietu sistēma</w:t>
      </w:r>
      <w:r w:rsidRPr="00595533">
        <w:rPr>
          <w:lang w:val="lv-LV"/>
        </w:rPr>
        <w:t>i</w:t>
      </w:r>
      <w:r w:rsidR="008134B0" w:rsidRPr="00595533">
        <w:rPr>
          <w:lang w:val="lv-LV"/>
        </w:rPr>
        <w:t xml:space="preserve">, kas, neskatoties uz samazinājumu, joprojām gan Latvijā, gan citās valstīs bauda lielāku </w:t>
      </w:r>
      <w:r w:rsidR="00D3101A" w:rsidRPr="00595533">
        <w:rPr>
          <w:lang w:val="lv-LV"/>
        </w:rPr>
        <w:t xml:space="preserve">sabiedrības </w:t>
      </w:r>
      <w:r w:rsidR="008134B0" w:rsidRPr="00595533">
        <w:rPr>
          <w:lang w:val="lv-LV"/>
        </w:rPr>
        <w:t>uzticību nekā partijas vai politiķi.</w:t>
      </w:r>
    </w:p>
    <w:p w14:paraId="7683F1E4" w14:textId="582BF4F4" w:rsidR="008134B0" w:rsidRPr="00595533" w:rsidRDefault="005C3087">
      <w:pPr>
        <w:rPr>
          <w:lang w:val="lv-LV"/>
        </w:rPr>
      </w:pPr>
      <w:r w:rsidRPr="00595533">
        <w:rPr>
          <w:lang w:val="lv-LV"/>
        </w:rPr>
        <w:t xml:space="preserve">Vērtējot mērķu sasniegšanas progresu rīcības virzienā </w:t>
      </w:r>
      <w:r w:rsidRPr="00595533">
        <w:rPr>
          <w:i/>
          <w:lang w:val="lv-LV"/>
        </w:rPr>
        <w:t xml:space="preserve">Cilvēku sadarbība, kultūra un pilsoniskā līdzdalība kā piederības Latvijai pamats, </w:t>
      </w:r>
      <w:r w:rsidRPr="00595533">
        <w:rPr>
          <w:lang w:val="lv-LV"/>
        </w:rPr>
        <w:t>viedokļu līderi atzinuši, ka darbs, kas saistīts ar latviešu valodas lietojuma sabiedrībā nostiprināšanos, kā arī iedzīvotāju piederības, pilsoniskās apziņas un lepnuma par savu valsti un tautu veidošanu, līdz šim bijis rezultatīvs, un progress</w:t>
      </w:r>
      <w:r w:rsidR="00B30172" w:rsidRPr="00595533">
        <w:rPr>
          <w:lang w:val="lv-LV"/>
        </w:rPr>
        <w:t xml:space="preserve"> abos mērķos tiek vērtēts kā sekmīgs vai drīzāk sekmīgs (attiecīgi 69% un 44%). R</w:t>
      </w:r>
      <w:r w:rsidR="00323684" w:rsidRPr="00595533">
        <w:rPr>
          <w:lang w:val="lv-LV"/>
        </w:rPr>
        <w:t>etāk eksperti par sekmīgu atzinuši</w:t>
      </w:r>
      <w:r w:rsidR="00B30172" w:rsidRPr="00595533">
        <w:rPr>
          <w:lang w:val="lv-LV"/>
        </w:rPr>
        <w:t xml:space="preserve"> progresu, lai </w:t>
      </w:r>
      <w:r w:rsidR="003F26A6" w:rsidRPr="00595533">
        <w:rPr>
          <w:lang w:val="lv-LV"/>
        </w:rPr>
        <w:t>veicinātu</w:t>
      </w:r>
      <w:r w:rsidR="00B30172" w:rsidRPr="00595533">
        <w:rPr>
          <w:lang w:val="lv-LV"/>
        </w:rPr>
        <w:t xml:space="preserve"> iedzīvotāju savstarpējo sadarbību un uzticēšanos, – salīdzinoši tikai trešdaļa (32%) viedokļu līderu virzību šajā mērķī uzskata par sekmīgu vai drīzāk sekmīgu. Savukārt lielākā kritika pausta par </w:t>
      </w:r>
      <w:r w:rsidR="00323684" w:rsidRPr="00595533">
        <w:rPr>
          <w:lang w:val="lv-LV"/>
        </w:rPr>
        <w:t>progresa virzību</w:t>
      </w:r>
      <w:r w:rsidR="00B30172" w:rsidRPr="00595533">
        <w:rPr>
          <w:lang w:val="lv-LV"/>
        </w:rPr>
        <w:t>, lai veicinātu Latvijas iedzīvotāju palikšanu un valsts piederīgo atgriešanos Latvijā</w:t>
      </w:r>
      <w:r w:rsidR="00323684" w:rsidRPr="00595533">
        <w:rPr>
          <w:lang w:val="lv-LV"/>
        </w:rPr>
        <w:t>, proti, tikai 7% uzskata, ka progress šī mērķa sasniegšanā ir sekmīgs vai drīzāk sekmīgs.</w:t>
      </w:r>
    </w:p>
    <w:p w14:paraId="29CA7FA5" w14:textId="5271FE4E" w:rsidR="003F26A6" w:rsidRPr="00595533" w:rsidRDefault="005E5B96">
      <w:pPr>
        <w:rPr>
          <w:lang w:val="lv-LV"/>
        </w:rPr>
      </w:pPr>
      <w:r w:rsidRPr="00595533">
        <w:rPr>
          <w:lang w:val="lv-LV"/>
        </w:rPr>
        <w:lastRenderedPageBreak/>
        <w:t>Kā uzskata eksperti, galvenais iemesls, kas traucē izjust piederības apziņu un lepnumu par valsti, ir politiskā vide un korupcijas skandāli</w:t>
      </w:r>
      <w:r w:rsidR="00EC788C" w:rsidRPr="00595533">
        <w:rPr>
          <w:lang w:val="lv-LV"/>
        </w:rPr>
        <w:t>, kuru dēļ zūd politiskā uzticēšanās:</w:t>
      </w:r>
    </w:p>
    <w:p w14:paraId="6F01B8A3" w14:textId="42EA3B77" w:rsidR="00323684" w:rsidRPr="00595533" w:rsidRDefault="00EC788C" w:rsidP="00362CE8">
      <w:pPr>
        <w:ind w:left="720"/>
        <w:rPr>
          <w:i/>
          <w:color w:val="374C80" w:themeColor="accent1" w:themeShade="BF"/>
          <w:lang w:val="lv-LV"/>
        </w:rPr>
      </w:pPr>
      <w:r w:rsidRPr="00595533">
        <w:rPr>
          <w:i/>
          <w:color w:val="374C80" w:themeColor="accent1" w:themeShade="BF"/>
          <w:lang w:val="lv-LV"/>
        </w:rPr>
        <w:t>“Pilsonisko apziņu un lepnumu jāveicina ne tikai skolās, bet rādot personīgo piemēru valstī - Saeimā, Ministru kabinetā, tieslietu sistēmā utt. Korupcija valstī neveicina, bet otrādi, grauj pilsonisko apziņu.”</w:t>
      </w:r>
    </w:p>
    <w:p w14:paraId="44E172F1" w14:textId="6646F098" w:rsidR="00A23A24" w:rsidRPr="00595533" w:rsidRDefault="00A23A24">
      <w:pPr>
        <w:rPr>
          <w:lang w:val="lv-LV"/>
        </w:rPr>
      </w:pPr>
      <w:r w:rsidRPr="00595533">
        <w:rPr>
          <w:lang w:val="lv-LV"/>
        </w:rPr>
        <w:t>Otrs biežāk minētais iemesls, kas negatīvi ietekmē nacionālo identitāti un lepnumu par Latviju, ir mediju saturs. Kā norāda viedokļu līderi, negāciju pārbagātība informatīvajā telpā</w:t>
      </w:r>
      <w:r w:rsidR="006972B7" w:rsidRPr="00595533">
        <w:rPr>
          <w:lang w:val="lv-LV"/>
        </w:rPr>
        <w:t xml:space="preserve"> nonivelē valsti, tāpēc būtu nepieciešam</w:t>
      </w:r>
      <w:r w:rsidR="002260E7" w:rsidRPr="00595533">
        <w:rPr>
          <w:lang w:val="lv-LV"/>
        </w:rPr>
        <w:t>a</w:t>
      </w:r>
      <w:r w:rsidR="006972B7" w:rsidRPr="00595533">
        <w:rPr>
          <w:lang w:val="lv-LV"/>
        </w:rPr>
        <w:t xml:space="preserve">s </w:t>
      </w:r>
      <w:r w:rsidR="002260E7" w:rsidRPr="00595533">
        <w:rPr>
          <w:lang w:val="lv-LV"/>
        </w:rPr>
        <w:t xml:space="preserve">plašākas diskusijas par </w:t>
      </w:r>
      <w:r w:rsidR="005D07F4" w:rsidRPr="00595533">
        <w:rPr>
          <w:lang w:val="lv-LV"/>
        </w:rPr>
        <w:t>plašsaziņas līdzekļu</w:t>
      </w:r>
      <w:r w:rsidR="002260E7" w:rsidRPr="00595533">
        <w:rPr>
          <w:lang w:val="lv-LV"/>
        </w:rPr>
        <w:t xml:space="preserve"> redaktoru stratēģisko redzējumu </w:t>
      </w:r>
      <w:r w:rsidR="005D07F4" w:rsidRPr="00595533">
        <w:rPr>
          <w:lang w:val="lv-LV"/>
        </w:rPr>
        <w:t>attiecībā uz mediju</w:t>
      </w:r>
      <w:r w:rsidR="002260E7" w:rsidRPr="00595533">
        <w:rPr>
          <w:lang w:val="lv-LV"/>
        </w:rPr>
        <w:t xml:space="preserve"> lomu </w:t>
      </w:r>
      <w:r w:rsidR="005D07F4" w:rsidRPr="00595533">
        <w:rPr>
          <w:lang w:val="lv-LV"/>
        </w:rPr>
        <w:t>sabiedrības un valsts attiecību veidošanā</w:t>
      </w:r>
      <w:r w:rsidR="002A0FBB" w:rsidRPr="00595533">
        <w:rPr>
          <w:lang w:val="lv-LV"/>
        </w:rPr>
        <w:t>:</w:t>
      </w:r>
    </w:p>
    <w:p w14:paraId="3DA461C1" w14:textId="2DD610E6" w:rsidR="002A0FBB" w:rsidRPr="00595533" w:rsidRDefault="002A0FBB" w:rsidP="006677AC">
      <w:pPr>
        <w:ind w:left="720"/>
        <w:rPr>
          <w:i/>
          <w:color w:val="374C80" w:themeColor="accent1" w:themeShade="BF"/>
          <w:lang w:val="lv-LV"/>
        </w:rPr>
      </w:pPr>
      <w:r w:rsidRPr="00595533">
        <w:rPr>
          <w:i/>
          <w:color w:val="374C80" w:themeColor="accent1" w:themeShade="BF"/>
          <w:lang w:val="lv-LV"/>
        </w:rPr>
        <w:t>“Nodokļu maksātāju uzturētie mediji aktīvi negāciju izcelšanā.  Neskaidro nepopulāru lēmumu pieņemšanas nepieciešamību, ilgtermiņa procesus, nepietiekami stāsta, ka mūsu problēmas nav unikālas.”</w:t>
      </w:r>
    </w:p>
    <w:p w14:paraId="4315630C" w14:textId="0BC7D599" w:rsidR="002A0FBB" w:rsidRPr="00595533" w:rsidRDefault="002A0FBB" w:rsidP="006677AC">
      <w:pPr>
        <w:ind w:left="720"/>
        <w:rPr>
          <w:i/>
          <w:color w:val="374C80" w:themeColor="accent1" w:themeShade="BF"/>
          <w:lang w:val="lv-LV"/>
        </w:rPr>
      </w:pPr>
      <w:r w:rsidRPr="00595533">
        <w:rPr>
          <w:i/>
          <w:color w:val="374C80" w:themeColor="accent1" w:themeShade="BF"/>
          <w:lang w:val="lv-LV"/>
        </w:rPr>
        <w:t xml:space="preserve">“Nav pārdomātas darbības publiskajā telpā, kas līdzsvarotu vietējo žurnālistu negatīvismu un apzinātu prokrievisko </w:t>
      </w:r>
      <w:r w:rsidR="008D4A40" w:rsidRPr="00595533">
        <w:rPr>
          <w:i/>
          <w:color w:val="374C80" w:themeColor="accent1" w:themeShade="BF"/>
          <w:lang w:val="lv-LV"/>
        </w:rPr>
        <w:t>propagandu</w:t>
      </w:r>
      <w:r w:rsidRPr="00595533">
        <w:rPr>
          <w:i/>
          <w:color w:val="374C80" w:themeColor="accent1" w:themeShade="BF"/>
          <w:lang w:val="lv-LV"/>
        </w:rPr>
        <w:t>.”</w:t>
      </w:r>
    </w:p>
    <w:p w14:paraId="1E654A9A" w14:textId="0938EB12" w:rsidR="00362CE8" w:rsidRPr="00595533" w:rsidRDefault="00362CE8">
      <w:pPr>
        <w:rPr>
          <w:lang w:val="lv-LV"/>
        </w:rPr>
      </w:pPr>
      <w:r w:rsidRPr="00595533">
        <w:rPr>
          <w:lang w:val="lv-LV"/>
        </w:rPr>
        <w:t xml:space="preserve">Tāpat liela daļa viedokļu līderu norādījuši, ka piederības apziņu Latvijai negatīvi ietekmē </w:t>
      </w:r>
      <w:r w:rsidR="002A249F" w:rsidRPr="00595533">
        <w:rPr>
          <w:lang w:val="lv-LV"/>
        </w:rPr>
        <w:t xml:space="preserve">ilgstoša </w:t>
      </w:r>
      <w:r w:rsidRPr="00595533">
        <w:rPr>
          <w:lang w:val="lv-LV"/>
        </w:rPr>
        <w:t xml:space="preserve">ekonomiskā nedrošība un </w:t>
      </w:r>
      <w:r w:rsidR="006677AC" w:rsidRPr="00595533">
        <w:rPr>
          <w:lang w:val="lv-LV"/>
        </w:rPr>
        <w:t>ienākumu nepietiekamība, kuru dēļ ģimenes pieņem lēmumu aizbraukt no Latvijas.</w:t>
      </w:r>
    </w:p>
    <w:p w14:paraId="2598E536" w14:textId="10508A6C" w:rsidR="00A41F2B" w:rsidRPr="00595533" w:rsidRDefault="00300A7B">
      <w:pPr>
        <w:rPr>
          <w:lang w:val="lv-LV"/>
        </w:rPr>
      </w:pPr>
      <w:r w:rsidRPr="00595533">
        <w:rPr>
          <w:lang w:val="lv-LV"/>
        </w:rPr>
        <w:t xml:space="preserve">Jāatzīmē, ka </w:t>
      </w:r>
      <w:r w:rsidR="006677AC" w:rsidRPr="00595533">
        <w:rPr>
          <w:lang w:val="lv-LV"/>
        </w:rPr>
        <w:t xml:space="preserve">eksperti </w:t>
      </w:r>
      <w:r w:rsidRPr="00595533">
        <w:rPr>
          <w:lang w:val="lv-LV"/>
        </w:rPr>
        <w:t>ļoti reti problēmas pilsoniskās apziņas</w:t>
      </w:r>
      <w:r w:rsidR="0032244C" w:rsidRPr="00595533">
        <w:rPr>
          <w:lang w:val="lv-LV"/>
        </w:rPr>
        <w:t xml:space="preserve"> un nacionālās identitātes stiprināšanā saista ar </w:t>
      </w:r>
      <w:r w:rsidRPr="00595533">
        <w:rPr>
          <w:lang w:val="lv-LV"/>
        </w:rPr>
        <w:t xml:space="preserve">to, kā tiek īstenota mazākumtautību </w:t>
      </w:r>
      <w:r w:rsidR="0032244C" w:rsidRPr="00595533">
        <w:rPr>
          <w:lang w:val="lv-LV"/>
        </w:rPr>
        <w:t>integrācijas</w:t>
      </w:r>
      <w:r w:rsidRPr="00595533">
        <w:rPr>
          <w:lang w:val="lv-LV"/>
        </w:rPr>
        <w:t xml:space="preserve"> politika</w:t>
      </w:r>
      <w:r w:rsidR="00A41F2B" w:rsidRPr="00595533">
        <w:rPr>
          <w:lang w:val="lv-LV"/>
        </w:rPr>
        <w:t xml:space="preserve">, tomēr atsevišķos viedokļos </w:t>
      </w:r>
      <w:r w:rsidR="002A0FBB" w:rsidRPr="00595533">
        <w:rPr>
          <w:lang w:val="lv-LV"/>
        </w:rPr>
        <w:t xml:space="preserve">tiek norādīts </w:t>
      </w:r>
      <w:r w:rsidR="00A41F2B" w:rsidRPr="00595533">
        <w:rPr>
          <w:lang w:val="lv-LV"/>
        </w:rPr>
        <w:t>uz nepieciešamību pilnveidot sadarbību ar mazākumtautībām</w:t>
      </w:r>
      <w:r w:rsidR="008F205A" w:rsidRPr="00595533">
        <w:rPr>
          <w:lang w:val="lv-LV"/>
        </w:rPr>
        <w:t>, kas ir izšķiroša, lai nostiprinātu arī latviešu valodas lietojumu sabiedrībā</w:t>
      </w:r>
      <w:r w:rsidR="00A41F2B" w:rsidRPr="00595533">
        <w:rPr>
          <w:lang w:val="lv-LV"/>
        </w:rPr>
        <w:t>:</w:t>
      </w:r>
    </w:p>
    <w:p w14:paraId="53A93D19" w14:textId="7975EA1B" w:rsidR="00141BC7" w:rsidRPr="00595533" w:rsidRDefault="00362CE8" w:rsidP="007650F9">
      <w:pPr>
        <w:ind w:left="720"/>
        <w:rPr>
          <w:i/>
          <w:color w:val="374C80" w:themeColor="accent1" w:themeShade="BF"/>
          <w:lang w:val="lv-LV"/>
        </w:rPr>
      </w:pPr>
      <w:r w:rsidRPr="00595533">
        <w:rPr>
          <w:i/>
          <w:color w:val="374C80" w:themeColor="accent1" w:themeShade="BF"/>
          <w:lang w:val="lv-LV"/>
        </w:rPr>
        <w:t>“</w:t>
      </w:r>
      <w:r w:rsidR="00A41F2B" w:rsidRPr="00595533">
        <w:rPr>
          <w:i/>
          <w:color w:val="374C80" w:themeColor="accent1" w:themeShade="BF"/>
          <w:lang w:val="lv-LV"/>
        </w:rPr>
        <w:t>K</w:t>
      </w:r>
      <w:r w:rsidR="00141BC7" w:rsidRPr="00595533">
        <w:rPr>
          <w:i/>
          <w:color w:val="374C80" w:themeColor="accent1" w:themeShade="BF"/>
          <w:lang w:val="lv-LV"/>
        </w:rPr>
        <w:t>rievu m</w:t>
      </w:r>
      <w:r w:rsidR="008F205A" w:rsidRPr="00595533">
        <w:rPr>
          <w:i/>
          <w:color w:val="374C80" w:themeColor="accent1" w:themeShade="BF"/>
          <w:lang w:val="lv-LV"/>
        </w:rPr>
        <w:t>e</w:t>
      </w:r>
      <w:r w:rsidR="00141BC7" w:rsidRPr="00595533">
        <w:rPr>
          <w:i/>
          <w:color w:val="374C80" w:themeColor="accent1" w:themeShade="BF"/>
          <w:lang w:val="lv-LV"/>
        </w:rPr>
        <w:t>dijos nav pietiekami daudz informācijas par valsts prioritātēm, politikām, iniciatīvām, joprojām politiķi manipulē ar nacionalitātes jautājumiem, netiek veikti ieguldījumu maz</w:t>
      </w:r>
      <w:r w:rsidR="008F205A" w:rsidRPr="00595533">
        <w:rPr>
          <w:i/>
          <w:color w:val="374C80" w:themeColor="accent1" w:themeShade="BF"/>
          <w:lang w:val="lv-LV"/>
        </w:rPr>
        <w:t>ā</w:t>
      </w:r>
      <w:r w:rsidR="00141BC7" w:rsidRPr="00595533">
        <w:rPr>
          <w:i/>
          <w:color w:val="374C80" w:themeColor="accent1" w:themeShade="BF"/>
          <w:lang w:val="lv-LV"/>
        </w:rPr>
        <w:t xml:space="preserve">kumtautību kultūras attīstība, dažādu nāciju tuvināšanā un mazākumtautību piederības veicināšanai. Notiek spekulācijas ar jautājumiem par izglītību mazākumtautību valodā. Netiek </w:t>
      </w:r>
      <w:r w:rsidRPr="00595533">
        <w:rPr>
          <w:i/>
          <w:color w:val="374C80" w:themeColor="accent1" w:themeShade="BF"/>
          <w:lang w:val="lv-LV"/>
        </w:rPr>
        <w:t>nodo</w:t>
      </w:r>
      <w:r w:rsidR="00141BC7" w:rsidRPr="00595533">
        <w:rPr>
          <w:i/>
          <w:color w:val="374C80" w:themeColor="accent1" w:themeShade="BF"/>
          <w:lang w:val="lv-LV"/>
        </w:rPr>
        <w:t>ti mazākumtautību sabiedrībai saprotami un īstie vēstījumi par to, ka viņi ir arī daļa no šīs valsts un nākotnes</w:t>
      </w:r>
      <w:r w:rsidRPr="00595533">
        <w:rPr>
          <w:i/>
          <w:color w:val="374C80" w:themeColor="accent1" w:themeShade="BF"/>
          <w:lang w:val="lv-LV"/>
        </w:rPr>
        <w:t>.</w:t>
      </w:r>
      <w:r w:rsidR="00A41F2B" w:rsidRPr="00595533">
        <w:rPr>
          <w:i/>
          <w:color w:val="374C80" w:themeColor="accent1" w:themeShade="BF"/>
          <w:lang w:val="lv-LV"/>
        </w:rPr>
        <w:t>”</w:t>
      </w:r>
    </w:p>
    <w:p w14:paraId="02B14CE3" w14:textId="289F25A1" w:rsidR="00A41F2B" w:rsidRPr="00595533" w:rsidRDefault="008F205A">
      <w:pPr>
        <w:rPr>
          <w:lang w:val="lv-LV"/>
        </w:rPr>
      </w:pPr>
      <w:r w:rsidRPr="00595533">
        <w:rPr>
          <w:lang w:val="lv-LV"/>
        </w:rPr>
        <w:t xml:space="preserve">Komentējot </w:t>
      </w:r>
      <w:r w:rsidR="00095675" w:rsidRPr="00595533">
        <w:rPr>
          <w:lang w:val="lv-LV"/>
        </w:rPr>
        <w:t>apstākļus</w:t>
      </w:r>
      <w:r w:rsidRPr="00595533">
        <w:rPr>
          <w:lang w:val="lv-LV"/>
        </w:rPr>
        <w:t xml:space="preserve">, </w:t>
      </w:r>
      <w:r w:rsidR="00095675" w:rsidRPr="00595533">
        <w:rPr>
          <w:lang w:val="lv-LV"/>
        </w:rPr>
        <w:t>kas visvairāk traucē uzticēties līdzcilvēkiem, viedokļu līderi norādījuši pamatā trīs iemeslus:</w:t>
      </w:r>
    </w:p>
    <w:p w14:paraId="7C735273" w14:textId="079202CD" w:rsidR="00095675" w:rsidRPr="00595533" w:rsidRDefault="00012A9E" w:rsidP="00095675">
      <w:pPr>
        <w:pStyle w:val="ListParagraph"/>
        <w:numPr>
          <w:ilvl w:val="0"/>
          <w:numId w:val="1"/>
        </w:numPr>
        <w:rPr>
          <w:lang w:val="lv-LV"/>
        </w:rPr>
      </w:pPr>
      <w:r w:rsidRPr="00595533">
        <w:rPr>
          <w:lang w:val="lv-LV"/>
        </w:rPr>
        <w:t>komunikācija un negācijas informatīvā telpā;</w:t>
      </w:r>
    </w:p>
    <w:p w14:paraId="345DA50F" w14:textId="2992EB48" w:rsidR="00012A9E" w:rsidRPr="00595533" w:rsidRDefault="00012A9E" w:rsidP="00095675">
      <w:pPr>
        <w:pStyle w:val="ListParagraph"/>
        <w:numPr>
          <w:ilvl w:val="0"/>
          <w:numId w:val="1"/>
        </w:numPr>
        <w:rPr>
          <w:lang w:val="lv-LV"/>
        </w:rPr>
      </w:pPr>
      <w:r w:rsidRPr="00595533">
        <w:rPr>
          <w:lang w:val="lv-LV"/>
        </w:rPr>
        <w:t xml:space="preserve">sabiedrības sašķeltība, </w:t>
      </w:r>
      <w:r w:rsidR="00A12A34" w:rsidRPr="00595533">
        <w:rPr>
          <w:lang w:val="lv-LV"/>
        </w:rPr>
        <w:t>pretnostatot gan dažādas ienākumu, gan etniskās grupas sabiedrībā;</w:t>
      </w:r>
    </w:p>
    <w:p w14:paraId="39AFD533" w14:textId="5A58EF48" w:rsidR="00A12A34" w:rsidRPr="00595533" w:rsidRDefault="003331D9" w:rsidP="00095675">
      <w:pPr>
        <w:pStyle w:val="ListParagraph"/>
        <w:numPr>
          <w:ilvl w:val="0"/>
          <w:numId w:val="1"/>
        </w:numPr>
        <w:rPr>
          <w:lang w:val="lv-LV"/>
        </w:rPr>
      </w:pPr>
      <w:r w:rsidRPr="00595533">
        <w:rPr>
          <w:lang w:val="lv-LV"/>
        </w:rPr>
        <w:t>hedonisms</w:t>
      </w:r>
      <w:r w:rsidR="00E85CC7" w:rsidRPr="00595533">
        <w:rPr>
          <w:lang w:val="lv-LV"/>
        </w:rPr>
        <w:t xml:space="preserve"> kā dzīves filozofija</w:t>
      </w:r>
      <w:r w:rsidRPr="00595533">
        <w:rPr>
          <w:lang w:val="lv-LV"/>
        </w:rPr>
        <w:t xml:space="preserve">, kam raksturīgs </w:t>
      </w:r>
      <w:r w:rsidR="00A12A34" w:rsidRPr="00595533">
        <w:rPr>
          <w:lang w:val="lv-LV"/>
        </w:rPr>
        <w:t>individuālisms</w:t>
      </w:r>
      <w:r w:rsidRPr="00595533">
        <w:rPr>
          <w:lang w:val="lv-LV"/>
        </w:rPr>
        <w:t>, narcisms</w:t>
      </w:r>
      <w:r w:rsidR="004525AC" w:rsidRPr="00595533">
        <w:rPr>
          <w:lang w:val="lv-LV"/>
        </w:rPr>
        <w:t>, nihilisms</w:t>
      </w:r>
      <w:r w:rsidR="00A12A34" w:rsidRPr="00595533">
        <w:rPr>
          <w:lang w:val="lv-LV"/>
        </w:rPr>
        <w:t xml:space="preserve"> </w:t>
      </w:r>
      <w:r w:rsidRPr="00595533">
        <w:rPr>
          <w:lang w:val="lv-LV"/>
        </w:rPr>
        <w:t xml:space="preserve">un </w:t>
      </w:r>
      <w:r w:rsidR="00E85CC7" w:rsidRPr="00595533">
        <w:rPr>
          <w:lang w:val="lv-LV"/>
        </w:rPr>
        <w:t>patērnieciskums</w:t>
      </w:r>
      <w:r w:rsidR="007650F9" w:rsidRPr="00595533">
        <w:rPr>
          <w:lang w:val="lv-LV"/>
        </w:rPr>
        <w:t>.</w:t>
      </w:r>
      <w:r w:rsidR="004525AC" w:rsidRPr="00595533">
        <w:rPr>
          <w:lang w:val="lv-LV"/>
        </w:rPr>
        <w:t xml:space="preserve"> Tas </w:t>
      </w:r>
      <w:r w:rsidR="00C337E6" w:rsidRPr="00595533">
        <w:rPr>
          <w:lang w:val="lv-LV"/>
        </w:rPr>
        <w:t>liedz veidot atbalstošas cilvēku savstarpējās attiecības, kā arī determinē to, ka likumu un normu ievērošana valstī ir apstrīdama.</w:t>
      </w:r>
    </w:p>
    <w:p w14:paraId="34FBE182" w14:textId="14AD6A96" w:rsidR="00007170" w:rsidRPr="00595533" w:rsidRDefault="00054523" w:rsidP="00007170">
      <w:pPr>
        <w:rPr>
          <w:lang w:val="lv-LV"/>
        </w:rPr>
      </w:pPr>
      <w:r w:rsidRPr="00595533">
        <w:rPr>
          <w:lang w:val="lv-LV"/>
        </w:rPr>
        <w:t xml:space="preserve">Savukārt vērtējot cēloņus, kas traucē atriezties Latvijā emigrējušiem valsts piederīgiem, viedokļu līderi gandrīz vienprātīgi norāda, ka </w:t>
      </w:r>
      <w:r w:rsidR="00527484" w:rsidRPr="00595533">
        <w:rPr>
          <w:lang w:val="lv-LV"/>
        </w:rPr>
        <w:t>galvenais iemesls ir</w:t>
      </w:r>
      <w:r w:rsidRPr="00595533">
        <w:rPr>
          <w:lang w:val="lv-LV"/>
        </w:rPr>
        <w:t xml:space="preserve"> adekvāti atalgot</w:t>
      </w:r>
      <w:r w:rsidR="00D3101A" w:rsidRPr="00595533">
        <w:rPr>
          <w:lang w:val="lv-LV"/>
        </w:rPr>
        <w:t>u</w:t>
      </w:r>
      <w:r w:rsidRPr="00595533">
        <w:rPr>
          <w:lang w:val="lv-LV"/>
        </w:rPr>
        <w:t xml:space="preserve"> darba vietu trūkums</w:t>
      </w:r>
      <w:r w:rsidR="00D3101A" w:rsidRPr="00595533">
        <w:rPr>
          <w:lang w:val="lv-LV"/>
        </w:rPr>
        <w:t>, īpaši reģionos:</w:t>
      </w:r>
    </w:p>
    <w:p w14:paraId="1D29B914" w14:textId="77CD57E0" w:rsidR="005E0260" w:rsidRPr="00595533" w:rsidRDefault="005E0260" w:rsidP="005E0260">
      <w:pPr>
        <w:ind w:left="720"/>
        <w:rPr>
          <w:i/>
          <w:color w:val="374C80" w:themeColor="accent1" w:themeShade="BF"/>
          <w:lang w:val="lv-LV"/>
        </w:rPr>
      </w:pPr>
      <w:r w:rsidRPr="00595533">
        <w:rPr>
          <w:i/>
          <w:color w:val="374C80" w:themeColor="accent1" w:themeShade="BF"/>
          <w:lang w:val="lv-LV"/>
        </w:rPr>
        <w:t>“Galvenais traucējošais faktors ir ekonomiskās attīstības diference starp jaunajām un vecajām ES valstīm, kā arī pasaules attīstītajām valstīm un Latviju. Reemigrācijas galvenais kavējošais faktors ir konkurētspējīga atalgojuma un darba vietu trūkums Latvijā, ko nevar nodrošināt atrauti no tautsaimniecības attīstības, veicot atsevišķus "ideoloģiskus" pasākumus.”</w:t>
      </w:r>
    </w:p>
    <w:p w14:paraId="15BF91EE" w14:textId="77777777" w:rsidR="005724B3" w:rsidRPr="00595533" w:rsidRDefault="005724B3" w:rsidP="005E0260">
      <w:pPr>
        <w:rPr>
          <w:lang w:val="lv-LV"/>
        </w:rPr>
      </w:pPr>
    </w:p>
    <w:p w14:paraId="50904322" w14:textId="40F830F6" w:rsidR="008C4662" w:rsidRPr="00595533" w:rsidRDefault="00654F5A" w:rsidP="008C4662">
      <w:pPr>
        <w:pStyle w:val="Heading2"/>
        <w:rPr>
          <w:lang w:val="lv-LV"/>
        </w:rPr>
      </w:pPr>
      <w:bookmarkStart w:id="61" w:name="_Toc498690640"/>
      <w:bookmarkStart w:id="62" w:name="_Toc499025320"/>
      <w:r>
        <w:rPr>
          <w:lang w:val="lv-LV"/>
        </w:rPr>
        <w:lastRenderedPageBreak/>
        <w:t xml:space="preserve">3.10. </w:t>
      </w:r>
      <w:r w:rsidR="008C4662" w:rsidRPr="00595533">
        <w:rPr>
          <w:lang w:val="lv-LV"/>
        </w:rPr>
        <w:t>Ekonomiskās aktivitātes veicināšana reģionos – teritoriju potenciāla izmantošana</w:t>
      </w:r>
      <w:bookmarkEnd w:id="61"/>
      <w:bookmarkEnd w:id="62"/>
    </w:p>
    <w:p w14:paraId="6BEC7E7E" w14:textId="169618CA" w:rsidR="008C4662" w:rsidRPr="00595533" w:rsidRDefault="00D206FB" w:rsidP="005E0260">
      <w:pPr>
        <w:rPr>
          <w:lang w:val="lv-LV"/>
        </w:rPr>
      </w:pPr>
      <w:r w:rsidRPr="00595533">
        <w:rPr>
          <w:lang w:val="lv-LV"/>
        </w:rPr>
        <w:t xml:space="preserve">Rīcības virzies </w:t>
      </w:r>
      <w:r w:rsidRPr="00595533">
        <w:rPr>
          <w:i/>
          <w:lang w:val="lv-LV"/>
        </w:rPr>
        <w:t>Ekonomiskās aktivitātes veicināšana reģionos – teritoriju potenciāla izmantošana</w:t>
      </w:r>
      <w:r w:rsidRPr="00595533">
        <w:rPr>
          <w:lang w:val="lv-LV"/>
        </w:rPr>
        <w:t xml:space="preserve"> prioritāri vērsts uz priekšnoteikumu radīšanu uzņēmējdarbības attīstībai un jaunu darba vietu </w:t>
      </w:r>
      <w:r w:rsidR="007618D7" w:rsidRPr="00595533">
        <w:rPr>
          <w:lang w:val="lv-LV"/>
        </w:rPr>
        <w:t>veidošanai</w:t>
      </w:r>
      <w:r w:rsidRPr="00595533">
        <w:rPr>
          <w:lang w:val="lv-LV"/>
        </w:rPr>
        <w:t xml:space="preserve"> gan ražošanas, g</w:t>
      </w:r>
      <w:r w:rsidR="007618D7" w:rsidRPr="00595533">
        <w:rPr>
          <w:lang w:val="lv-LV"/>
        </w:rPr>
        <w:t>an pakalpojumu sektorā reģionos.</w:t>
      </w:r>
      <w:r w:rsidRPr="00595533">
        <w:rPr>
          <w:lang w:val="lv-LV"/>
        </w:rPr>
        <w:t xml:space="preserve"> </w:t>
      </w:r>
      <w:r w:rsidR="007618D7" w:rsidRPr="00595533">
        <w:rPr>
          <w:lang w:val="lv-LV"/>
        </w:rPr>
        <w:t>T</w:t>
      </w:r>
      <w:r w:rsidRPr="00595533">
        <w:rPr>
          <w:lang w:val="lv-LV"/>
        </w:rPr>
        <w:t>ādā veidā</w:t>
      </w:r>
      <w:r w:rsidR="00362891" w:rsidRPr="00595533">
        <w:rPr>
          <w:lang w:val="lv-LV"/>
        </w:rPr>
        <w:t xml:space="preserve"> </w:t>
      </w:r>
      <w:r w:rsidR="007618D7" w:rsidRPr="00595533">
        <w:rPr>
          <w:lang w:val="lv-LV"/>
        </w:rPr>
        <w:t xml:space="preserve">tiek </w:t>
      </w:r>
      <w:r w:rsidR="00362891" w:rsidRPr="00595533">
        <w:rPr>
          <w:lang w:val="lv-LV"/>
        </w:rPr>
        <w:t>sekmēt</w:t>
      </w:r>
      <w:r w:rsidR="007618D7" w:rsidRPr="00595533">
        <w:rPr>
          <w:lang w:val="lv-LV"/>
        </w:rPr>
        <w:t>a</w:t>
      </w:r>
      <w:r w:rsidR="00362891" w:rsidRPr="00595533">
        <w:rPr>
          <w:lang w:val="lv-LV"/>
        </w:rPr>
        <w:t xml:space="preserve"> reģionāl</w:t>
      </w:r>
      <w:r w:rsidR="007618D7" w:rsidRPr="00595533">
        <w:rPr>
          <w:lang w:val="lv-LV"/>
        </w:rPr>
        <w:t>ā</w:t>
      </w:r>
      <w:r w:rsidR="00362891" w:rsidRPr="00595533">
        <w:rPr>
          <w:lang w:val="lv-LV"/>
        </w:rPr>
        <w:t xml:space="preserve"> attīstīb</w:t>
      </w:r>
      <w:r w:rsidR="007618D7" w:rsidRPr="00595533">
        <w:rPr>
          <w:lang w:val="lv-LV"/>
        </w:rPr>
        <w:t>a</w:t>
      </w:r>
      <w:r w:rsidR="00362891" w:rsidRPr="00595533">
        <w:rPr>
          <w:lang w:val="lv-LV"/>
        </w:rPr>
        <w:t>,</w:t>
      </w:r>
      <w:r w:rsidRPr="00595533">
        <w:rPr>
          <w:lang w:val="lv-LV"/>
        </w:rPr>
        <w:t xml:space="preserve"> kavē</w:t>
      </w:r>
      <w:r w:rsidR="007618D7" w:rsidRPr="00595533">
        <w:rPr>
          <w:lang w:val="lv-LV"/>
        </w:rPr>
        <w:t>ta</w:t>
      </w:r>
      <w:r w:rsidRPr="00595533">
        <w:rPr>
          <w:lang w:val="lv-LV"/>
        </w:rPr>
        <w:t xml:space="preserve"> iedzīvotāju skaita </w:t>
      </w:r>
      <w:r w:rsidR="007618D7" w:rsidRPr="00595533">
        <w:rPr>
          <w:lang w:val="lv-LV"/>
        </w:rPr>
        <w:t>samazināšanā</w:t>
      </w:r>
      <w:r w:rsidR="00362891" w:rsidRPr="00595533">
        <w:rPr>
          <w:lang w:val="lv-LV"/>
        </w:rPr>
        <w:t>s teritorijās ārpus Rīgas plānošanas reģiona un atbalst</w:t>
      </w:r>
      <w:r w:rsidR="007618D7" w:rsidRPr="00595533">
        <w:rPr>
          <w:lang w:val="lv-LV"/>
        </w:rPr>
        <w:t>ī</w:t>
      </w:r>
      <w:r w:rsidR="00362891" w:rsidRPr="00595533">
        <w:rPr>
          <w:lang w:val="lv-LV"/>
        </w:rPr>
        <w:t>t</w:t>
      </w:r>
      <w:r w:rsidR="007618D7" w:rsidRPr="00595533">
        <w:rPr>
          <w:lang w:val="lv-LV"/>
        </w:rPr>
        <w:t>a</w:t>
      </w:r>
      <w:r w:rsidR="00362891" w:rsidRPr="00595533">
        <w:rPr>
          <w:lang w:val="lv-LV"/>
        </w:rPr>
        <w:t xml:space="preserve"> policentrisk</w:t>
      </w:r>
      <w:r w:rsidR="007618D7" w:rsidRPr="00595533">
        <w:rPr>
          <w:lang w:val="lv-LV"/>
        </w:rPr>
        <w:t>a</w:t>
      </w:r>
      <w:r w:rsidR="005E5F6B" w:rsidRPr="00595533">
        <w:rPr>
          <w:lang w:val="lv-LV"/>
        </w:rPr>
        <w:t xml:space="preserve"> attīstības centru tīkla izveide</w:t>
      </w:r>
      <w:r w:rsidR="007618D7" w:rsidRPr="00595533">
        <w:rPr>
          <w:lang w:val="lv-LV"/>
        </w:rPr>
        <w:t>, kas ir pakārtot</w:t>
      </w:r>
      <w:r w:rsidR="005E5F6B" w:rsidRPr="00595533">
        <w:rPr>
          <w:lang w:val="lv-LV"/>
        </w:rPr>
        <w:t>a</w:t>
      </w:r>
      <w:r w:rsidR="007618D7" w:rsidRPr="00595533">
        <w:rPr>
          <w:lang w:val="lv-LV"/>
        </w:rPr>
        <w:t xml:space="preserve"> apdzīvotībai un iedzīvotāju struktūrai</w:t>
      </w:r>
      <w:r w:rsidR="00362891" w:rsidRPr="00595533">
        <w:rPr>
          <w:lang w:val="lv-LV"/>
        </w:rPr>
        <w:t xml:space="preserve">. Vienlaikus, ņemot vērā Latvijas ģeogrāfiskās priekšrocības, rīcības virziens paredz </w:t>
      </w:r>
      <w:r w:rsidR="005E5F6B" w:rsidRPr="00595533">
        <w:rPr>
          <w:lang w:val="lv-LV"/>
        </w:rPr>
        <w:t xml:space="preserve">īpašu uzmanību koncentrēt </w:t>
      </w:r>
      <w:r w:rsidR="004F4476" w:rsidRPr="00595533">
        <w:rPr>
          <w:lang w:val="lv-LV"/>
        </w:rPr>
        <w:t xml:space="preserve">gan </w:t>
      </w:r>
      <w:r w:rsidR="005E5F6B" w:rsidRPr="00595533">
        <w:rPr>
          <w:lang w:val="lv-LV"/>
        </w:rPr>
        <w:t>uz pārrobežu starptautisko sadarbību, veicinot ekonomisko aktivitāti Austrumu pierobežā</w:t>
      </w:r>
      <w:r w:rsidR="004F4476" w:rsidRPr="00595533">
        <w:rPr>
          <w:lang w:val="lv-LV"/>
        </w:rPr>
        <w:t>, gan arī attīstīt galvaspilsēt</w:t>
      </w:r>
      <w:r w:rsidR="00BB6F3C" w:rsidRPr="00595533">
        <w:rPr>
          <w:lang w:val="lv-LV"/>
        </w:rPr>
        <w:t>as infrastruktūru, lai nostiprinātu Rīgas kā nozīmīga</w:t>
      </w:r>
      <w:r w:rsidR="004F4476" w:rsidRPr="00595533">
        <w:rPr>
          <w:lang w:val="lv-LV"/>
        </w:rPr>
        <w:t xml:space="preserve"> Ziemeļ</w:t>
      </w:r>
      <w:r w:rsidR="000C5AE1">
        <w:rPr>
          <w:lang w:val="lv-LV"/>
        </w:rPr>
        <w:t>ei</w:t>
      </w:r>
      <w:r w:rsidR="00595533" w:rsidRPr="00595533">
        <w:rPr>
          <w:lang w:val="lv-LV"/>
        </w:rPr>
        <w:t>ro</w:t>
      </w:r>
      <w:r w:rsidR="004F4476" w:rsidRPr="00595533">
        <w:rPr>
          <w:lang w:val="lv-LV"/>
        </w:rPr>
        <w:t>pas darījumu, zinātnes, kultūras</w:t>
      </w:r>
      <w:r w:rsidR="00BB6F3C" w:rsidRPr="00595533">
        <w:rPr>
          <w:lang w:val="lv-LV"/>
        </w:rPr>
        <w:t xml:space="preserve"> un tūrisma centra statusu</w:t>
      </w:r>
      <w:r w:rsidR="005E5F6B" w:rsidRPr="00595533">
        <w:rPr>
          <w:lang w:val="lv-LV"/>
        </w:rPr>
        <w:t>.</w:t>
      </w:r>
    </w:p>
    <w:p w14:paraId="489B98EE" w14:textId="5960E575" w:rsidR="008D2A41" w:rsidRPr="00595533" w:rsidRDefault="008D2A41" w:rsidP="005E0260">
      <w:pPr>
        <w:rPr>
          <w:lang w:val="lv-LV"/>
        </w:rPr>
      </w:pPr>
      <w:r w:rsidRPr="00595533">
        <w:rPr>
          <w:lang w:val="lv-LV"/>
        </w:rPr>
        <w:t>Lai sekmētu uzņēmējdarbības attīstību reģionos, rīcības virziena ietvaros paredzēts atbalsts lauksaimniecības, zivsaimniecības un mežsaimniecības produktu ražošanai un apstrādei, kooperācijas stiprināšanai visos ražošanas un pakalpojumu sniegšanas posmos</w:t>
      </w:r>
      <w:r w:rsidR="00BC383F" w:rsidRPr="00595533">
        <w:rPr>
          <w:lang w:val="lv-LV"/>
        </w:rPr>
        <w:t>, mazo ostu infrastruktūras attīstībai piekrastē</w:t>
      </w:r>
      <w:r w:rsidR="00FD26D6" w:rsidRPr="00595533">
        <w:rPr>
          <w:lang w:val="lv-LV"/>
        </w:rPr>
        <w:t xml:space="preserve">, kā arī </w:t>
      </w:r>
      <w:r w:rsidR="009933B1" w:rsidRPr="00595533">
        <w:rPr>
          <w:lang w:val="lv-LV"/>
        </w:rPr>
        <w:t xml:space="preserve">organizatoriskais </w:t>
      </w:r>
      <w:r w:rsidR="00FD26D6" w:rsidRPr="00595533">
        <w:rPr>
          <w:lang w:val="lv-LV"/>
        </w:rPr>
        <w:t>atbalsts potenciālo investoru uzrunāšanai un piesaistei industriālajās un kūrorta teritorijās</w:t>
      </w:r>
      <w:r w:rsidR="009933B1" w:rsidRPr="00595533">
        <w:rPr>
          <w:lang w:val="lv-LV"/>
        </w:rPr>
        <w:t>, vienlaikus caur nodokļu politikas un citiem instrumentiem motivējot arī pašvaldības aktīva</w:t>
      </w:r>
      <w:r w:rsidR="00BC383F" w:rsidRPr="00595533">
        <w:rPr>
          <w:lang w:val="lv-LV"/>
        </w:rPr>
        <w:t>i rīcībai investīciju piesaistē</w:t>
      </w:r>
      <w:r w:rsidR="009933B1" w:rsidRPr="00595533">
        <w:rPr>
          <w:lang w:val="lv-LV"/>
        </w:rPr>
        <w:t>.</w:t>
      </w:r>
      <w:r w:rsidR="00176F21" w:rsidRPr="00595533">
        <w:rPr>
          <w:lang w:val="lv-LV"/>
        </w:rPr>
        <w:t xml:space="preserve"> Sekojot līdzi iedzīvotāju iekšējās migrācijas procesiem un izmaiņām apdzīvotībā, NAP2020 paredzēts pilnveidot valsts administratīvi teritoriālo iedalījumu, balstoties uz administratīvi teritoriālās reformas rezultātu novērtējumu. </w:t>
      </w:r>
    </w:p>
    <w:p w14:paraId="02A76C0C" w14:textId="77777777" w:rsidR="00184FFF" w:rsidRPr="00595533" w:rsidRDefault="00184FFF" w:rsidP="00184FFF">
      <w:pPr>
        <w:pStyle w:val="NoSpacing"/>
        <w:rPr>
          <w:sz w:val="10"/>
          <w:szCs w:val="10"/>
          <w:lang w:val="lv-LV"/>
        </w:rPr>
      </w:pPr>
    </w:p>
    <w:p w14:paraId="6BE8B6E3" w14:textId="77777777" w:rsidR="00184FFF" w:rsidRPr="00595533" w:rsidRDefault="00184FFF" w:rsidP="00184FFF">
      <w:pPr>
        <w:pStyle w:val="Heading3"/>
        <w:rPr>
          <w:lang w:val="lv-LV"/>
        </w:rPr>
      </w:pPr>
      <w:bookmarkStart w:id="63" w:name="_Toc498690641"/>
      <w:r w:rsidRPr="00595533">
        <w:rPr>
          <w:lang w:val="lv-LV"/>
        </w:rPr>
        <w:t>UZDEVUMU ĪSTENOŠANAS PROGRESS</w:t>
      </w:r>
      <w:bookmarkEnd w:id="63"/>
    </w:p>
    <w:p w14:paraId="4C054CD6" w14:textId="2BA0F4AC" w:rsidR="00DA600B" w:rsidRPr="00DA600B" w:rsidRDefault="00DA600B" w:rsidP="00AD7BAD">
      <w:pPr>
        <w:rPr>
          <w:b/>
          <w:u w:val="single"/>
          <w:lang w:val="lv-LV"/>
        </w:rPr>
      </w:pPr>
      <w:r w:rsidRPr="00DA600B">
        <w:rPr>
          <w:b/>
          <w:u w:val="single"/>
          <w:lang w:val="lv-LV"/>
        </w:rPr>
        <w:t>Uzņēmējdarbības attīstība reģionos</w:t>
      </w:r>
    </w:p>
    <w:p w14:paraId="0B098DAD" w14:textId="2D5AE125" w:rsidR="00894C81" w:rsidRPr="00D47F5B" w:rsidRDefault="00110E31" w:rsidP="00AD7BAD">
      <w:pPr>
        <w:rPr>
          <w:lang w:val="lv-LV"/>
        </w:rPr>
      </w:pPr>
      <w:r w:rsidRPr="00AD7BAD">
        <w:rPr>
          <w:b/>
          <w:lang w:val="lv-LV"/>
        </w:rPr>
        <w:t>Atbalsts lauksaimniecības, zivsaimniecības un mežsaimniecības produktu ražošanas un to tālākas pārstrādes attīstībai</w:t>
      </w:r>
      <w:r>
        <w:rPr>
          <w:lang w:val="lv-LV"/>
        </w:rPr>
        <w:t xml:space="preserve"> tiek nodrošināts</w:t>
      </w:r>
      <w:r w:rsidR="00894C81" w:rsidRPr="00595533">
        <w:rPr>
          <w:lang w:val="lv-LV"/>
        </w:rPr>
        <w:t xml:space="preserve"> caur Rīcības programmu zivsaimniecības attīstībai 2014</w:t>
      </w:r>
      <w:r>
        <w:rPr>
          <w:lang w:val="lv-LV"/>
        </w:rPr>
        <w:t>.–</w:t>
      </w:r>
      <w:r w:rsidR="00894C81" w:rsidRPr="00595533">
        <w:rPr>
          <w:lang w:val="lv-LV"/>
        </w:rPr>
        <w:t>2020.</w:t>
      </w:r>
      <w:r>
        <w:rPr>
          <w:lang w:val="lv-LV"/>
        </w:rPr>
        <w:t> </w:t>
      </w:r>
      <w:r w:rsidR="00894C81" w:rsidRPr="00595533">
        <w:rPr>
          <w:lang w:val="lv-LV"/>
        </w:rPr>
        <w:t xml:space="preserve">gadam un </w:t>
      </w:r>
      <w:r w:rsidR="0087382A">
        <w:rPr>
          <w:lang w:val="lv-LV"/>
        </w:rPr>
        <w:t>LLAP</w:t>
      </w:r>
      <w:r w:rsidR="00894C81" w:rsidRPr="00595533">
        <w:rPr>
          <w:lang w:val="lv-LV"/>
        </w:rPr>
        <w:t xml:space="preserve">2020, izmantojot gan EJZF, gan ELFLA investīcijas. Ja caur EJZF finansējumu tiek sniegts atbalsts investīcijām pievienotās vērtības radīšanai zvejas produktiem un zvejas un akvakultūras produktu apstrādes sektora konkurētspējas attīstībai, tad ELFLA līdzekļi nodrošina atbalstu mazo lauku saimniecību attīstībai un jaunajiem lauksaimniekiem saimniecību dibināšanai, bioloģiskās lauksaimniecības produktu ražošanai, </w:t>
      </w:r>
      <w:r>
        <w:rPr>
          <w:lang w:val="lv-LV"/>
        </w:rPr>
        <w:t xml:space="preserve">kā arī </w:t>
      </w:r>
      <w:r w:rsidR="00894C81" w:rsidRPr="00595533">
        <w:rPr>
          <w:lang w:val="lv-LV"/>
        </w:rPr>
        <w:t>profilaktisko pasākumu ieviešanai lauku saimniecībās, lai mazinātu dzīvniek</w:t>
      </w:r>
      <w:r>
        <w:rPr>
          <w:lang w:val="lv-LV"/>
        </w:rPr>
        <w:t>iem</w:t>
      </w:r>
      <w:r w:rsidR="00894C81" w:rsidRPr="00595533">
        <w:rPr>
          <w:lang w:val="lv-LV"/>
        </w:rPr>
        <w:t xml:space="preserve"> sevišķi bīstamo infekcijas slimību izplatību, </w:t>
      </w:r>
      <w:r w:rsidR="00C84812">
        <w:rPr>
          <w:lang w:val="lv-LV"/>
        </w:rPr>
        <w:t xml:space="preserve">nodrošinātu </w:t>
      </w:r>
      <w:r w:rsidR="004B5A3E">
        <w:rPr>
          <w:lang w:val="lv-LV"/>
        </w:rPr>
        <w:t>ārkārtas</w:t>
      </w:r>
      <w:r w:rsidR="00894C81" w:rsidRPr="00595533">
        <w:rPr>
          <w:lang w:val="lv-LV"/>
        </w:rPr>
        <w:t xml:space="preserve"> notikumos cietušo saimniecību lauksaimniecības ražošanas potenciāla atjaunošan</w:t>
      </w:r>
      <w:r w:rsidR="00C84812">
        <w:rPr>
          <w:lang w:val="lv-LV"/>
        </w:rPr>
        <w:t>u un</w:t>
      </w:r>
      <w:r w:rsidR="00894C81" w:rsidRPr="00595533">
        <w:rPr>
          <w:lang w:val="lv-LV"/>
        </w:rPr>
        <w:t xml:space="preserve"> risku </w:t>
      </w:r>
      <w:r w:rsidR="00894C81" w:rsidRPr="00D47F5B">
        <w:rPr>
          <w:lang w:val="lv-LV"/>
        </w:rPr>
        <w:t>apdrošināšan</w:t>
      </w:r>
      <w:r w:rsidR="00C84812" w:rsidRPr="00D47F5B">
        <w:rPr>
          <w:lang w:val="lv-LV"/>
        </w:rPr>
        <w:t>u lauksaimniecībā.</w:t>
      </w:r>
      <w:r w:rsidR="00894C81" w:rsidRPr="00D47F5B">
        <w:rPr>
          <w:lang w:val="lv-LV"/>
        </w:rPr>
        <w:t xml:space="preserve"> </w:t>
      </w:r>
      <w:r w:rsidR="00C84812" w:rsidRPr="00D47F5B">
        <w:rPr>
          <w:lang w:val="lv-LV"/>
        </w:rPr>
        <w:t xml:space="preserve">Tāpat minētās investīcijas tiek </w:t>
      </w:r>
      <w:r w:rsidR="00894C81" w:rsidRPr="00D47F5B">
        <w:rPr>
          <w:lang w:val="lv-LV"/>
        </w:rPr>
        <w:t>ieguldī</w:t>
      </w:r>
      <w:r w:rsidR="00C84812" w:rsidRPr="00D47F5B">
        <w:rPr>
          <w:lang w:val="lv-LV"/>
        </w:rPr>
        <w:t>tas</w:t>
      </w:r>
      <w:r w:rsidR="00894C81" w:rsidRPr="00D47F5B">
        <w:rPr>
          <w:lang w:val="lv-LV"/>
        </w:rPr>
        <w:t xml:space="preserve"> uzņēmumos, kas veic lauksaimniecības produktu pārstrādi</w:t>
      </w:r>
      <w:r w:rsidR="00C84812" w:rsidRPr="00D47F5B">
        <w:rPr>
          <w:lang w:val="lv-LV"/>
        </w:rPr>
        <w:t>,</w:t>
      </w:r>
      <w:r w:rsidR="00894C81" w:rsidRPr="00D47F5B">
        <w:rPr>
          <w:lang w:val="lv-LV"/>
        </w:rPr>
        <w:t xml:space="preserve"> un lauku saimniecībās</w:t>
      </w:r>
      <w:r w:rsidR="00C84812" w:rsidRPr="00D47F5B">
        <w:rPr>
          <w:lang w:val="lv-LV"/>
        </w:rPr>
        <w:t>,</w:t>
      </w:r>
      <w:r w:rsidR="00894C81" w:rsidRPr="00D47F5B">
        <w:rPr>
          <w:lang w:val="lv-LV"/>
        </w:rPr>
        <w:t xml:space="preserve"> lai uzlabotu saimniecību konkurētspēju un ekonomiskos rādītājus, kā arī mazinātu tirgus svārstību negatīvo ietekmi. Minēto darbību īstenošanai uz 2016.</w:t>
      </w:r>
      <w:r w:rsidR="00C84812" w:rsidRPr="00D47F5B">
        <w:rPr>
          <w:lang w:val="lv-LV"/>
        </w:rPr>
        <w:t> </w:t>
      </w:r>
      <w:r w:rsidR="00894C81" w:rsidRPr="00D47F5B">
        <w:rPr>
          <w:lang w:val="lv-LV"/>
        </w:rPr>
        <w:t>gada nogali ir uzņemtas saistības 258,9 mlj euro apmērā.</w:t>
      </w:r>
    </w:p>
    <w:p w14:paraId="088CD6B4" w14:textId="2E0CE356" w:rsidR="00894C81" w:rsidRPr="00D47F5B" w:rsidRDefault="00C84812" w:rsidP="00AD7BAD">
      <w:pPr>
        <w:rPr>
          <w:lang w:val="lv-LV"/>
        </w:rPr>
      </w:pPr>
      <w:r w:rsidRPr="00D47F5B">
        <w:rPr>
          <w:b/>
          <w:lang w:val="lv-LV"/>
        </w:rPr>
        <w:t>Kooperācijas attīstības</w:t>
      </w:r>
      <w:r w:rsidRPr="00D47F5B">
        <w:rPr>
          <w:lang w:val="lv-LV"/>
        </w:rPr>
        <w:t xml:space="preserve"> sekmēšana visos ražošanas un pakalpojumu sniegtšanas līmeņos</w:t>
      </w:r>
      <w:r w:rsidR="00894C81" w:rsidRPr="00D47F5B">
        <w:rPr>
          <w:lang w:val="lv-LV"/>
        </w:rPr>
        <w:t xml:space="preserve"> tiek īstenot</w:t>
      </w:r>
      <w:r w:rsidR="00F22487" w:rsidRPr="00D47F5B">
        <w:rPr>
          <w:lang w:val="lv-LV"/>
        </w:rPr>
        <w:t>a</w:t>
      </w:r>
      <w:r w:rsidR="0087382A">
        <w:rPr>
          <w:lang w:val="lv-LV"/>
        </w:rPr>
        <w:t xml:space="preserve"> ar LLAP</w:t>
      </w:r>
      <w:r w:rsidR="00894C81" w:rsidRPr="00595533">
        <w:rPr>
          <w:lang w:val="lv-LV"/>
        </w:rPr>
        <w:t>2020, izmantojot ELFLA un EJZF finansējumu. Uzdevuma ietvaros atbalsts tiek sniegts ieguldījumiem kooperatīvā</w:t>
      </w:r>
      <w:r w:rsidR="00F22487">
        <w:rPr>
          <w:lang w:val="lv-LV"/>
        </w:rPr>
        <w:t>s sabiedrībās</w:t>
      </w:r>
      <w:r w:rsidR="00894C81" w:rsidRPr="00595533">
        <w:rPr>
          <w:lang w:val="lv-LV"/>
        </w:rPr>
        <w:t xml:space="preserve">, tādējādi veicinot atbalsta pretendentu dalību kooperatīvos, </w:t>
      </w:r>
      <w:r w:rsidR="00AD7BAD">
        <w:rPr>
          <w:lang w:val="lv-LV"/>
        </w:rPr>
        <w:t>kā arī</w:t>
      </w:r>
      <w:r w:rsidR="00894C81" w:rsidRPr="00595533">
        <w:rPr>
          <w:lang w:val="lv-LV"/>
        </w:rPr>
        <w:t xml:space="preserve"> ražotāju grupu un organizāciju izveidei gan lauksaimniecības, gan mežsaimniecības jomā. </w:t>
      </w:r>
      <w:r w:rsidR="00894C81" w:rsidRPr="00D47F5B">
        <w:rPr>
          <w:lang w:val="lv-LV"/>
        </w:rPr>
        <w:t>Minēto darbību īstenošanai uz 2016.</w:t>
      </w:r>
      <w:r w:rsidR="00AD7BAD" w:rsidRPr="00D47F5B">
        <w:rPr>
          <w:lang w:val="lv-LV"/>
        </w:rPr>
        <w:t> </w:t>
      </w:r>
      <w:r w:rsidR="00894C81" w:rsidRPr="00D47F5B">
        <w:rPr>
          <w:lang w:val="lv-LV"/>
        </w:rPr>
        <w:t>gada nogali ir uzņemtas saistības 10,4 mlj euro apmērā. Minētās investīcijas ir veiktas tādu jaunu ražošanas pamatlīdzekļu iegādei kā dārzeņu pirmapstrādes iekārtas, uzkrāšanas un transportēšanas agregāti, dzesēšanas iekārt</w:t>
      </w:r>
      <w:r w:rsidR="00AD7BAD" w:rsidRPr="00D47F5B">
        <w:rPr>
          <w:lang w:val="lv-LV"/>
        </w:rPr>
        <w:t>as,</w:t>
      </w:r>
      <w:r w:rsidR="00894C81" w:rsidRPr="00D47F5B">
        <w:rPr>
          <w:lang w:val="lv-LV"/>
        </w:rPr>
        <w:t xml:space="preserve"> konteineri, fasēšanas iekārt</w:t>
      </w:r>
      <w:r w:rsidR="00AD7BAD" w:rsidRPr="00D47F5B">
        <w:rPr>
          <w:lang w:val="lv-LV"/>
        </w:rPr>
        <w:t>as</w:t>
      </w:r>
      <w:r w:rsidR="00894C81" w:rsidRPr="00D47F5B">
        <w:rPr>
          <w:lang w:val="lv-LV"/>
        </w:rPr>
        <w:t xml:space="preserve"> u.c</w:t>
      </w:r>
      <w:r w:rsidR="00AD7BAD" w:rsidRPr="00D47F5B">
        <w:rPr>
          <w:lang w:val="lv-LV"/>
        </w:rPr>
        <w:t>., kas</w:t>
      </w:r>
      <w:r w:rsidR="00894C81" w:rsidRPr="00D47F5B">
        <w:rPr>
          <w:lang w:val="lv-LV"/>
        </w:rPr>
        <w:t xml:space="preserve"> būtiski mazinājuš</w:t>
      </w:r>
      <w:r w:rsidR="00AD7BAD" w:rsidRPr="00D47F5B">
        <w:rPr>
          <w:lang w:val="lv-LV"/>
        </w:rPr>
        <w:t>i ražas zudumus,</w:t>
      </w:r>
      <w:r w:rsidR="00894C81" w:rsidRPr="00D47F5B">
        <w:rPr>
          <w:lang w:val="lv-LV"/>
        </w:rPr>
        <w:t xml:space="preserve"> modernizējušas produktu pirmapstrādes procesu un sekmējušas videi draudzīgu saimniekošanu ilgtermiņā.</w:t>
      </w:r>
    </w:p>
    <w:p w14:paraId="1E157B5A" w14:textId="7822A851" w:rsidR="00894C81" w:rsidRPr="00D47F5B" w:rsidRDefault="00AA531E" w:rsidP="00894C81">
      <w:pPr>
        <w:rPr>
          <w:rFonts w:ascii="Times New Roman" w:hAnsi="Times New Roman" w:cs="Times New Roman"/>
          <w:lang w:val="lv-LV"/>
        </w:rPr>
      </w:pPr>
      <w:r w:rsidRPr="00D47F5B">
        <w:rPr>
          <w:lang w:val="lv-LV"/>
        </w:rPr>
        <w:lastRenderedPageBreak/>
        <w:t xml:space="preserve">Lai nodrošinātu investīciju </w:t>
      </w:r>
      <w:r w:rsidRPr="00D47F5B">
        <w:rPr>
          <w:b/>
          <w:lang w:val="lv-LV"/>
        </w:rPr>
        <w:t>atbalstu importa pārtikas preču aizstājošu produktu ražošanai</w:t>
      </w:r>
      <w:r w:rsidR="00496106" w:rsidRPr="00D47F5B">
        <w:rPr>
          <w:b/>
          <w:lang w:val="lv-LV"/>
        </w:rPr>
        <w:t xml:space="preserve"> un pārstrādei,</w:t>
      </w:r>
      <w:r w:rsidR="00894C81" w:rsidRPr="00D47F5B">
        <w:rPr>
          <w:lang w:val="lv-LV"/>
        </w:rPr>
        <w:t xml:space="preserve"> Latvijas Lauku</w:t>
      </w:r>
      <w:r w:rsidR="00894C81" w:rsidRPr="00496106">
        <w:rPr>
          <w:lang w:val="lv-LV"/>
        </w:rPr>
        <w:t xml:space="preserve"> attīstības programmas 2014.</w:t>
      </w:r>
      <w:r w:rsidR="00496106" w:rsidRPr="001A35EF">
        <w:rPr>
          <w:lang w:val="lv-LV"/>
        </w:rPr>
        <w:t>–</w:t>
      </w:r>
      <w:r w:rsidR="00894C81" w:rsidRPr="00496106">
        <w:rPr>
          <w:lang w:val="lv-LV"/>
        </w:rPr>
        <w:t>2020.</w:t>
      </w:r>
      <w:r w:rsidR="00496106" w:rsidRPr="001A35EF">
        <w:rPr>
          <w:lang w:val="lv-LV"/>
        </w:rPr>
        <w:t> </w:t>
      </w:r>
      <w:r w:rsidR="00894C81" w:rsidRPr="00496106">
        <w:rPr>
          <w:lang w:val="lv-LV"/>
        </w:rPr>
        <w:t xml:space="preserve">gadam ietvaros, izmantojot ELFLA finansējumu, tiek sniegts atbalsts ieguldījumiem lauku saimniecībās, lai uzlabotu saimniecību konkurētspēju, ekonomiskos rādītājus un mazinātu tirgus svārstību negatīvo ietekmi, ieguldījumiem uzņēmumos, kas veic lauksaimniecības produktu pārstrādi, </w:t>
      </w:r>
      <w:r w:rsidR="00496106" w:rsidRPr="00D47F5B">
        <w:rPr>
          <w:lang w:val="lv-LV"/>
        </w:rPr>
        <w:t xml:space="preserve">kā arī </w:t>
      </w:r>
      <w:r w:rsidR="00894C81" w:rsidRPr="00D47F5B">
        <w:rPr>
          <w:lang w:val="lv-LV"/>
        </w:rPr>
        <w:t>lauksaimniecībā iz</w:t>
      </w:r>
      <w:r w:rsidR="00496106" w:rsidRPr="00D47F5B">
        <w:rPr>
          <w:lang w:val="lv-LV"/>
        </w:rPr>
        <w:t>mantojamās zemes apsaimniekošanai</w:t>
      </w:r>
      <w:r w:rsidR="00894C81" w:rsidRPr="00D47F5B">
        <w:rPr>
          <w:lang w:val="lv-LV"/>
        </w:rPr>
        <w:t>, izmantojot bioloģiskās lauksaimniecības metodes. Minēto darbību īstenošanai uz 2016.</w:t>
      </w:r>
      <w:r w:rsidR="00496106" w:rsidRPr="00D47F5B">
        <w:rPr>
          <w:lang w:val="lv-LV"/>
        </w:rPr>
        <w:t> </w:t>
      </w:r>
      <w:r w:rsidR="00894C81" w:rsidRPr="00D47F5B">
        <w:rPr>
          <w:lang w:val="lv-LV"/>
        </w:rPr>
        <w:t>gada nogali ir uzņemtas</w:t>
      </w:r>
      <w:r w:rsidR="00894C81" w:rsidRPr="00D47F5B">
        <w:rPr>
          <w:rFonts w:ascii="Times New Roman" w:hAnsi="Times New Roman" w:cs="Times New Roman"/>
          <w:lang w:val="lv-LV"/>
        </w:rPr>
        <w:t xml:space="preserve"> saistības 80,3 mlj. euro apmērā.</w:t>
      </w:r>
    </w:p>
    <w:p w14:paraId="1B6BA0EE" w14:textId="22D0200E" w:rsidR="00894C81" w:rsidRPr="00564AA8" w:rsidRDefault="00AA62BA" w:rsidP="00AA62BA">
      <w:pPr>
        <w:rPr>
          <w:lang w:val="lv-LV"/>
        </w:rPr>
      </w:pPr>
      <w:r w:rsidRPr="00D47F5B">
        <w:rPr>
          <w:lang w:val="lv-LV"/>
        </w:rPr>
        <w:t>C</w:t>
      </w:r>
      <w:r w:rsidR="00894C81" w:rsidRPr="00D47F5B">
        <w:rPr>
          <w:lang w:val="lv-LV"/>
        </w:rPr>
        <w:t>aur Latvijas Lauku attīstības programmu 2014.</w:t>
      </w:r>
      <w:r w:rsidRPr="00D47F5B">
        <w:rPr>
          <w:lang w:val="lv-LV"/>
        </w:rPr>
        <w:t>–</w:t>
      </w:r>
      <w:r w:rsidR="00894C81" w:rsidRPr="00D47F5B">
        <w:rPr>
          <w:lang w:val="lv-LV"/>
        </w:rPr>
        <w:t>2020.</w:t>
      </w:r>
      <w:r w:rsidRPr="00D47F5B">
        <w:rPr>
          <w:lang w:val="lv-LV"/>
        </w:rPr>
        <w:t> </w:t>
      </w:r>
      <w:r w:rsidR="00894C81" w:rsidRPr="00D47F5B">
        <w:rPr>
          <w:lang w:val="lv-LV"/>
        </w:rPr>
        <w:t xml:space="preserve">gadam tiek sniegts atbalsts </w:t>
      </w:r>
      <w:r w:rsidRPr="00D47F5B">
        <w:rPr>
          <w:lang w:val="lv-LV"/>
        </w:rPr>
        <w:t xml:space="preserve">arī </w:t>
      </w:r>
      <w:r w:rsidR="00894C81" w:rsidRPr="00D47F5B">
        <w:rPr>
          <w:lang w:val="lv-LV"/>
        </w:rPr>
        <w:t>uzņēmējdarbības attīstībai, īstenojot sabiedrības virzītu vietējo attīstību. Atbilstoši vietējai attīstības stratēģijai atbalsta pretendenti var pretendēt</w:t>
      </w:r>
      <w:r w:rsidR="00894C81" w:rsidRPr="00595533">
        <w:rPr>
          <w:lang w:val="lv-LV"/>
        </w:rPr>
        <w:t xml:space="preserve"> uz atbalstu vides radīšanai vai labiekārtošanai, kurā tiek realizēta vietējā produkcija (tirdzniecības vietas), un realizācijas veidu ieviešanai. Minēto darbību īstenošanai uz 2016.</w:t>
      </w:r>
      <w:r>
        <w:rPr>
          <w:lang w:val="lv-LV"/>
        </w:rPr>
        <w:t> </w:t>
      </w:r>
      <w:r w:rsidR="00894C81" w:rsidRPr="00595533">
        <w:rPr>
          <w:lang w:val="lv-LV"/>
        </w:rPr>
        <w:t xml:space="preserve">gada nogali no ELFLA ir uzņemtas </w:t>
      </w:r>
      <w:r w:rsidR="00564AA8">
        <w:rPr>
          <w:lang w:val="lv-LV"/>
        </w:rPr>
        <w:t>saistības 6,</w:t>
      </w:r>
      <w:r>
        <w:rPr>
          <w:lang w:val="lv-LV"/>
        </w:rPr>
        <w:t>4 mlj</w:t>
      </w:r>
      <w:r w:rsidR="00564AA8">
        <w:rPr>
          <w:lang w:val="lv-LV"/>
        </w:rPr>
        <w:t xml:space="preserve"> euro apmērā.</w:t>
      </w:r>
    </w:p>
    <w:p w14:paraId="3BC92B6D" w14:textId="0565B19C" w:rsidR="00AD274B" w:rsidRPr="00595533" w:rsidRDefault="00C66DDB" w:rsidP="00A4452A">
      <w:pPr>
        <w:rPr>
          <w:lang w:val="lv-LV"/>
        </w:rPr>
      </w:pPr>
      <w:r>
        <w:rPr>
          <w:lang w:val="lv-LV"/>
        </w:rPr>
        <w:t xml:space="preserve">Lai sekmētu </w:t>
      </w:r>
      <w:r w:rsidRPr="00D8611E">
        <w:rPr>
          <w:b/>
          <w:lang w:val="lv-LV"/>
        </w:rPr>
        <w:t>investoru piesaisti reģioniem</w:t>
      </w:r>
      <w:r w:rsidR="00AD274B" w:rsidRPr="00595533">
        <w:rPr>
          <w:lang w:val="lv-LV"/>
        </w:rPr>
        <w:t>, izmanto</w:t>
      </w:r>
      <w:r>
        <w:rPr>
          <w:lang w:val="lv-LV"/>
        </w:rPr>
        <w:t>j</w:t>
      </w:r>
      <w:r w:rsidR="00AD274B" w:rsidRPr="00595533">
        <w:rPr>
          <w:lang w:val="lv-LV"/>
        </w:rPr>
        <w:t xml:space="preserve">ot </w:t>
      </w:r>
      <w:r w:rsidR="00AD274B" w:rsidRPr="00D8611E">
        <w:rPr>
          <w:lang w:val="lv-LV"/>
        </w:rPr>
        <w:t>ES fondu atbalstu</w:t>
      </w:r>
      <w:r w:rsidR="00AD274B" w:rsidRPr="00595533">
        <w:rPr>
          <w:rStyle w:val="FootnoteReference"/>
          <w:rFonts w:ascii="Times New Roman" w:hAnsi="Times New Roman" w:cs="Times New Roman"/>
          <w:sz w:val="24"/>
          <w:lang w:val="lv-LV"/>
        </w:rPr>
        <w:footnoteReference w:id="63"/>
      </w:r>
      <w:r w:rsidR="00AD274B" w:rsidRPr="00595533">
        <w:rPr>
          <w:lang w:val="lv-LV"/>
        </w:rPr>
        <w:t xml:space="preserve"> </w:t>
      </w:r>
      <w:r w:rsidR="00AD274B" w:rsidRPr="00595533">
        <w:rPr>
          <w:rStyle w:val="FootnoteReference"/>
          <w:rFonts w:ascii="Times New Roman" w:hAnsi="Times New Roman" w:cs="Times New Roman"/>
          <w:sz w:val="24"/>
          <w:lang w:val="lv-LV"/>
        </w:rPr>
        <w:footnoteReference w:id="64"/>
      </w:r>
      <w:r w:rsidR="00AD274B" w:rsidRPr="00595533">
        <w:rPr>
          <w:lang w:val="lv-LV"/>
        </w:rPr>
        <w:t xml:space="preserve"> līdz 2022.</w:t>
      </w:r>
      <w:r>
        <w:rPr>
          <w:lang w:val="lv-LV"/>
        </w:rPr>
        <w:t> </w:t>
      </w:r>
      <w:r w:rsidR="00AD274B" w:rsidRPr="00595533">
        <w:rPr>
          <w:lang w:val="lv-LV"/>
        </w:rPr>
        <w:t xml:space="preserve">gadam ne </w:t>
      </w:r>
      <w:r>
        <w:rPr>
          <w:lang w:val="lv-LV"/>
        </w:rPr>
        <w:t>m</w:t>
      </w:r>
      <w:r w:rsidR="00AD274B" w:rsidRPr="00595533">
        <w:rPr>
          <w:lang w:val="lv-LV"/>
        </w:rPr>
        <w:t>azāk kā 303</w:t>
      </w:r>
      <w:r>
        <w:rPr>
          <w:lang w:val="lv-LV"/>
        </w:rPr>
        <w:t>,</w:t>
      </w:r>
      <w:r w:rsidR="00AD274B" w:rsidRPr="00595533">
        <w:rPr>
          <w:lang w:val="lv-LV"/>
        </w:rPr>
        <w:t>92</w:t>
      </w:r>
      <w:r>
        <w:rPr>
          <w:lang w:val="lv-LV"/>
        </w:rPr>
        <w:t xml:space="preserve"> mlj</w:t>
      </w:r>
      <w:r w:rsidR="00AD274B" w:rsidRPr="00595533">
        <w:rPr>
          <w:lang w:val="lv-LV"/>
        </w:rPr>
        <w:t xml:space="preserve"> </w:t>
      </w:r>
      <w:r w:rsidR="00AD274B" w:rsidRPr="00C66DDB">
        <w:rPr>
          <w:lang w:val="lv-LV"/>
        </w:rPr>
        <w:t>euro</w:t>
      </w:r>
      <w:r w:rsidRPr="00C66DDB">
        <w:rPr>
          <w:lang w:val="lv-LV"/>
        </w:rPr>
        <w:t xml:space="preserve"> apmērā</w:t>
      </w:r>
      <w:r>
        <w:rPr>
          <w:lang w:val="lv-LV"/>
        </w:rPr>
        <w:t>,</w:t>
      </w:r>
      <w:r w:rsidR="00AD274B" w:rsidRPr="00595533">
        <w:rPr>
          <w:lang w:val="lv-LV"/>
        </w:rPr>
        <w:t xml:space="preserve"> paredzēt</w:t>
      </w:r>
      <w:r>
        <w:rPr>
          <w:lang w:val="lv-LV"/>
        </w:rPr>
        <w:t>i ieguldījumi</w:t>
      </w:r>
      <w:r w:rsidR="00AD274B" w:rsidRPr="00595533">
        <w:rPr>
          <w:lang w:val="lv-LV"/>
        </w:rPr>
        <w:t xml:space="preserve"> publiskās infrastruktūras un inženierkomunikāciju attīstībā reģionos, t.i., uzņēmējdarbībai nepieciešamo teritoriju, ēku un to infrastruktūras, pievedceļu, inženierkomunikāciju atzaru ierīkošana</w:t>
      </w:r>
      <w:r>
        <w:rPr>
          <w:lang w:val="lv-LV"/>
        </w:rPr>
        <w:t xml:space="preserve">i un to jaudas palielināšanai. </w:t>
      </w:r>
      <w:r w:rsidR="00AD274B" w:rsidRPr="00595533">
        <w:rPr>
          <w:lang w:val="lv-LV"/>
        </w:rPr>
        <w:t xml:space="preserve">ES fondu atbalsta saņēmēji </w:t>
      </w:r>
      <w:r w:rsidR="00D8611E">
        <w:rPr>
          <w:lang w:val="lv-LV"/>
        </w:rPr>
        <w:t>ir</w:t>
      </w:r>
      <w:r w:rsidR="00AD274B" w:rsidRPr="00595533">
        <w:rPr>
          <w:lang w:val="lv-LV"/>
        </w:rPr>
        <w:t xml:space="preserve"> nacionālas nozīmes attīstības centru pašvaldības, reģionālas nozīmes attīstības centru pašvaldības, kā arī 89 novadu pašvaldības. Ieguldījumu rezultātā līdz 2023.</w:t>
      </w:r>
      <w:r w:rsidR="00D8611E">
        <w:rPr>
          <w:lang w:val="lv-LV"/>
        </w:rPr>
        <w:t> </w:t>
      </w:r>
      <w:r w:rsidR="00AD274B" w:rsidRPr="00595533">
        <w:rPr>
          <w:lang w:val="lv-LV"/>
        </w:rPr>
        <w:t>gadam plānots radīt vismaz 4</w:t>
      </w:r>
      <w:r w:rsidR="00D8611E">
        <w:rPr>
          <w:lang w:val="lv-LV"/>
        </w:rPr>
        <w:t> </w:t>
      </w:r>
      <w:r w:rsidR="00AD274B" w:rsidRPr="00595533">
        <w:rPr>
          <w:lang w:val="lv-LV"/>
        </w:rPr>
        <w:t xml:space="preserve">985 jaunas darba vietas privātajā sektorā reģionos, piesaistīt komersantu nefinanšu investīcijas vismaz 303,9 mlj </w:t>
      </w:r>
      <w:r w:rsidR="00AD274B" w:rsidRPr="00595533">
        <w:rPr>
          <w:i/>
          <w:lang w:val="lv-LV"/>
        </w:rPr>
        <w:t>euro</w:t>
      </w:r>
      <w:r w:rsidR="00AD274B" w:rsidRPr="00595533">
        <w:rPr>
          <w:lang w:val="lv-LV"/>
        </w:rPr>
        <w:t xml:space="preserve"> apmērā un sakārtot degradētās teritorijas vismaz 563 ha platībā. 2017.</w:t>
      </w:r>
      <w:r w:rsidR="00D8611E">
        <w:rPr>
          <w:lang w:val="lv-LV"/>
        </w:rPr>
        <w:t> </w:t>
      </w:r>
      <w:r w:rsidR="00AD274B" w:rsidRPr="00595533">
        <w:rPr>
          <w:lang w:val="lv-LV"/>
        </w:rPr>
        <w:t>gadā ir apstiprināti projekti un noslēgti līgumi par kopējo summu 22,07 mlj</w:t>
      </w:r>
      <w:r w:rsidR="00AD274B">
        <w:rPr>
          <w:lang w:val="lv-LV"/>
        </w:rPr>
        <w:t xml:space="preserve"> euro.</w:t>
      </w:r>
    </w:p>
    <w:p w14:paraId="2F93CE10" w14:textId="6F97B847" w:rsidR="00AD274B" w:rsidRPr="00595533" w:rsidRDefault="00AD274B" w:rsidP="00A4452A">
      <w:pPr>
        <w:rPr>
          <w:lang w:val="lv-LV"/>
        </w:rPr>
      </w:pPr>
      <w:r w:rsidRPr="00A4452A">
        <w:rPr>
          <w:lang w:val="lv-LV"/>
        </w:rPr>
        <w:t>I</w:t>
      </w:r>
      <w:r w:rsidR="00D8611E" w:rsidRPr="00A4452A">
        <w:rPr>
          <w:lang w:val="lv-LV"/>
        </w:rPr>
        <w:t>nvestīciju piesaistei tāpat i</w:t>
      </w:r>
      <w:r w:rsidRPr="00A4452A">
        <w:rPr>
          <w:lang w:val="lv-LV"/>
        </w:rPr>
        <w:t>r izveidota Latgales</w:t>
      </w:r>
      <w:r w:rsidRPr="00595533">
        <w:rPr>
          <w:b/>
          <w:lang w:val="lv-LV"/>
        </w:rPr>
        <w:t xml:space="preserve"> </w:t>
      </w:r>
      <w:r w:rsidRPr="00595533">
        <w:rPr>
          <w:lang w:val="lv-LV"/>
        </w:rPr>
        <w:t>speciālā ekonomiskā zona</w:t>
      </w:r>
      <w:r w:rsidRPr="00595533">
        <w:rPr>
          <w:b/>
          <w:lang w:val="lv-LV"/>
        </w:rPr>
        <w:t xml:space="preserve"> </w:t>
      </w:r>
      <w:r w:rsidRPr="00595533">
        <w:rPr>
          <w:lang w:val="lv-LV"/>
        </w:rPr>
        <w:t>un izstrādāts regulējums uzņēmējdarbības atbalstam</w:t>
      </w:r>
      <w:r w:rsidRPr="00595533">
        <w:rPr>
          <w:rStyle w:val="FootnoteReference"/>
          <w:rFonts w:ascii="Times New Roman" w:hAnsi="Times New Roman" w:cs="Times New Roman"/>
          <w:sz w:val="24"/>
          <w:lang w:val="lv-LV"/>
        </w:rPr>
        <w:footnoteReference w:id="65"/>
      </w:r>
      <w:r w:rsidRPr="00595533">
        <w:rPr>
          <w:lang w:val="lv-LV"/>
        </w:rPr>
        <w:t>. Uz 2017.</w:t>
      </w:r>
      <w:r w:rsidR="00D8611E" w:rsidRPr="00D8611E">
        <w:rPr>
          <w:lang w:val="lv-LV"/>
        </w:rPr>
        <w:t> </w:t>
      </w:r>
      <w:r w:rsidRPr="00595533">
        <w:rPr>
          <w:lang w:val="lv-LV"/>
        </w:rPr>
        <w:t>gada 1.</w:t>
      </w:r>
      <w:r w:rsidR="00D8611E">
        <w:rPr>
          <w:lang w:val="lv-LV"/>
        </w:rPr>
        <w:t> </w:t>
      </w:r>
      <w:r w:rsidRPr="00595533">
        <w:rPr>
          <w:lang w:val="lv-LV"/>
        </w:rPr>
        <w:t xml:space="preserve">augustu ir atbalstīti </w:t>
      </w:r>
      <w:r w:rsidR="00D8611E">
        <w:rPr>
          <w:lang w:val="lv-LV"/>
        </w:rPr>
        <w:t>seši</w:t>
      </w:r>
      <w:r w:rsidRPr="00595533">
        <w:rPr>
          <w:lang w:val="lv-LV"/>
        </w:rPr>
        <w:t xml:space="preserve"> projekti, plānojot 1</w:t>
      </w:r>
      <w:r w:rsidR="00D8611E">
        <w:rPr>
          <w:lang w:val="lv-LV"/>
        </w:rPr>
        <w:t>,</w:t>
      </w:r>
      <w:r w:rsidRPr="00595533">
        <w:rPr>
          <w:lang w:val="lv-LV"/>
        </w:rPr>
        <w:t>06</w:t>
      </w:r>
      <w:r w:rsidR="00D8611E">
        <w:rPr>
          <w:lang w:val="lv-LV"/>
        </w:rPr>
        <w:t xml:space="preserve"> mlj</w:t>
      </w:r>
      <w:r w:rsidRPr="00595533">
        <w:rPr>
          <w:lang w:val="lv-LV"/>
        </w:rPr>
        <w:t xml:space="preserve"> </w:t>
      </w:r>
      <w:r w:rsidR="00D8611E">
        <w:rPr>
          <w:lang w:val="lv-LV"/>
        </w:rPr>
        <w:t>euro</w:t>
      </w:r>
      <w:r w:rsidRPr="00595533">
        <w:rPr>
          <w:lang w:val="lv-LV"/>
        </w:rPr>
        <w:t xml:space="preserve"> privāto investīciju</w:t>
      </w:r>
      <w:r w:rsidR="00D8611E">
        <w:rPr>
          <w:lang w:val="lv-LV"/>
        </w:rPr>
        <w:t xml:space="preserve"> piesaisti</w:t>
      </w:r>
      <w:r w:rsidRPr="00595533">
        <w:rPr>
          <w:lang w:val="lv-LV"/>
        </w:rPr>
        <w:t xml:space="preserve"> un 35 jaunas darba vietas. MK ir atbalstījis priekšlikumu iedzīvotāju ienākuma nodokļa atvieglojumu piešķiršanai Latgales SEZ komersantiem. </w:t>
      </w:r>
    </w:p>
    <w:p w14:paraId="132A32C7" w14:textId="45AE9273" w:rsidR="00AD274B" w:rsidRDefault="00A4452A" w:rsidP="00A4452A">
      <w:pPr>
        <w:rPr>
          <w:lang w:val="lv-LV"/>
        </w:rPr>
      </w:pPr>
      <w:r>
        <w:rPr>
          <w:lang w:val="lv-LV"/>
        </w:rPr>
        <w:t xml:space="preserve">Vienlaikus </w:t>
      </w:r>
      <w:r w:rsidR="00AD274B" w:rsidRPr="00595533">
        <w:rPr>
          <w:lang w:val="lv-LV"/>
        </w:rPr>
        <w:t>VARAM turpina darbu, lai izstrādātu priekšlikumus normatīvo aktu uzlabojumiem, kas dotu pašvaldībām plašākas iespē</w:t>
      </w:r>
      <w:r w:rsidR="00AD274B">
        <w:rPr>
          <w:lang w:val="lv-LV"/>
        </w:rPr>
        <w:t>jas sniegt atbalstu uzņēmējiem.</w:t>
      </w:r>
      <w:r>
        <w:rPr>
          <w:lang w:val="lv-LV"/>
        </w:rPr>
        <w:t xml:space="preserve"> Taču nākotnē būtu nepieciešams r</w:t>
      </w:r>
      <w:r w:rsidR="00AD274B" w:rsidRPr="00595533">
        <w:rPr>
          <w:lang w:val="lv-LV"/>
        </w:rPr>
        <w:t>ast papildus finansējumu reģionālās attīstības pasākumiem, ņemot vērā pašvaldību pieprasījumu pēc finansējuma uzņēmējdarbību v</w:t>
      </w:r>
      <w:r w:rsidR="00AE6A89">
        <w:rPr>
          <w:lang w:val="lv-LV"/>
        </w:rPr>
        <w:t>eicinošo projektu īstenošanai.</w:t>
      </w:r>
    </w:p>
    <w:p w14:paraId="1D73379B" w14:textId="3226B761" w:rsidR="00AE6A89" w:rsidRPr="00296FDA" w:rsidRDefault="00AE6A89" w:rsidP="00296FDA">
      <w:pPr>
        <w:rPr>
          <w:lang w:val="lv-LV"/>
        </w:rPr>
      </w:pPr>
      <w:r w:rsidRPr="00296FDA">
        <w:rPr>
          <w:lang w:val="lv-LV"/>
        </w:rPr>
        <w:t xml:space="preserve">2016. gada 16. novembrī tika apstiprināts Valsts ilgtermiņa tematiskais plānojums Baltijas jūras piekrastes publiskās infrastruktūras attīstībai (Piekrastes plānojums), kas kalpos kā instruments piekrastes investīciju koordinēšanai. </w:t>
      </w:r>
      <w:r w:rsidRPr="00296FDA">
        <w:rPr>
          <w:i/>
          <w:lang w:val="lv-LV"/>
        </w:rPr>
        <w:t xml:space="preserve"> </w:t>
      </w:r>
      <w:r w:rsidRPr="00296FDA">
        <w:rPr>
          <w:b/>
          <w:lang w:val="lv-LV"/>
        </w:rPr>
        <w:t>Mazās ostas Latvijā</w:t>
      </w:r>
      <w:r w:rsidRPr="00296FDA">
        <w:rPr>
          <w:lang w:val="lv-LV"/>
        </w:rPr>
        <w:t xml:space="preserve"> ir nozīmīgi attīstības virzītāji attiecīgo pašvaldību teritorijās, ekonomiskās aktivitātes tajās saistāmas ar kravu pārkraušanas pakalpojumiem, zvejniecību un zivjrūpniecību, kā arī atsevišķās ostās ar jahtu tūrisma un piestātņu pakalpojumiem. Kravu apgrozījums mazajās ostās pēdējo gadu laikā bijis mainīgs, tomēr pēdējo piecu gadu griezumā kravu apjoms pieaudzis no 1 364 tūkstošiem tonnu 2012. gadā līdz 1 557 tūkstošiem tonnu 2016. gadā. ES fondu atbalsta programmu ietvaros tiek realizēta uzņēmējdarbību </w:t>
      </w:r>
      <w:r w:rsidRPr="00296FDA">
        <w:rPr>
          <w:lang w:val="lv-LV"/>
        </w:rPr>
        <w:lastRenderedPageBreak/>
        <w:t xml:space="preserve">veicinošas publiskās infrastruktūras izbūve un rekonstrukcija piekrastē, tai skaitā sniedzot atbalstu jahtu ostu infrastruktūras un ostu tīkla attīstībai. Vairums atbalsta aktivitāšu mazajās ostās tiek veiktas saskaņā ar plānoto, vienlaikus jāatzīmē, ka mazajās ostās nav plānoti pasākumi, kuru īstenošanai nebija garantēta finansējuma pieejamība (piemēram, mazo ostu infrastruktūras attīstībai būtu nepieciešams veikt hidrotehnisko būvju atjaunošanu). </w:t>
      </w:r>
    </w:p>
    <w:p w14:paraId="6828EA22" w14:textId="272BD255" w:rsidR="00AE6A89" w:rsidRPr="00296FDA" w:rsidRDefault="00AE6A89" w:rsidP="00296FDA">
      <w:pPr>
        <w:rPr>
          <w:lang w:val="lv-LV"/>
        </w:rPr>
      </w:pPr>
      <w:r w:rsidRPr="00296FDA">
        <w:rPr>
          <w:lang w:val="lv-LV"/>
        </w:rPr>
        <w:t>Uzņēmējdarbību veicinošas aktivitātes tiek īstenotas E</w:t>
      </w:r>
      <w:r w:rsidR="000C5AE1" w:rsidRPr="00296FDA">
        <w:rPr>
          <w:lang w:val="lv-LV"/>
        </w:rPr>
        <w:t>i</w:t>
      </w:r>
      <w:r w:rsidRPr="00296FDA">
        <w:rPr>
          <w:lang w:val="lv-LV"/>
        </w:rPr>
        <w:t>ropas Jūrlietu un Zivsaimniecības fonda atbalstīto pasākumu ietvaros, tai skaitā atbalstot zvejas ostu un zivju izkraušanas vietu attīstību, ieguldījumus zvejas un akvakultūras produktu apstrādē, kā arī produktīvus ieguldījumus akvakultūrā. Drīzumā tiks uzsāktas ES fondu darbības programmas aktivitātes, kuru mērķis ir piekrastes teritorijās saglabāt, aizsargāt un attīstīt nozīmīgu kultūras un dabas mantojumu, kā arī attīstīt ar to saistītos pakalpojumus.</w:t>
      </w:r>
    </w:p>
    <w:p w14:paraId="1420B438" w14:textId="5F7A138F" w:rsidR="00AE6A89" w:rsidRDefault="00AE6A89" w:rsidP="00A4452A">
      <w:pPr>
        <w:rPr>
          <w:lang w:val="lv-LV"/>
        </w:rPr>
      </w:pPr>
      <w:r w:rsidRPr="00296FDA">
        <w:rPr>
          <w:lang w:val="lv-LV"/>
        </w:rPr>
        <w:t>Turpmākai uzdevuma īstenošanai nepieciešama piekrastes attīstībā iesaistīto institūciju un pašvaldību sadarbība Piekrastes plānojuma īstenošanā, racionāli izmantojot pieejamo finansējumu, tai skaitā turpinot investēt piekrastes infrastruktūras izveidē, mazo ostu infrastruktūras (hidrotehnisko būvju atjaunošana un akvatorija dziļuma uzturēšana) pilnveidošanā un konkurētspējīgu tūrisma produktu veidošanā un mārketingā.</w:t>
      </w:r>
    </w:p>
    <w:p w14:paraId="39A5CB7C" w14:textId="2937E27E" w:rsidR="00137CA1" w:rsidRPr="00137CA1" w:rsidRDefault="00137CA1" w:rsidP="00A4452A">
      <w:pPr>
        <w:rPr>
          <w:lang w:val="lv-LV"/>
        </w:rPr>
      </w:pPr>
      <w:r w:rsidRPr="00137CA1">
        <w:rPr>
          <w:b/>
          <w:lang w:val="lv-LV"/>
        </w:rPr>
        <w:t>Pārrobežu un pierobežas sadarbības</w:t>
      </w:r>
      <w:r>
        <w:rPr>
          <w:lang w:val="lv-LV"/>
        </w:rPr>
        <w:t xml:space="preserve"> veicināšanai nolūkā uzlabot ekonomisko aktivitāti i</w:t>
      </w:r>
      <w:r w:rsidRPr="00595533">
        <w:rPr>
          <w:lang w:val="lv-LV"/>
        </w:rPr>
        <w:t xml:space="preserve">r nodrošināta tiesiskā ietvara un normatīvo aktu izstrāde un apstiprināšana </w:t>
      </w:r>
      <w:r>
        <w:rPr>
          <w:lang w:val="lv-LV"/>
        </w:rPr>
        <w:t>Ei</w:t>
      </w:r>
      <w:r w:rsidRPr="00595533">
        <w:rPr>
          <w:lang w:val="lv-LV"/>
        </w:rPr>
        <w:t>ropas Strukturālo un investīciju fondu mērķa “</w:t>
      </w:r>
      <w:r>
        <w:rPr>
          <w:lang w:val="lv-LV"/>
        </w:rPr>
        <w:t>Ei</w:t>
      </w:r>
      <w:r w:rsidRPr="00595533">
        <w:rPr>
          <w:lang w:val="lv-LV"/>
        </w:rPr>
        <w:t>ropas teritoriālā sadarbība” programmās 2014.</w:t>
      </w:r>
      <w:r>
        <w:rPr>
          <w:lang w:val="lv-LV"/>
        </w:rPr>
        <w:t>–</w:t>
      </w:r>
      <w:r w:rsidRPr="00595533">
        <w:rPr>
          <w:lang w:val="lv-LV"/>
        </w:rPr>
        <w:t>2020.</w:t>
      </w:r>
      <w:r>
        <w:rPr>
          <w:lang w:val="lv-LV"/>
        </w:rPr>
        <w:t> </w:t>
      </w:r>
      <w:r w:rsidRPr="00595533">
        <w:rPr>
          <w:lang w:val="lv-LV"/>
        </w:rPr>
        <w:t xml:space="preserve">gadam (ETS programmu) ieviešanai Latvijā. Nodrošināta </w:t>
      </w:r>
      <w:r>
        <w:rPr>
          <w:lang w:val="lv-LV"/>
        </w:rPr>
        <w:t>desmit</w:t>
      </w:r>
      <w:r w:rsidRPr="00595533">
        <w:rPr>
          <w:lang w:val="lv-LV"/>
        </w:rPr>
        <w:t xml:space="preserve"> sadarbības programmu dokumentu izstrāde, publiskā apspriešana, virzība apstiprināšanai Ministru kabinetā un </w:t>
      </w:r>
      <w:r>
        <w:rPr>
          <w:lang w:val="lv-LV"/>
        </w:rPr>
        <w:t>Ei</w:t>
      </w:r>
      <w:r w:rsidRPr="00595533">
        <w:rPr>
          <w:lang w:val="lv-LV"/>
        </w:rPr>
        <w:t>ropas Komisijā. Starptautiskā līmenī panāktas un noslēgtas vienošanās par programmu pārvaldības, finanšu un kontroles sistēmām, izstrādāti nosacījumi ETS programmu projektu konkursu norisei, atlasei un īstenošanai. ETS programmu un projektu īstenošan</w:t>
      </w:r>
      <w:r>
        <w:rPr>
          <w:lang w:val="lv-LV"/>
        </w:rPr>
        <w:t>a notiek atbilstoši plānotajam.</w:t>
      </w:r>
    </w:p>
    <w:p w14:paraId="58D72288" w14:textId="3AE7E583" w:rsidR="00DA600B" w:rsidRPr="00AE6A89" w:rsidRDefault="00AE6A89" w:rsidP="00DA600B">
      <w:pPr>
        <w:rPr>
          <w:b/>
          <w:u w:val="single"/>
          <w:lang w:val="lv-LV"/>
        </w:rPr>
      </w:pPr>
      <w:r w:rsidRPr="00AE6A89">
        <w:rPr>
          <w:b/>
          <w:u w:val="single"/>
          <w:lang w:val="lv-LV"/>
        </w:rPr>
        <w:t>Rīga kā reģiona metropole</w:t>
      </w:r>
    </w:p>
    <w:p w14:paraId="794C10C7" w14:textId="77777777" w:rsidR="00101F75" w:rsidRDefault="00BB4E55" w:rsidP="00DA600B">
      <w:pPr>
        <w:rPr>
          <w:lang w:val="lv-LV"/>
        </w:rPr>
      </w:pPr>
      <w:r>
        <w:rPr>
          <w:lang w:val="lv-LV"/>
        </w:rPr>
        <w:t xml:space="preserve">Attīstot </w:t>
      </w:r>
      <w:r w:rsidRPr="00BB4E55">
        <w:rPr>
          <w:b/>
          <w:lang w:val="lv-LV"/>
        </w:rPr>
        <w:t>Rīgu kā reģiona metropoli</w:t>
      </w:r>
      <w:r>
        <w:rPr>
          <w:lang w:val="lv-LV"/>
        </w:rPr>
        <w:t>, izmantojot</w:t>
      </w:r>
      <w:r w:rsidR="00894C81" w:rsidRPr="00595533">
        <w:rPr>
          <w:lang w:val="lv-LV"/>
        </w:rPr>
        <w:t xml:space="preserve"> </w:t>
      </w:r>
      <w:r w:rsidR="00894C81" w:rsidRPr="00BB4E55">
        <w:rPr>
          <w:lang w:val="lv-LV"/>
        </w:rPr>
        <w:t>ES fondu atbalstu</w:t>
      </w:r>
      <w:r w:rsidR="00894C81" w:rsidRPr="00595533">
        <w:rPr>
          <w:rStyle w:val="FootnoteReference"/>
          <w:rFonts w:ascii="Times New Roman" w:hAnsi="Times New Roman" w:cs="Times New Roman"/>
          <w:sz w:val="24"/>
          <w:lang w:val="lv-LV"/>
        </w:rPr>
        <w:footnoteReference w:id="66"/>
      </w:r>
      <w:r w:rsidR="00894C81" w:rsidRPr="00595533">
        <w:rPr>
          <w:lang w:val="lv-LV"/>
        </w:rPr>
        <w:t xml:space="preserve"> </w:t>
      </w:r>
      <w:r w:rsidR="00894C81" w:rsidRPr="00595533">
        <w:rPr>
          <w:rStyle w:val="FootnoteReference"/>
          <w:rFonts w:ascii="Times New Roman" w:hAnsi="Times New Roman" w:cs="Times New Roman"/>
          <w:sz w:val="24"/>
          <w:lang w:val="lv-LV"/>
        </w:rPr>
        <w:footnoteReference w:id="67"/>
      </w:r>
      <w:r w:rsidR="00894C81" w:rsidRPr="00595533">
        <w:rPr>
          <w:lang w:val="lv-LV"/>
        </w:rPr>
        <w:t xml:space="preserve">, </w:t>
      </w:r>
      <w:r>
        <w:rPr>
          <w:lang w:val="lv-LV"/>
        </w:rPr>
        <w:t>t</w:t>
      </w:r>
      <w:r w:rsidR="00894C81" w:rsidRPr="00595533">
        <w:rPr>
          <w:lang w:val="lv-LV"/>
        </w:rPr>
        <w:t xml:space="preserve">urpmāko trīs gadu periodā vislielāko ieguldījumu sniegs projekts “Rīgas tramvaja infrastruktūras attīstība”, </w:t>
      </w:r>
      <w:r w:rsidR="005B2641">
        <w:rPr>
          <w:lang w:val="lv-LV"/>
        </w:rPr>
        <w:t xml:space="preserve">ar kura īstenošanu </w:t>
      </w:r>
      <w:r w:rsidR="005B2641" w:rsidRPr="00595533">
        <w:rPr>
          <w:lang w:val="lv-LV"/>
        </w:rPr>
        <w:t xml:space="preserve">ievērojami </w:t>
      </w:r>
      <w:r w:rsidR="005B2641">
        <w:rPr>
          <w:lang w:val="lv-LV"/>
        </w:rPr>
        <w:t xml:space="preserve">tiks </w:t>
      </w:r>
      <w:r w:rsidR="005B2641" w:rsidRPr="00595533">
        <w:rPr>
          <w:lang w:val="lv-LV"/>
        </w:rPr>
        <w:t>paaugstināt</w:t>
      </w:r>
      <w:r w:rsidR="005B2641">
        <w:rPr>
          <w:lang w:val="lv-LV"/>
        </w:rPr>
        <w:t>a</w:t>
      </w:r>
      <w:r w:rsidR="005B2641" w:rsidRPr="00595533">
        <w:rPr>
          <w:lang w:val="lv-LV"/>
        </w:rPr>
        <w:t xml:space="preserve"> sabiedriskā transporta nozīm</w:t>
      </w:r>
      <w:r w:rsidR="005B2641">
        <w:rPr>
          <w:lang w:val="lv-LV"/>
        </w:rPr>
        <w:t>e</w:t>
      </w:r>
      <w:r w:rsidR="005B2641" w:rsidRPr="00595533">
        <w:rPr>
          <w:lang w:val="lv-LV"/>
        </w:rPr>
        <w:t xml:space="preserve"> kopējā Rīgas pilsētas transporta sistēmā, paredzot sliežu transporta prioritāti sabiedriskā transporta sistēmā. </w:t>
      </w:r>
      <w:r w:rsidR="005B2641">
        <w:rPr>
          <w:lang w:val="lv-LV"/>
        </w:rPr>
        <w:t xml:space="preserve">Projekta īstenošanas gaitā tiks izveidota </w:t>
      </w:r>
      <w:r w:rsidR="005B2641" w:rsidRPr="00595533">
        <w:rPr>
          <w:lang w:val="lv-LV"/>
        </w:rPr>
        <w:t>tram</w:t>
      </w:r>
      <w:r w:rsidR="00101F75">
        <w:rPr>
          <w:lang w:val="lv-LV"/>
        </w:rPr>
        <w:t xml:space="preserve">vaja līnija uz Skanstes rajonu, </w:t>
      </w:r>
      <w:r w:rsidR="005B2641" w:rsidRPr="00595533">
        <w:rPr>
          <w:lang w:val="lv-LV"/>
        </w:rPr>
        <w:t>uzbūvē</w:t>
      </w:r>
      <w:r w:rsidR="00101F75">
        <w:rPr>
          <w:lang w:val="lv-LV"/>
        </w:rPr>
        <w:t>jo</w:t>
      </w:r>
      <w:r w:rsidR="005B2641" w:rsidRPr="00595533">
        <w:rPr>
          <w:lang w:val="lv-LV"/>
        </w:rPr>
        <w:t xml:space="preserve">t jaunu </w:t>
      </w:r>
      <w:r w:rsidR="00101F75">
        <w:rPr>
          <w:lang w:val="lv-LV"/>
        </w:rPr>
        <w:t xml:space="preserve">tramvaja līniju 3,65 </w:t>
      </w:r>
      <w:r w:rsidR="005B2641" w:rsidRPr="00595533">
        <w:rPr>
          <w:lang w:val="lv-LV"/>
        </w:rPr>
        <w:t>km garumā, rekonstruē</w:t>
      </w:r>
      <w:r w:rsidR="00101F75">
        <w:rPr>
          <w:lang w:val="lv-LV"/>
        </w:rPr>
        <w:t>jo</w:t>
      </w:r>
      <w:r w:rsidR="005B2641" w:rsidRPr="00595533">
        <w:rPr>
          <w:lang w:val="lv-LV"/>
        </w:rPr>
        <w:t>t esošo tramvaja līniju 3 km garumā un iegādā</w:t>
      </w:r>
      <w:r w:rsidR="00101F75">
        <w:rPr>
          <w:lang w:val="lv-LV"/>
        </w:rPr>
        <w:t>jot</w:t>
      </w:r>
      <w:r w:rsidR="005B2641" w:rsidRPr="00595533">
        <w:rPr>
          <w:lang w:val="lv-LV"/>
        </w:rPr>
        <w:t>ies 12 jaunus zemās grīdas tramvajus. Kopējā</w:t>
      </w:r>
      <w:r w:rsidR="00101F75">
        <w:rPr>
          <w:lang w:val="lv-LV"/>
        </w:rPr>
        <w:t>s projekta izmaksas plānotas 97,4 mlj</w:t>
      </w:r>
      <w:r w:rsidR="005B2641" w:rsidRPr="00595533">
        <w:rPr>
          <w:lang w:val="lv-LV"/>
        </w:rPr>
        <w:t xml:space="preserve"> euro</w:t>
      </w:r>
      <w:r w:rsidR="00101F75">
        <w:rPr>
          <w:lang w:val="lv-LV"/>
        </w:rPr>
        <w:t xml:space="preserve"> apmērā</w:t>
      </w:r>
      <w:r w:rsidR="005B2641" w:rsidRPr="00595533">
        <w:rPr>
          <w:lang w:val="lv-LV"/>
        </w:rPr>
        <w:t xml:space="preserve">. Pašlaik ir pieņemti attiecīgie Ministru kabineta noteikumi, kuri nosaka kārtību sliežu transporta, tai skaitā šī projekta, </w:t>
      </w:r>
      <w:r w:rsidR="00101F75">
        <w:rPr>
          <w:lang w:val="lv-LV"/>
        </w:rPr>
        <w:t>izbūvei. P</w:t>
      </w:r>
      <w:r w:rsidR="005B2641" w:rsidRPr="00595533">
        <w:rPr>
          <w:lang w:val="lv-LV"/>
        </w:rPr>
        <w:t>aredzams, ka būvniecības darbi tiks uzsākti 2018.</w:t>
      </w:r>
      <w:r w:rsidR="00101F75">
        <w:rPr>
          <w:lang w:val="lv-LV"/>
        </w:rPr>
        <w:t> </w:t>
      </w:r>
      <w:r w:rsidR="005B2641" w:rsidRPr="00595533">
        <w:rPr>
          <w:lang w:val="lv-LV"/>
        </w:rPr>
        <w:t>gadā.</w:t>
      </w:r>
    </w:p>
    <w:p w14:paraId="12491320" w14:textId="3B2FD0D8" w:rsidR="00DA600B" w:rsidRPr="001A35EF" w:rsidRDefault="00DA600B" w:rsidP="00DA600B">
      <w:pPr>
        <w:rPr>
          <w:lang w:val="lv-LV"/>
        </w:rPr>
      </w:pPr>
      <w:r w:rsidRPr="001A35EF">
        <w:rPr>
          <w:lang w:val="lv-LV"/>
        </w:rPr>
        <w:t xml:space="preserve">Tāpat </w:t>
      </w:r>
      <w:r w:rsidRPr="00595533">
        <w:rPr>
          <w:lang w:val="lv-LV"/>
        </w:rPr>
        <w:t>Rīgas pašvaldībā tiek turpināta 2014.</w:t>
      </w:r>
      <w:r w:rsidRPr="001A35EF">
        <w:rPr>
          <w:lang w:val="lv-LV"/>
        </w:rPr>
        <w:t xml:space="preserve"> gada vasarā uzsāktā Salu tilta atjaunošana </w:t>
      </w:r>
      <w:r w:rsidRPr="00595533">
        <w:rPr>
          <w:lang w:val="lv-LV"/>
        </w:rPr>
        <w:t xml:space="preserve">un pārbūve, projekta pirmās kārtas kopējās izmaksas sastāda 15,8 mlj euro. </w:t>
      </w:r>
    </w:p>
    <w:p w14:paraId="4D3BAE4C" w14:textId="6A0D32B9" w:rsidR="00DA600B" w:rsidRPr="00564AA8" w:rsidRDefault="00DA600B" w:rsidP="00DA600B">
      <w:pPr>
        <w:rPr>
          <w:rFonts w:ascii="Times New Roman" w:hAnsi="Times New Roman" w:cs="Times New Roman"/>
          <w:sz w:val="24"/>
          <w:lang w:val="lv-LV"/>
        </w:rPr>
      </w:pPr>
      <w:r w:rsidRPr="001558F2">
        <w:rPr>
          <w:lang w:val="lv-LV"/>
        </w:rPr>
        <w:t>Vienlaikus t</w:t>
      </w:r>
      <w:r w:rsidRPr="00595533">
        <w:rPr>
          <w:lang w:val="lv-LV"/>
        </w:rPr>
        <w:t xml:space="preserve">urpinās </w:t>
      </w:r>
      <w:r w:rsidRPr="001558F2">
        <w:rPr>
          <w:lang w:val="lv-LV"/>
        </w:rPr>
        <w:t xml:space="preserve">arī </w:t>
      </w:r>
      <w:r w:rsidRPr="00595533">
        <w:rPr>
          <w:lang w:val="lv-LV"/>
        </w:rPr>
        <w:t>sagatavošanās darbi multimodāla transporta mezgla izbūvei, kas paredzēta Torņakalna degradētajā teritorijā, kas atrodas starp Vienības gatvi un dzelzceļa līnijas Rīga – Jelgava klātni. Kopējo investīciju rezultātā līdz 2022.</w:t>
      </w:r>
      <w:r w:rsidRPr="001A35EF">
        <w:rPr>
          <w:lang w:val="lv-LV"/>
        </w:rPr>
        <w:t> </w:t>
      </w:r>
      <w:r w:rsidRPr="00595533">
        <w:rPr>
          <w:lang w:val="lv-LV"/>
        </w:rPr>
        <w:t>gadam plānots izbūvēt multimodālo transporta mezglu 40</w:t>
      </w:r>
      <w:r w:rsidRPr="001A35EF">
        <w:rPr>
          <w:lang w:val="lv-LV"/>
        </w:rPr>
        <w:t> </w:t>
      </w:r>
      <w:r w:rsidRPr="00595533">
        <w:rPr>
          <w:lang w:val="lv-LV"/>
        </w:rPr>
        <w:t>000 m</w:t>
      </w:r>
      <w:r w:rsidRPr="00DA600B">
        <w:rPr>
          <w:vertAlign w:val="superscript"/>
          <w:lang w:val="lv-LV"/>
        </w:rPr>
        <w:t>2</w:t>
      </w:r>
      <w:r w:rsidR="004B5A3E">
        <w:rPr>
          <w:lang w:val="lv-LV"/>
        </w:rPr>
        <w:t xml:space="preserve"> platībā</w:t>
      </w:r>
      <w:r w:rsidRPr="001A35EF">
        <w:rPr>
          <w:lang w:val="lv-LV"/>
        </w:rPr>
        <w:t>.</w:t>
      </w:r>
    </w:p>
    <w:p w14:paraId="05476A39" w14:textId="6BC531DF" w:rsidR="00894C81" w:rsidRPr="00564AA8" w:rsidRDefault="00894C81" w:rsidP="00727653">
      <w:pPr>
        <w:rPr>
          <w:lang w:val="lv-LV"/>
        </w:rPr>
      </w:pPr>
      <w:r w:rsidRPr="00595533">
        <w:rPr>
          <w:lang w:val="lv-LV"/>
        </w:rPr>
        <w:lastRenderedPageBreak/>
        <w:t>Ar mērķi diskutēt par jaunu stratēģisko ietvaru un pārvaldes risinājumiem Rīgas metropoles areāla izaugsmei kā vienai no dinamiskākajām funkcionālajām zonām Latvijā, kā arī formulēt būtiskākās sadarbības jomas un meklēt veiksmīgākās sadarbības formas Rīgas metropoles reģionam 2016.</w:t>
      </w:r>
      <w:r w:rsidR="00BB4E55">
        <w:rPr>
          <w:lang w:val="lv-LV"/>
        </w:rPr>
        <w:t> </w:t>
      </w:r>
      <w:r w:rsidRPr="00595533">
        <w:rPr>
          <w:lang w:val="lv-LV"/>
        </w:rPr>
        <w:t>gadā tika organizēta konference „Konkurētspēja caur sadarbību: jaunie stratēģiskie un pārvaldības risināj</w:t>
      </w:r>
      <w:r w:rsidR="00564AA8">
        <w:rPr>
          <w:lang w:val="lv-LV"/>
        </w:rPr>
        <w:t xml:space="preserve">umi Rīgas metropoles areālam”. </w:t>
      </w:r>
    </w:p>
    <w:p w14:paraId="2A522A94" w14:textId="2CC73686" w:rsidR="00894C81" w:rsidRPr="00727653" w:rsidRDefault="00727653" w:rsidP="00727653">
      <w:pPr>
        <w:rPr>
          <w:lang w:val="lv-LV"/>
        </w:rPr>
      </w:pPr>
      <w:r>
        <w:rPr>
          <w:lang w:val="lv-LV"/>
        </w:rPr>
        <w:t xml:space="preserve">Tomēr </w:t>
      </w:r>
      <w:r w:rsidR="00894C81" w:rsidRPr="00595533">
        <w:rPr>
          <w:lang w:val="lv-LV"/>
        </w:rPr>
        <w:t xml:space="preserve">Rīgai ir īpaša vieta ne tikai metropoles areālā, bet visā Latvijā un nākotnē tai ir jākļūst konkurētspējīgākai starptautiskā mērogā. To ir iespējams panākt ar Rīgas domes līderību, aktīvu un mērķtiecīgu turpmāku darbību, kā arī sadarbojoties ar Pierīgas pašvaldībām un citām iesaistītajām pusēm. Attiecīgi kā vienu no kavējošajiem apstākļiem var uzskatīt nepietiekamas Rīgas un Pierīgas pašvaldību </w:t>
      </w:r>
      <w:r w:rsidR="00C04C75">
        <w:rPr>
          <w:lang w:val="lv-LV"/>
        </w:rPr>
        <w:t>aktivitātes</w:t>
      </w:r>
      <w:r w:rsidR="00C04C75" w:rsidRPr="00595533">
        <w:rPr>
          <w:lang w:val="lv-LV"/>
        </w:rPr>
        <w:t xml:space="preserve"> </w:t>
      </w:r>
      <w:r w:rsidR="00894C81" w:rsidRPr="00595533">
        <w:rPr>
          <w:lang w:val="lv-LV"/>
        </w:rPr>
        <w:t>pašvaldību ciešākas sadarbības</w:t>
      </w:r>
      <w:r w:rsidR="00164164">
        <w:rPr>
          <w:lang w:val="lv-LV"/>
        </w:rPr>
        <w:t xml:space="preserve"> / projektu veidošanā</w:t>
      </w:r>
      <w:r w:rsidR="00894C81" w:rsidRPr="00595533">
        <w:rPr>
          <w:lang w:val="lv-LV"/>
        </w:rPr>
        <w:t xml:space="preserve"> nolūkā </w:t>
      </w:r>
      <w:r w:rsidR="00164164">
        <w:rPr>
          <w:lang w:val="lv-LV"/>
        </w:rPr>
        <w:t xml:space="preserve">radīt pakalpojumus un veikt ieguldījumus infrastruktūrā </w:t>
      </w:r>
      <w:r w:rsidR="00894C81" w:rsidRPr="00595533">
        <w:rPr>
          <w:lang w:val="lv-LV"/>
        </w:rPr>
        <w:t xml:space="preserve">Rīgas un tās funkcionālā areāla turpmākai izaugsmei. </w:t>
      </w:r>
      <w:r>
        <w:rPr>
          <w:lang w:val="lv-LV"/>
        </w:rPr>
        <w:t>Tomēr s</w:t>
      </w:r>
      <w:r w:rsidR="00894C81" w:rsidRPr="00727653">
        <w:rPr>
          <w:lang w:val="lv-LV"/>
        </w:rPr>
        <w:t xml:space="preserve">tratēģiskā ietvara un pārvaldes risinājumu izveidei Rīgas metropoles areāla izaugsmei </w:t>
      </w:r>
      <w:r w:rsidRPr="00727653">
        <w:rPr>
          <w:lang w:val="lv-LV"/>
        </w:rPr>
        <w:t xml:space="preserve">finansējums </w:t>
      </w:r>
      <w:r>
        <w:rPr>
          <w:lang w:val="lv-LV"/>
        </w:rPr>
        <w:t xml:space="preserve">pagaidām </w:t>
      </w:r>
      <w:r w:rsidR="00894C81" w:rsidRPr="00727653">
        <w:rPr>
          <w:lang w:val="lv-LV"/>
        </w:rPr>
        <w:t>nav paredzēts.</w:t>
      </w:r>
    </w:p>
    <w:p w14:paraId="2A5E9312" w14:textId="77777777" w:rsidR="00A236CF" w:rsidRPr="00A236CF" w:rsidRDefault="00A236CF" w:rsidP="00A236CF">
      <w:pPr>
        <w:rPr>
          <w:b/>
          <w:u w:val="single"/>
          <w:lang w:val="lv-LV"/>
        </w:rPr>
      </w:pPr>
      <w:r w:rsidRPr="00A236CF">
        <w:rPr>
          <w:b/>
          <w:u w:val="single"/>
          <w:lang w:val="lv-LV"/>
        </w:rPr>
        <w:t>A</w:t>
      </w:r>
      <w:r w:rsidR="00EE5C4B" w:rsidRPr="00A236CF">
        <w:rPr>
          <w:b/>
          <w:u w:val="single"/>
          <w:lang w:val="lv-LV"/>
        </w:rPr>
        <w:t>dministratīvi teritoriāl</w:t>
      </w:r>
      <w:r w:rsidRPr="00A236CF">
        <w:rPr>
          <w:b/>
          <w:u w:val="single"/>
          <w:lang w:val="lv-LV"/>
        </w:rPr>
        <w:t>ais</w:t>
      </w:r>
      <w:r w:rsidR="00EE5C4B" w:rsidRPr="00A236CF">
        <w:rPr>
          <w:b/>
          <w:u w:val="single"/>
          <w:lang w:val="lv-LV"/>
        </w:rPr>
        <w:t xml:space="preserve"> iedalījum</w:t>
      </w:r>
      <w:r w:rsidRPr="00A236CF">
        <w:rPr>
          <w:b/>
          <w:u w:val="single"/>
          <w:lang w:val="lv-LV"/>
        </w:rPr>
        <w:t>s</w:t>
      </w:r>
    </w:p>
    <w:p w14:paraId="5F3542C0" w14:textId="728E1AB7" w:rsidR="00EE5C4B" w:rsidRPr="00564AA8" w:rsidRDefault="00EE5C4B" w:rsidP="00A236CF">
      <w:pPr>
        <w:rPr>
          <w:lang w:val="lv-LV"/>
        </w:rPr>
      </w:pPr>
      <w:r w:rsidRPr="00595533">
        <w:rPr>
          <w:lang w:val="lv-LV"/>
        </w:rPr>
        <w:t xml:space="preserve">Administratīvo teritoriju un apdzīvoto vietu likums nosaka administratīvo iedalījumu arī apriņķos. Tomēr valstī ilgtermiņā apriņķi nav izveidoti un šobrīd 57 administratīvās teritorijas neatbilst likuma noteikumiem. Administratīvi teritoriālā iedalījuma nepilnības tiešā veidā atsaucas uz pašvaldību darbību. Turklāt kopīgu sadarbības institūciju veidošana pakalpojumu sniegšanā starp pašvaldībām nav </w:t>
      </w:r>
      <w:r w:rsidR="00164164">
        <w:rPr>
          <w:lang w:val="lv-LV"/>
        </w:rPr>
        <w:t xml:space="preserve">plaši </w:t>
      </w:r>
      <w:r w:rsidRPr="00595533">
        <w:rPr>
          <w:lang w:val="lv-LV"/>
        </w:rPr>
        <w:t xml:space="preserve">izplatīta, kaut gan šādu risinājumu nepieciešamību aktualizē sarūkošais iedzīvotāju skaits lielākajā daļā pašvaldību.  Lai nodrošinātu iespēju pašvaldībām pašām rast iespējami optimālāku risinājumu savas pašvaldības pārvaldei, tajā skaitā sabalansēt pakalpojumu pieprasījumu un izmaksas, nepieciešams </w:t>
      </w:r>
      <w:r w:rsidR="00296FDA">
        <w:rPr>
          <w:lang w:val="lv-LV"/>
        </w:rPr>
        <w:t>veikt</w:t>
      </w:r>
      <w:r w:rsidRPr="00595533">
        <w:rPr>
          <w:lang w:val="lv-LV"/>
        </w:rPr>
        <w:t xml:space="preserve"> grozījumus normatīvajos aktos, kas reglamentē pašvaldības administratīvo un teritoriālo struktūru. Ir izstrādāti grozījumi Administratīvo teritoriju un apdzīvoto vietu likumā</w:t>
      </w:r>
      <w:r w:rsidRPr="00595533">
        <w:rPr>
          <w:rStyle w:val="FootnoteReference"/>
          <w:rFonts w:ascii="Times New Roman" w:hAnsi="Times New Roman" w:cs="Times New Roman"/>
          <w:sz w:val="24"/>
          <w:lang w:val="lv-LV"/>
        </w:rPr>
        <w:footnoteReference w:id="68"/>
      </w:r>
      <w:r w:rsidRPr="00595533">
        <w:rPr>
          <w:lang w:val="lv-LV"/>
        </w:rPr>
        <w:t>, kas nosaka pašvaldību sadarbības teritoriju izveidi, kur izveidojamām pašvaldību sadarbības teritorijām tiek noteikts administratīvās teritorijas statuss. Likumprojekt</w:t>
      </w:r>
      <w:r w:rsidR="00164164">
        <w:rPr>
          <w:lang w:val="lv-LV"/>
        </w:rPr>
        <w:t>ā</w:t>
      </w:r>
      <w:r w:rsidRPr="00595533">
        <w:rPr>
          <w:lang w:val="lv-LV"/>
        </w:rPr>
        <w:t xml:space="preserve"> ir noteiktas 29 pašvaldību sadarbības teritorijas ap reģionālās</w:t>
      </w:r>
      <w:r w:rsidR="00164164">
        <w:rPr>
          <w:lang w:val="lv-LV"/>
        </w:rPr>
        <w:t xml:space="preserve"> un nacionālās nozīmes centriem</w:t>
      </w:r>
      <w:r w:rsidR="00564AA8">
        <w:rPr>
          <w:lang w:val="lv-LV"/>
        </w:rPr>
        <w:t>.</w:t>
      </w:r>
    </w:p>
    <w:p w14:paraId="5AED9FAE" w14:textId="77777777" w:rsidR="00384533" w:rsidRPr="00595533" w:rsidRDefault="00384533" w:rsidP="00384533">
      <w:pPr>
        <w:pStyle w:val="NoSpacing"/>
        <w:rPr>
          <w:sz w:val="10"/>
          <w:szCs w:val="10"/>
          <w:lang w:val="lv-LV"/>
        </w:rPr>
      </w:pPr>
    </w:p>
    <w:p w14:paraId="4E0CA064" w14:textId="77777777" w:rsidR="00B21C7B" w:rsidRPr="00595533" w:rsidRDefault="00B21C7B" w:rsidP="00B21C7B">
      <w:pPr>
        <w:pStyle w:val="Heading3"/>
        <w:rPr>
          <w:lang w:val="lv-LV"/>
        </w:rPr>
      </w:pPr>
      <w:bookmarkStart w:id="64" w:name="_Toc498690642"/>
      <w:r w:rsidRPr="00595533">
        <w:rPr>
          <w:lang w:val="lv-LV"/>
        </w:rPr>
        <w:t>PROGRESA NOVĒRTĒJUMS</w:t>
      </w:r>
      <w:bookmarkEnd w:id="64"/>
    </w:p>
    <w:p w14:paraId="6E05F4A4" w14:textId="77777777" w:rsidR="00C815F2" w:rsidRPr="00137CA1" w:rsidRDefault="00C815F2" w:rsidP="00C815F2">
      <w:pPr>
        <w:rPr>
          <w:lang w:val="lv-LV"/>
        </w:rPr>
      </w:pPr>
      <w:r w:rsidRPr="00C815F2">
        <w:rPr>
          <w:lang w:val="lv-LV"/>
        </w:rPr>
        <w:t xml:space="preserve">Rīcības virziena </w:t>
      </w:r>
      <w:r w:rsidRPr="00C815F2">
        <w:rPr>
          <w:i/>
          <w:lang w:val="lv-LV"/>
        </w:rPr>
        <w:t>Ekonomiskās aktivitātes veicināšana reģionos – teritoriju potenciāla izmantošana</w:t>
      </w:r>
      <w:r w:rsidRPr="00C815F2">
        <w:rPr>
          <w:lang w:val="lv-LV"/>
        </w:rPr>
        <w:t xml:space="preserve"> mērķu sasniegšanai sākotnēji tika plānots investēt kopumā 2,1 mljrd euro. Uz starpposma izvērtējuma brīdi rīcības virziena uzdevumu īstenošanai ir apzinātas kopējās investīcijas 1,3 mljrd euro apmērā, kas veido 62,9% no sākotnēji plānotā. No minētajām investīcijām lielāko daļu jeb 53,4% veido nacionālais finansējums, tajā pašā laikā ES fondu finansējums sastāda 45,9%, bet cits ārvalstu finansējums – 0,7%.</w:t>
      </w:r>
    </w:p>
    <w:p w14:paraId="21E7758E" w14:textId="788765EA" w:rsidR="00B57715" w:rsidRPr="00595533" w:rsidRDefault="00B57715" w:rsidP="005E0260">
      <w:pPr>
        <w:rPr>
          <w:lang w:val="lv-LV"/>
        </w:rPr>
      </w:pPr>
      <w:r w:rsidRPr="00595533">
        <w:rPr>
          <w:lang w:val="lv-LV"/>
        </w:rPr>
        <w:t xml:space="preserve">Uzņēmējdarbības attīstība reģionos NAP2020 </w:t>
      </w:r>
      <w:r w:rsidR="00551C37" w:rsidRPr="00595533">
        <w:rPr>
          <w:lang w:val="lv-LV"/>
        </w:rPr>
        <w:t xml:space="preserve">tiek monitorēta, sekojot līdzi izmaiņām rādītājā par darba meklētāju īpatsvaru reģionos, kā arī tirgus sektora ekonomiski aktīvo vienību skaitam uz 1 000 iedzīvotājiem. </w:t>
      </w:r>
      <w:r w:rsidR="00DE6473" w:rsidRPr="00595533">
        <w:rPr>
          <w:lang w:val="lv-LV"/>
        </w:rPr>
        <w:t xml:space="preserve">Datu analīze rāda, ka darba meklētāju skaits </w:t>
      </w:r>
      <w:r w:rsidR="009600CD" w:rsidRPr="00595533">
        <w:rPr>
          <w:lang w:val="lv-LV"/>
        </w:rPr>
        <w:t xml:space="preserve">visos reģionos attiecībā pret 2012. gadu ir samazinājies, tomēr visbūtiskāk </w:t>
      </w:r>
      <w:r w:rsidR="00BE3815" w:rsidRPr="00595533">
        <w:rPr>
          <w:lang w:val="lv-LV"/>
        </w:rPr>
        <w:t xml:space="preserve">(teju uz pusi) </w:t>
      </w:r>
      <w:r w:rsidR="009600CD" w:rsidRPr="00595533">
        <w:rPr>
          <w:lang w:val="lv-LV"/>
        </w:rPr>
        <w:t>tas ir sarucis Pierīgas un Vidzemes statistiskos reģionos</w:t>
      </w:r>
      <w:r w:rsidR="00BE3815" w:rsidRPr="00595533">
        <w:rPr>
          <w:lang w:val="lv-LV"/>
        </w:rPr>
        <w:t xml:space="preserve">. Ļoti nelielas izmaiņas vērojamas Latgales reģionā, kur darba meklētāju īpatsvars mainījies par trīs procentiem – no 20,9% 2012. gadā uz 17,9% 2016. gadā. Attiecīgi Latgales reģions </w:t>
      </w:r>
      <w:r w:rsidR="002D3391" w:rsidRPr="00595533">
        <w:rPr>
          <w:lang w:val="lv-LV"/>
        </w:rPr>
        <w:t xml:space="preserve">šobrīd identificējams kā vienīgais, kur pastāv varbūtība nākotnē nesasniegt NAP2020 nosprausto mērķi attiecībā uz uzņēmējdarbības attīstību un jaunu darba vietu radīšanu. </w:t>
      </w:r>
      <w:r w:rsidR="00B364D7" w:rsidRPr="00595533">
        <w:rPr>
          <w:lang w:val="lv-LV"/>
        </w:rPr>
        <w:t xml:space="preserve">Vienlaikus gan jānorāda, ka ekonomiski aktīvo komersantu skaits uz 1 000 iedzīvotājiem 2013. – 2015. gadā </w:t>
      </w:r>
      <w:r w:rsidR="00881A8E" w:rsidRPr="00595533">
        <w:rPr>
          <w:lang w:val="lv-LV"/>
        </w:rPr>
        <w:t>bija tikai</w:t>
      </w:r>
      <w:r w:rsidR="00B364D7" w:rsidRPr="00595533">
        <w:rPr>
          <w:lang w:val="lv-LV"/>
        </w:rPr>
        <w:t xml:space="preserve"> nedaudz mainījies </w:t>
      </w:r>
      <w:r w:rsidR="00881A8E" w:rsidRPr="00595533">
        <w:rPr>
          <w:lang w:val="lv-LV"/>
        </w:rPr>
        <w:t>visos reģionos, izņemot Rīgu un Pierīgu.</w:t>
      </w:r>
      <w:r w:rsidR="00B364D7" w:rsidRPr="00595533">
        <w:rPr>
          <w:lang w:val="lv-LV"/>
        </w:rPr>
        <w:t xml:space="preserve"> </w:t>
      </w:r>
      <w:r w:rsidR="00881A8E" w:rsidRPr="00595533">
        <w:rPr>
          <w:lang w:val="lv-LV"/>
        </w:rPr>
        <w:lastRenderedPageBreak/>
        <w:t xml:space="preserve">Nedaudz lielāks progress minētajā laika periodā bija vērojams attiecībā uz </w:t>
      </w:r>
      <w:r w:rsidR="003E3DD5" w:rsidRPr="00595533">
        <w:rPr>
          <w:lang w:val="lv-LV"/>
        </w:rPr>
        <w:t>zemnieku un zvejnieku saimniecību</w:t>
      </w:r>
      <w:r w:rsidR="006D5053" w:rsidRPr="00595533">
        <w:rPr>
          <w:lang w:val="lv-LV"/>
        </w:rPr>
        <w:t>, kā arī</w:t>
      </w:r>
      <w:r w:rsidR="003E3DD5" w:rsidRPr="00595533">
        <w:rPr>
          <w:lang w:val="lv-LV"/>
        </w:rPr>
        <w:t xml:space="preserve"> cita veida uzņēmumu skaita izmaiņām, tomēr kopumā dati rāda visai nelielu tirgus sektora ekonomiski aktīvo vienību skaita pieaugumu Latgales un Zemgales reģionos, bet nedaudz straujāku Pierīgā un Vidzemes reģionā.</w:t>
      </w:r>
    </w:p>
    <w:p w14:paraId="7318C7AD" w14:textId="34F7D4BF" w:rsidR="00602F9A" w:rsidRPr="00602F9A" w:rsidRDefault="00922987" w:rsidP="00602F9A">
      <w:pPr>
        <w:pStyle w:val="attelunosaukums"/>
      </w:pPr>
      <w:r>
        <w:t>23</w:t>
      </w:r>
      <w:r w:rsidR="00602F9A" w:rsidRPr="00602F9A">
        <w:t>. attēls.  Darba meklētāju īpatsvars reģions, %</w:t>
      </w:r>
    </w:p>
    <w:p w14:paraId="132AEDB7" w14:textId="77777777" w:rsidR="00C94575" w:rsidRDefault="00C94575" w:rsidP="005E0260">
      <w:pPr>
        <w:rPr>
          <w:lang w:val="lv-LV"/>
        </w:rPr>
      </w:pPr>
      <w:r>
        <w:rPr>
          <w:noProof/>
          <w:lang w:val="lv-LV" w:eastAsia="lv-LV"/>
        </w:rPr>
        <w:drawing>
          <wp:inline distT="0" distB="0" distL="0" distR="0" wp14:anchorId="62931732" wp14:editId="58560CD9">
            <wp:extent cx="5270500" cy="4030980"/>
            <wp:effectExtent l="0" t="0" r="635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78147C" w14:textId="70EE5055" w:rsidR="006D5053" w:rsidRPr="00595533" w:rsidRDefault="006D5053" w:rsidP="005E0260">
      <w:pPr>
        <w:rPr>
          <w:lang w:val="lv-LV"/>
        </w:rPr>
      </w:pPr>
      <w:r w:rsidRPr="00595533">
        <w:rPr>
          <w:lang w:val="lv-LV"/>
        </w:rPr>
        <w:t xml:space="preserve">To, ka ekonomiskā situācija Latgales reģionā ir </w:t>
      </w:r>
      <w:r w:rsidR="006C2546" w:rsidRPr="00595533">
        <w:rPr>
          <w:lang w:val="lv-LV"/>
        </w:rPr>
        <w:t xml:space="preserve">visai nemainīga vai drīzāk </w:t>
      </w:r>
      <w:r w:rsidR="00D676D6" w:rsidRPr="00595533">
        <w:rPr>
          <w:lang w:val="lv-LV"/>
        </w:rPr>
        <w:t xml:space="preserve">pat </w:t>
      </w:r>
      <w:r w:rsidR="006C2546" w:rsidRPr="00595533">
        <w:rPr>
          <w:lang w:val="lv-LV"/>
        </w:rPr>
        <w:t xml:space="preserve">stagnējoša, uzrāda arī iedzīvotāju ienākuma nodokļa ieņēmumi, proti, pēdējo četru gadu laikā </w:t>
      </w:r>
      <w:r w:rsidR="00100F90" w:rsidRPr="00595533">
        <w:rPr>
          <w:lang w:val="lv-LV"/>
        </w:rPr>
        <w:t xml:space="preserve">Austrumu pierobežas novadu pašvaldībās </w:t>
      </w:r>
      <w:r w:rsidR="006C2546" w:rsidRPr="00595533">
        <w:rPr>
          <w:lang w:val="lv-LV"/>
        </w:rPr>
        <w:t>iedzī</w:t>
      </w:r>
      <w:r w:rsidR="00100F90" w:rsidRPr="00595533">
        <w:rPr>
          <w:lang w:val="lv-LV"/>
        </w:rPr>
        <w:t>votāju ienākuma nodokļa ieņēmumu</w:t>
      </w:r>
      <w:r w:rsidR="006C2546" w:rsidRPr="00595533">
        <w:rPr>
          <w:lang w:val="lv-LV"/>
        </w:rPr>
        <w:t xml:space="preserve"> uz vienu iedzīvotāju attiecīb</w:t>
      </w:r>
      <w:r w:rsidR="00100F90" w:rsidRPr="00595533">
        <w:rPr>
          <w:lang w:val="lv-LV"/>
        </w:rPr>
        <w:t>a pret vidējiem ieņēmumiem visos novados kopumā nav mainījusies un ir 65%.</w:t>
      </w:r>
      <w:r w:rsidR="00430D07" w:rsidRPr="00595533">
        <w:rPr>
          <w:lang w:val="lv-LV"/>
        </w:rPr>
        <w:t xml:space="preserve"> Savukārt, vērtējot iedzīvotāju ienākuma nodokļa attiecīb</w:t>
      </w:r>
      <w:r w:rsidR="00D676D6" w:rsidRPr="00595533">
        <w:rPr>
          <w:lang w:val="lv-LV"/>
        </w:rPr>
        <w:t>u</w:t>
      </w:r>
      <w:r w:rsidR="00430D07" w:rsidRPr="00595533">
        <w:rPr>
          <w:lang w:val="lv-LV"/>
        </w:rPr>
        <w:t xml:space="preserve"> Daugavpilī un Rēzeknē</w:t>
      </w:r>
      <w:r w:rsidR="00D676D6" w:rsidRPr="00595533">
        <w:rPr>
          <w:lang w:val="lv-LV"/>
        </w:rPr>
        <w:t>, ir vērojams samazinājums, kas liecina, ka šajās pilsētās iedzīvotāju ienākumi nepieaug tik strauji kā citviet.</w:t>
      </w:r>
    </w:p>
    <w:p w14:paraId="55C78CFF" w14:textId="736EEAFB" w:rsidR="00D676D6" w:rsidRPr="00595533" w:rsidRDefault="00A04BAC" w:rsidP="005E0260">
      <w:pPr>
        <w:rPr>
          <w:lang w:val="lv-LV"/>
        </w:rPr>
      </w:pPr>
      <w:r w:rsidRPr="00595533">
        <w:rPr>
          <w:lang w:val="lv-LV"/>
        </w:rPr>
        <w:t>Par tautsaimniecības pakāpenisku izaugsmi liecina iedzīvotāju ienākuma nodokļa ieņēmumu apjoms pašvaldības budžetos, pārrēķināts uz vienu iedzīvotāju. Neskatoties uz to, ka 2015.</w:t>
      </w:r>
      <w:r w:rsidR="009E1AB9" w:rsidRPr="00595533">
        <w:rPr>
          <w:lang w:val="lv-LV"/>
        </w:rPr>
        <w:t> </w:t>
      </w:r>
      <w:r w:rsidRPr="00595533">
        <w:rPr>
          <w:lang w:val="lv-LV"/>
        </w:rPr>
        <w:t xml:space="preserve">gadā tika samazināta iedzīvotāju ienākuma nodokļa likme, </w:t>
      </w:r>
      <w:r w:rsidR="009E1AB9" w:rsidRPr="00595533">
        <w:rPr>
          <w:lang w:val="lv-LV"/>
        </w:rPr>
        <w:t>saglabājoties nemainīgam nodokļa likmes sadalījumam pašvaldības un valsts budžetos (80:20), pašvaldību ieņēmumu apjoms uz vienu iedzīvotāju visus pēdējos gadus kopš 2009.</w:t>
      </w:r>
      <w:r w:rsidR="00170734" w:rsidRPr="00595533">
        <w:rPr>
          <w:lang w:val="lv-LV"/>
        </w:rPr>
        <w:t> </w:t>
      </w:r>
      <w:r w:rsidR="009E1AB9" w:rsidRPr="00595533">
        <w:rPr>
          <w:lang w:val="lv-LV"/>
        </w:rPr>
        <w:t>gada ir pakāpeniski audzis</w:t>
      </w:r>
      <w:r w:rsidR="00170734" w:rsidRPr="00595533">
        <w:rPr>
          <w:lang w:val="lv-LV"/>
        </w:rPr>
        <w:t>, vidēji palielinoties par sešiem procentiem attiecībā pret iepriekšējo gadu. Lai gan rādītājs neuzrāda katras pašvaldības finansiālo kapacitāti autonomo funkciju veikšanai, ta</w:t>
      </w:r>
      <w:r w:rsidR="001932E5" w:rsidRPr="00595533">
        <w:rPr>
          <w:lang w:val="lv-LV"/>
        </w:rPr>
        <w:t>s</w:t>
      </w:r>
      <w:r w:rsidR="007800E8" w:rsidRPr="00595533">
        <w:rPr>
          <w:lang w:val="lv-LV"/>
        </w:rPr>
        <w:t xml:space="preserve"> liecina, ka</w:t>
      </w:r>
      <w:r w:rsidR="00170734" w:rsidRPr="00595533">
        <w:rPr>
          <w:lang w:val="lv-LV"/>
        </w:rPr>
        <w:t xml:space="preserve"> </w:t>
      </w:r>
      <w:r w:rsidR="001932E5" w:rsidRPr="00595533">
        <w:rPr>
          <w:lang w:val="lv-LV"/>
        </w:rPr>
        <w:t xml:space="preserve">ieņēmumu pieaugums </w:t>
      </w:r>
      <w:r w:rsidR="007800E8" w:rsidRPr="00595533">
        <w:rPr>
          <w:lang w:val="lv-LV"/>
        </w:rPr>
        <w:t xml:space="preserve">caurmērā </w:t>
      </w:r>
      <w:r w:rsidR="001932E5" w:rsidRPr="00595533">
        <w:rPr>
          <w:lang w:val="lv-LV"/>
        </w:rPr>
        <w:t>apsteidz ekonomiskās izaugsmes</w:t>
      </w:r>
      <w:r w:rsidR="00C91EBB">
        <w:rPr>
          <w:lang w:val="lv-LV"/>
        </w:rPr>
        <w:t xml:space="preserve"> un inflācijas</w:t>
      </w:r>
      <w:r w:rsidR="001932E5" w:rsidRPr="00595533">
        <w:rPr>
          <w:lang w:val="lv-LV"/>
        </w:rPr>
        <w:t xml:space="preserve"> tempus</w:t>
      </w:r>
      <w:r w:rsidR="007800E8" w:rsidRPr="00595533">
        <w:rPr>
          <w:lang w:val="lv-LV"/>
        </w:rPr>
        <w:t xml:space="preserve">. </w:t>
      </w:r>
    </w:p>
    <w:p w14:paraId="5700E8F7" w14:textId="317E8296" w:rsidR="00602F9A" w:rsidRPr="00C91EBB" w:rsidRDefault="00922987" w:rsidP="00C91EBB">
      <w:pPr>
        <w:pStyle w:val="attelunosaukums"/>
      </w:pPr>
      <w:r>
        <w:t>24</w:t>
      </w:r>
      <w:r w:rsidR="00602F9A" w:rsidRPr="00C91EBB">
        <w:t>. attēls.  Iedzīvotāju ienākuma nodokļa ieņēmumu apjoms pašvaldību budžetos</w:t>
      </w:r>
    </w:p>
    <w:p w14:paraId="10480E62" w14:textId="006ADE13" w:rsidR="0052391A" w:rsidRPr="00595533" w:rsidRDefault="00C94575" w:rsidP="0052391A">
      <w:pPr>
        <w:rPr>
          <w:lang w:val="lv-LV"/>
        </w:rPr>
      </w:pPr>
      <w:r>
        <w:rPr>
          <w:noProof/>
          <w:lang w:val="lv-LV" w:eastAsia="lv-LV"/>
        </w:rPr>
        <w:lastRenderedPageBreak/>
        <w:drawing>
          <wp:inline distT="0" distB="0" distL="0" distR="0" wp14:anchorId="163AEA24" wp14:editId="76813B5E">
            <wp:extent cx="5270500" cy="3410585"/>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246364" w14:textId="77777777" w:rsidR="00756FBB" w:rsidRDefault="00756FBB" w:rsidP="005E0260">
      <w:pPr>
        <w:rPr>
          <w:lang w:val="lv-LV"/>
        </w:rPr>
      </w:pPr>
    </w:p>
    <w:p w14:paraId="6C3C37F3" w14:textId="3967ACB4" w:rsidR="00BC383F" w:rsidRDefault="00DA7030" w:rsidP="005E0260">
      <w:pPr>
        <w:rPr>
          <w:lang w:val="lv-LV"/>
        </w:rPr>
      </w:pPr>
      <w:r w:rsidRPr="00595533">
        <w:rPr>
          <w:lang w:val="lv-LV"/>
        </w:rPr>
        <w:t xml:space="preserve">Viedokļu līderi progresu rīcības virziena izvirzīto mērķu sasniegšanā vērtējuši kritiski. Kopumā tikai 14% ekspertu uzskata, ka pašvaldību administratīvās struktūras reforma tiek īstenota drīzāk sekmīgi, bet teju puse (48%) to atzinuši par noteikti nesekmīgu un vēl 23% - par drīzāk nesekmīgu. </w:t>
      </w:r>
      <w:r w:rsidR="00322E7B" w:rsidRPr="00595533">
        <w:rPr>
          <w:lang w:val="lv-LV"/>
        </w:rPr>
        <w:t xml:space="preserve">Arī priekšnoteikumu radīšana ekonomiskās aktivitātes uzlabošanai Austrumu pierobežā netiek uzskatīts par </w:t>
      </w:r>
      <w:r w:rsidR="008D52E8" w:rsidRPr="00595533">
        <w:rPr>
          <w:lang w:val="lv-LV"/>
        </w:rPr>
        <w:t>veiksmīgi</w:t>
      </w:r>
      <w:r w:rsidR="00322E7B" w:rsidRPr="00595533">
        <w:rPr>
          <w:lang w:val="lv-LV"/>
        </w:rPr>
        <w:t xml:space="preserve"> īstenotu mērķi. Kopumā 23% viedokļu līderu virzību šajā mērķī uzskata par drīzāk sekmīgu vai sekmīgu, savukārt divi no pieciem aptaujātajiem to raksturo kā drīzāk nesekmīgu, bet aptuveni katrs piektais (22%) – kā nesekmīgu.</w:t>
      </w:r>
      <w:r w:rsidR="00B2366E" w:rsidRPr="00595533">
        <w:rPr>
          <w:lang w:val="lv-LV"/>
        </w:rPr>
        <w:t xml:space="preserve"> Ne tik kritiskas atsauksmes paustas par to, kā tiek īstenots mērķis radīt priekšnoteikumus uzņēmējdarbības attīstībai un jaunu darba vietu radīšanai reģionos</w:t>
      </w:r>
      <w:r w:rsidR="0072210D" w:rsidRPr="00595533">
        <w:rPr>
          <w:lang w:val="lv-LV"/>
        </w:rPr>
        <w:t xml:space="preserve"> kopumā</w:t>
      </w:r>
      <w:r w:rsidR="00B2366E" w:rsidRPr="00595533">
        <w:rPr>
          <w:lang w:val="lv-LV"/>
        </w:rPr>
        <w:t xml:space="preserve">. Kā </w:t>
      </w:r>
      <w:r w:rsidR="0072210D" w:rsidRPr="00595533">
        <w:rPr>
          <w:lang w:val="lv-LV"/>
        </w:rPr>
        <w:t>veiksmīgu</w:t>
      </w:r>
      <w:r w:rsidR="00B2366E" w:rsidRPr="00595533">
        <w:rPr>
          <w:lang w:val="lv-LV"/>
        </w:rPr>
        <w:t xml:space="preserve"> virzību </w:t>
      </w:r>
      <w:r w:rsidR="00F531DD" w:rsidRPr="00595533">
        <w:rPr>
          <w:lang w:val="lv-LV"/>
        </w:rPr>
        <w:t xml:space="preserve">šajā mērķī novērtējuši 28% aptaujāto viedokļu līderu, tomēr vairums progresu arī </w:t>
      </w:r>
      <w:r w:rsidR="0072210D" w:rsidRPr="00595533">
        <w:rPr>
          <w:lang w:val="lv-LV"/>
        </w:rPr>
        <w:t>šim</w:t>
      </w:r>
      <w:r w:rsidR="00F531DD" w:rsidRPr="00595533">
        <w:rPr>
          <w:lang w:val="lv-LV"/>
        </w:rPr>
        <w:t xml:space="preserve"> mērķi</w:t>
      </w:r>
      <w:r w:rsidR="0072210D" w:rsidRPr="00595533">
        <w:rPr>
          <w:lang w:val="lv-LV"/>
        </w:rPr>
        <w:t xml:space="preserve">m raksturo kā nesekmīgu </w:t>
      </w:r>
      <w:r w:rsidR="00F531DD" w:rsidRPr="00595533">
        <w:rPr>
          <w:lang w:val="lv-LV"/>
        </w:rPr>
        <w:t>vai</w:t>
      </w:r>
      <w:r w:rsidR="0072210D" w:rsidRPr="00595533">
        <w:rPr>
          <w:lang w:val="lv-LV"/>
        </w:rPr>
        <w:t xml:space="preserve"> </w:t>
      </w:r>
      <w:r w:rsidR="00F531DD" w:rsidRPr="00595533">
        <w:rPr>
          <w:lang w:val="lv-LV"/>
        </w:rPr>
        <w:t>drīzāk nesekmīgu</w:t>
      </w:r>
      <w:r w:rsidR="0072210D" w:rsidRPr="00595533">
        <w:rPr>
          <w:lang w:val="lv-LV"/>
        </w:rPr>
        <w:t xml:space="preserve"> (</w:t>
      </w:r>
      <w:r w:rsidR="00FF62B1" w:rsidRPr="00595533">
        <w:rPr>
          <w:lang w:val="lv-LV"/>
        </w:rPr>
        <w:t>70%).</w:t>
      </w:r>
    </w:p>
    <w:p w14:paraId="58568331" w14:textId="7B891EB4" w:rsidR="001558F2" w:rsidRDefault="0070769E" w:rsidP="005E0260">
      <w:pPr>
        <w:rPr>
          <w:lang w:val="lv-LV"/>
        </w:rPr>
      </w:pPr>
      <w:r>
        <w:rPr>
          <w:lang w:val="lv-LV"/>
        </w:rPr>
        <w:t>G</w:t>
      </w:r>
      <w:r w:rsidR="001558F2">
        <w:rPr>
          <w:lang w:val="lv-LV"/>
        </w:rPr>
        <w:t xml:space="preserve">alvenais iemesls tam, ka reģionu attīstība nesekmējas, viedokļu līderu vērtējumā </w:t>
      </w:r>
      <w:r>
        <w:rPr>
          <w:lang w:val="lv-LV"/>
        </w:rPr>
        <w:t>ir pašvaldību sadrumstalotība, atšķirīgā kapacitāte un resursi. Lai gan daži no ek</w:t>
      </w:r>
      <w:r w:rsidR="003D3BC5">
        <w:rPr>
          <w:lang w:val="lv-LV"/>
        </w:rPr>
        <w:t>s</w:t>
      </w:r>
      <w:r>
        <w:rPr>
          <w:lang w:val="lv-LV"/>
        </w:rPr>
        <w:t>pertiem uzskata, ka</w:t>
      </w:r>
      <w:r w:rsidR="003D3BC5">
        <w:rPr>
          <w:lang w:val="lv-LV"/>
        </w:rPr>
        <w:t>, ņemot vērā administratīvi teritoriālās reformas negatīvo ietekmi</w:t>
      </w:r>
      <w:r>
        <w:rPr>
          <w:lang w:val="lv-LV"/>
        </w:rPr>
        <w:t xml:space="preserve"> </w:t>
      </w:r>
      <w:r w:rsidR="003D3BC5">
        <w:rPr>
          <w:lang w:val="lv-LV"/>
        </w:rPr>
        <w:t xml:space="preserve">uz atsevišķu pagastu ekonomisko izaugsmi, </w:t>
      </w:r>
      <w:r>
        <w:rPr>
          <w:lang w:val="lv-LV"/>
        </w:rPr>
        <w:t xml:space="preserve">trūkst </w:t>
      </w:r>
      <w:r w:rsidR="003D3BC5">
        <w:rPr>
          <w:lang w:val="lv-LV"/>
        </w:rPr>
        <w:t xml:space="preserve">objektīva </w:t>
      </w:r>
      <w:r>
        <w:rPr>
          <w:lang w:val="lv-LV"/>
        </w:rPr>
        <w:t xml:space="preserve">pamatojuma </w:t>
      </w:r>
      <w:r w:rsidR="003D3BC5">
        <w:rPr>
          <w:lang w:val="lv-LV"/>
        </w:rPr>
        <w:t>pašvaldību apvienošanai lielākās teritorijās</w:t>
      </w:r>
      <w:r w:rsidR="009E2FBA">
        <w:rPr>
          <w:lang w:val="lv-LV"/>
        </w:rPr>
        <w:t xml:space="preserve">, vairums uzrunāto viedokļu līderu </w:t>
      </w:r>
      <w:r w:rsidR="009B6C14">
        <w:rPr>
          <w:lang w:val="lv-LV"/>
        </w:rPr>
        <w:t xml:space="preserve">tomēr </w:t>
      </w:r>
      <w:r w:rsidR="009E2FBA">
        <w:rPr>
          <w:lang w:val="lv-LV"/>
        </w:rPr>
        <w:t xml:space="preserve">domā, ka pašvaldību skaits būtu samazināms, </w:t>
      </w:r>
      <w:r w:rsidR="000A03BD">
        <w:rPr>
          <w:lang w:val="lv-LV"/>
        </w:rPr>
        <w:t xml:space="preserve">paredzot, ka </w:t>
      </w:r>
      <w:r w:rsidR="009E2FBA">
        <w:rPr>
          <w:lang w:val="lv-LV"/>
        </w:rPr>
        <w:t xml:space="preserve">katrā pašvaldībā </w:t>
      </w:r>
      <w:r w:rsidR="000A03BD">
        <w:rPr>
          <w:lang w:val="lv-LV"/>
        </w:rPr>
        <w:t>ir</w:t>
      </w:r>
      <w:r w:rsidR="009E2FBA">
        <w:rPr>
          <w:lang w:val="lv-LV"/>
        </w:rPr>
        <w:t xml:space="preserve"> vien</w:t>
      </w:r>
      <w:r w:rsidR="000A03BD">
        <w:rPr>
          <w:lang w:val="lv-LV"/>
        </w:rPr>
        <w:t>s</w:t>
      </w:r>
      <w:r w:rsidR="009E2FBA">
        <w:rPr>
          <w:lang w:val="lv-LV"/>
        </w:rPr>
        <w:t xml:space="preserve"> reģionāl</w:t>
      </w:r>
      <w:r w:rsidR="000A03BD">
        <w:rPr>
          <w:lang w:val="lv-LV"/>
        </w:rPr>
        <w:t>ās vai nacionālās nozīmes centrs:</w:t>
      </w:r>
    </w:p>
    <w:p w14:paraId="3AB89DD9" w14:textId="6124F83C" w:rsidR="000A03BD" w:rsidRPr="00016E7A" w:rsidRDefault="00016E7A" w:rsidP="00016E7A">
      <w:pPr>
        <w:ind w:left="720"/>
        <w:rPr>
          <w:i/>
          <w:color w:val="374C80" w:themeColor="accent1" w:themeShade="BF"/>
          <w:lang w:val="lv-LV"/>
        </w:rPr>
      </w:pPr>
      <w:r w:rsidRPr="00016E7A">
        <w:rPr>
          <w:i/>
          <w:color w:val="374C80" w:themeColor="accent1" w:themeShade="BF"/>
          <w:lang w:val="lv-LV"/>
        </w:rPr>
        <w:t>“Pašvaldību finanšu izlīdzināšana fonds pārdala finansējumu uz vietām, kurām nav pamata eksistēt. Tik ilgi kamēr tas tā būs, nebūs iespēju attīstībai. Pašvaldību skaits nav adekvāts Latvijas izmēram. Tas ir pārāk liels. Šis ir viens galvenajiem no mūsu attīstību bremzējošajiem faktoriem.”</w:t>
      </w:r>
    </w:p>
    <w:p w14:paraId="693E3E56" w14:textId="5ED2D4F4" w:rsidR="000A03BD" w:rsidRDefault="000A03BD" w:rsidP="005E0260">
      <w:pPr>
        <w:rPr>
          <w:lang w:val="lv-LV"/>
        </w:rPr>
      </w:pPr>
      <w:r>
        <w:rPr>
          <w:lang w:val="lv-LV"/>
        </w:rPr>
        <w:t>Vienlaikus eksperti atzīst, ka šāda</w:t>
      </w:r>
      <w:r w:rsidR="0088001D">
        <w:rPr>
          <w:lang w:val="lv-LV"/>
        </w:rPr>
        <w:t>s</w:t>
      </w:r>
      <w:r>
        <w:rPr>
          <w:lang w:val="lv-LV"/>
        </w:rPr>
        <w:t xml:space="preserve"> reforma</w:t>
      </w:r>
      <w:r w:rsidR="0088001D">
        <w:rPr>
          <w:lang w:val="lv-LV"/>
        </w:rPr>
        <w:t>s īstenošanai nepieciešams</w:t>
      </w:r>
      <w:r>
        <w:rPr>
          <w:lang w:val="lv-LV"/>
        </w:rPr>
        <w:t xml:space="preserve"> </w:t>
      </w:r>
      <w:r w:rsidR="0088001D">
        <w:rPr>
          <w:lang w:val="lv-LV"/>
        </w:rPr>
        <w:t>politiskais atbalsts un izšķiršanās, taču to kavē pašvaldību lobija ietekme valsts politiskajā pārvaldībā</w:t>
      </w:r>
      <w:r w:rsidR="00BB2B9E">
        <w:rPr>
          <w:lang w:val="lv-LV"/>
        </w:rPr>
        <w:t xml:space="preserve">. Tāpat </w:t>
      </w:r>
      <w:r w:rsidR="00977C1F">
        <w:rPr>
          <w:lang w:val="lv-LV"/>
        </w:rPr>
        <w:t xml:space="preserve">atsevišķos komentāros </w:t>
      </w:r>
      <w:r w:rsidR="00BB2B9E">
        <w:rPr>
          <w:lang w:val="lv-LV"/>
        </w:rPr>
        <w:t>tiek norādīts uz nepieciešamību īstenot stingrāku centralizētu pašva</w:t>
      </w:r>
      <w:r w:rsidR="00977C1F">
        <w:rPr>
          <w:lang w:val="lv-LV"/>
        </w:rPr>
        <w:t>ldību uzraudzību, lai palielinātu pašvaldību finanšu resursu izlietošanas efektivitātes kontroli un caurspīdīgumu</w:t>
      </w:r>
      <w:r w:rsidR="00B71AF5">
        <w:rPr>
          <w:lang w:val="lv-LV"/>
        </w:rPr>
        <w:t>.</w:t>
      </w:r>
    </w:p>
    <w:p w14:paraId="3DBC7550" w14:textId="31CF1389" w:rsidR="00A72E9B" w:rsidRPr="00595533" w:rsidRDefault="00A72E9B" w:rsidP="005E0260">
      <w:pPr>
        <w:rPr>
          <w:lang w:val="lv-LV"/>
        </w:rPr>
      </w:pPr>
      <w:r>
        <w:rPr>
          <w:lang w:val="lv-LV"/>
        </w:rPr>
        <w:lastRenderedPageBreak/>
        <w:t>Runājot par pašvaldību atšķirīgajām iespējām un resursiem</w:t>
      </w:r>
      <w:r w:rsidR="00F05299">
        <w:rPr>
          <w:lang w:val="lv-LV"/>
        </w:rPr>
        <w:t xml:space="preserve">, viedokļu līderi pretnostata ne tikai turīgās pašvaldības iepretim nabadzīgajām, bet arī </w:t>
      </w:r>
      <w:r w:rsidR="00ED464E">
        <w:rPr>
          <w:lang w:val="lv-LV"/>
        </w:rPr>
        <w:t xml:space="preserve">norāda uz </w:t>
      </w:r>
      <w:r w:rsidR="00BF4B7F">
        <w:rPr>
          <w:lang w:val="lv-LV"/>
        </w:rPr>
        <w:t xml:space="preserve">pastāvošo </w:t>
      </w:r>
      <w:r w:rsidR="00672C9A">
        <w:rPr>
          <w:lang w:val="lv-LV"/>
        </w:rPr>
        <w:t>n</w:t>
      </w:r>
      <w:r w:rsidR="00ED464E">
        <w:rPr>
          <w:lang w:val="lv-LV"/>
        </w:rPr>
        <w:t>evienlīdzību starp</w:t>
      </w:r>
      <w:r w:rsidR="00F05299">
        <w:rPr>
          <w:lang w:val="lv-LV"/>
        </w:rPr>
        <w:t xml:space="preserve"> ostas</w:t>
      </w:r>
      <w:r w:rsidR="00ED464E">
        <w:rPr>
          <w:lang w:val="lv-LV"/>
        </w:rPr>
        <w:t xml:space="preserve"> pilsētām</w:t>
      </w:r>
      <w:r w:rsidR="00F05299">
        <w:rPr>
          <w:lang w:val="lv-LV"/>
        </w:rPr>
        <w:t>, Rīg</w:t>
      </w:r>
      <w:r w:rsidR="00672C9A">
        <w:rPr>
          <w:lang w:val="lv-LV"/>
        </w:rPr>
        <w:t>u</w:t>
      </w:r>
      <w:r w:rsidR="00F05299">
        <w:rPr>
          <w:lang w:val="lv-LV"/>
        </w:rPr>
        <w:t xml:space="preserve"> un Pierīg</w:t>
      </w:r>
      <w:r w:rsidR="00672C9A">
        <w:rPr>
          <w:lang w:val="lv-LV"/>
        </w:rPr>
        <w:t>u</w:t>
      </w:r>
      <w:r w:rsidR="00F05299">
        <w:rPr>
          <w:lang w:val="lv-LV"/>
        </w:rPr>
        <w:t xml:space="preserve"> </w:t>
      </w:r>
      <w:r w:rsidR="00672C9A">
        <w:rPr>
          <w:lang w:val="lv-LV"/>
        </w:rPr>
        <w:t>iepretim</w:t>
      </w:r>
      <w:r w:rsidR="00F05299">
        <w:rPr>
          <w:lang w:val="lv-LV"/>
        </w:rPr>
        <w:t xml:space="preserve"> </w:t>
      </w:r>
      <w:r w:rsidR="00ED464E">
        <w:rPr>
          <w:lang w:val="lv-LV"/>
        </w:rPr>
        <w:t>citām pašvaldībām</w:t>
      </w:r>
      <w:r w:rsidR="009B6C14">
        <w:rPr>
          <w:lang w:val="lv-LV"/>
        </w:rPr>
        <w:t xml:space="preserve">, </w:t>
      </w:r>
      <w:r w:rsidR="00BF4B7F">
        <w:rPr>
          <w:lang w:val="lv-LV"/>
        </w:rPr>
        <w:t>kas attiecīgi kavē</w:t>
      </w:r>
      <w:r w:rsidR="009B6C14">
        <w:rPr>
          <w:lang w:val="lv-LV"/>
        </w:rPr>
        <w:t xml:space="preserve"> reģionu </w:t>
      </w:r>
      <w:r w:rsidR="00BF4B7F">
        <w:rPr>
          <w:lang w:val="lv-LV"/>
        </w:rPr>
        <w:t>izaugsmi:</w:t>
      </w:r>
    </w:p>
    <w:p w14:paraId="140A3BC0" w14:textId="582912C4" w:rsidR="005E5F6B" w:rsidRDefault="00016E7A" w:rsidP="00016E7A">
      <w:pPr>
        <w:ind w:left="720"/>
        <w:rPr>
          <w:i/>
          <w:color w:val="374C80" w:themeColor="accent1" w:themeShade="BF"/>
          <w:lang w:val="lv-LV"/>
        </w:rPr>
      </w:pPr>
      <w:r w:rsidRPr="00016E7A">
        <w:rPr>
          <w:i/>
          <w:color w:val="374C80" w:themeColor="accent1" w:themeShade="BF"/>
          <w:lang w:val="lv-LV"/>
        </w:rPr>
        <w:t>“Priekšrocības ir ostas pilsētām, kuras vairāk dzīvo uz valsts vai ES finansētiem attīstības projektiem. Tur daudz maz izdevīgi var attīstīt eksporta preču ražošanu dēļ.”</w:t>
      </w:r>
    </w:p>
    <w:p w14:paraId="00C93BEF" w14:textId="77777777" w:rsidR="009073AC" w:rsidRPr="00016E7A" w:rsidRDefault="009073AC" w:rsidP="00016E7A">
      <w:pPr>
        <w:ind w:left="720"/>
        <w:rPr>
          <w:i/>
          <w:color w:val="374C80" w:themeColor="accent1" w:themeShade="BF"/>
          <w:lang w:val="lv-LV"/>
        </w:rPr>
      </w:pPr>
    </w:p>
    <w:p w14:paraId="273D75BD" w14:textId="0C7B2928" w:rsidR="008C4662" w:rsidRPr="00595533" w:rsidRDefault="00654F5A" w:rsidP="008C4662">
      <w:pPr>
        <w:pStyle w:val="Heading2"/>
        <w:rPr>
          <w:lang w:val="lv-LV"/>
        </w:rPr>
      </w:pPr>
      <w:bookmarkStart w:id="65" w:name="_Toc498690643"/>
      <w:bookmarkStart w:id="66" w:name="_Toc499025321"/>
      <w:r>
        <w:rPr>
          <w:lang w:val="lv-LV"/>
        </w:rPr>
        <w:t xml:space="preserve">3.11. </w:t>
      </w:r>
      <w:r w:rsidR="008C4662" w:rsidRPr="00595533">
        <w:rPr>
          <w:lang w:val="lv-LV"/>
        </w:rPr>
        <w:t>Pakalpojumu pieejamība līdzvērtīgu darba iespēju un dzīves apstākļu radīšanai</w:t>
      </w:r>
      <w:bookmarkEnd w:id="65"/>
      <w:bookmarkEnd w:id="66"/>
    </w:p>
    <w:p w14:paraId="5CD7EA66" w14:textId="65E13374" w:rsidR="005724B3" w:rsidRPr="00595533" w:rsidRDefault="002848DA" w:rsidP="005E0260">
      <w:pPr>
        <w:rPr>
          <w:lang w:val="lv-LV"/>
        </w:rPr>
      </w:pPr>
      <w:r w:rsidRPr="00595533">
        <w:rPr>
          <w:lang w:val="lv-LV"/>
        </w:rPr>
        <w:t xml:space="preserve">Rīcības virziens </w:t>
      </w:r>
      <w:r w:rsidRPr="00595533">
        <w:rPr>
          <w:i/>
          <w:lang w:val="lv-LV"/>
        </w:rPr>
        <w:t xml:space="preserve">Pakalpojumu pieejamība līdzvērtīgu darba iespēju un dzīves apstākļu radīšanai </w:t>
      </w:r>
      <w:r w:rsidRPr="00595533">
        <w:rPr>
          <w:lang w:val="lv-LV"/>
        </w:rPr>
        <w:t>paredz mazināt dzīves kvalitātes atšķirības</w:t>
      </w:r>
      <w:r w:rsidR="00E16B22" w:rsidRPr="00595533">
        <w:rPr>
          <w:lang w:val="lv-LV"/>
        </w:rPr>
        <w:t xml:space="preserve"> starp mazāk attīstītām un attīstītām </w:t>
      </w:r>
      <w:r w:rsidR="00AF60E3" w:rsidRPr="00595533">
        <w:rPr>
          <w:lang w:val="lv-LV"/>
        </w:rPr>
        <w:t>teritorijām. Lai to nodrošinātu</w:t>
      </w:r>
      <w:r w:rsidR="00E16B22" w:rsidRPr="00595533">
        <w:rPr>
          <w:lang w:val="lv-LV"/>
        </w:rPr>
        <w:t>, paredzēts uzlabot reģionālo un valsts galveno autoceļu stāvokli</w:t>
      </w:r>
      <w:r w:rsidR="00DF0446" w:rsidRPr="00595533">
        <w:rPr>
          <w:lang w:val="lv-LV"/>
        </w:rPr>
        <w:t xml:space="preserve">, kā arī </w:t>
      </w:r>
      <w:r w:rsidR="004F6F9C" w:rsidRPr="00595533">
        <w:rPr>
          <w:lang w:val="lv-LV"/>
        </w:rPr>
        <w:t xml:space="preserve">to </w:t>
      </w:r>
      <w:r w:rsidR="00DF0446" w:rsidRPr="00595533">
        <w:rPr>
          <w:lang w:val="lv-LV"/>
        </w:rPr>
        <w:t>vietējo autoceļu un pievadceļu stāvokli, kas savieno apdzīvotās vietas ar reģionā</w:t>
      </w:r>
      <w:r w:rsidR="00E111E0" w:rsidRPr="00595533">
        <w:rPr>
          <w:lang w:val="lv-LV"/>
        </w:rPr>
        <w:t>lās nozīmes attīstības centriem</w:t>
      </w:r>
      <w:r w:rsidR="00DF0446" w:rsidRPr="00595533">
        <w:rPr>
          <w:lang w:val="lv-LV"/>
        </w:rPr>
        <w:t xml:space="preserve"> vai </w:t>
      </w:r>
      <w:r w:rsidR="00E111E0" w:rsidRPr="00595533">
        <w:rPr>
          <w:lang w:val="lv-LV"/>
        </w:rPr>
        <w:t xml:space="preserve">lauksaimniecības, pārtikas ražošanas vai mežsaimniecības </w:t>
      </w:r>
      <w:r w:rsidR="00DF0446" w:rsidRPr="00595533">
        <w:rPr>
          <w:lang w:val="lv-LV"/>
        </w:rPr>
        <w:t>uzņēmumiem</w:t>
      </w:r>
      <w:r w:rsidR="00E111E0" w:rsidRPr="00595533">
        <w:rPr>
          <w:lang w:val="lv-LV"/>
        </w:rPr>
        <w:t>. Tāpat plānots uz</w:t>
      </w:r>
      <w:r w:rsidR="00780E45" w:rsidRPr="00595533">
        <w:rPr>
          <w:lang w:val="lv-LV"/>
        </w:rPr>
        <w:t>labot sabiedriskā transporta p</w:t>
      </w:r>
      <w:r w:rsidR="00E111E0" w:rsidRPr="00595533">
        <w:rPr>
          <w:lang w:val="lv-LV"/>
        </w:rPr>
        <w:t>ak</w:t>
      </w:r>
      <w:r w:rsidR="00780E45" w:rsidRPr="00595533">
        <w:rPr>
          <w:lang w:val="lv-LV"/>
        </w:rPr>
        <w:t>a</w:t>
      </w:r>
      <w:r w:rsidR="00E111E0" w:rsidRPr="00595533">
        <w:rPr>
          <w:lang w:val="lv-LV"/>
        </w:rPr>
        <w:t>lpojumu organizēšanu vienotā autobusu un vilcienu maršrutu tīklā, atvieglojot pasažieru nokļūšanu no laukiem uz</w:t>
      </w:r>
      <w:r w:rsidR="00780E45" w:rsidRPr="00595533">
        <w:rPr>
          <w:lang w:val="lv-LV"/>
        </w:rPr>
        <w:t xml:space="preserve"> attīstības centriem, un paplašināt ātrgaitas datu pārraides tīklu pieejamību visā Latvijā, lai cita starpā atvieglotu iedzīvotāju elektronisku saziņu ar publisko pakalpojumu sniedzējiem, vienlaikus paralēli attīstot publiskos e-pakalpojumus un digitālo saturu internetā</w:t>
      </w:r>
      <w:r w:rsidR="004F6F9C" w:rsidRPr="00595533">
        <w:rPr>
          <w:lang w:val="lv-LV"/>
        </w:rPr>
        <w:t xml:space="preserve">. </w:t>
      </w:r>
      <w:r w:rsidR="00262989" w:rsidRPr="00595533">
        <w:rPr>
          <w:lang w:val="lv-LV"/>
        </w:rPr>
        <w:t>Paredzēts arī optimizēt klātienē pieejamos publiskos pakalpojumus atbilstoši vienas pieturas aģentūras principam un noteikt publisko un sabiedrisko pakalpojumu grozu dažādiem apdzīvojuma līmeņiem. Lai kavētu iedzīvotāju aizplūšanu uz Rīgas aglomerāciju</w:t>
      </w:r>
      <w:r w:rsidR="00976D84" w:rsidRPr="00595533">
        <w:rPr>
          <w:lang w:val="lv-LV"/>
        </w:rPr>
        <w:t xml:space="preserve"> un sekmētu reģionālo attīstību, rīcības virziena ietvaros plānots </w:t>
      </w:r>
      <w:r w:rsidR="0040141F" w:rsidRPr="00595533">
        <w:rPr>
          <w:lang w:val="lv-LV"/>
        </w:rPr>
        <w:t>izveidot sistēmu publisko pakalpojumu jomas darbinieku piesaistīšanai darbam ārpus Rīgas.</w:t>
      </w:r>
    </w:p>
    <w:p w14:paraId="46BFD031" w14:textId="77777777" w:rsidR="00184FFF" w:rsidRPr="00595533" w:rsidRDefault="00184FFF" w:rsidP="00184FFF">
      <w:pPr>
        <w:pStyle w:val="NoSpacing"/>
        <w:rPr>
          <w:sz w:val="10"/>
          <w:szCs w:val="10"/>
          <w:lang w:val="lv-LV"/>
        </w:rPr>
      </w:pPr>
    </w:p>
    <w:p w14:paraId="47A2C191" w14:textId="77777777" w:rsidR="00184FFF" w:rsidRPr="00595533" w:rsidRDefault="00184FFF" w:rsidP="00184FFF">
      <w:pPr>
        <w:pStyle w:val="Heading3"/>
        <w:rPr>
          <w:lang w:val="lv-LV"/>
        </w:rPr>
      </w:pPr>
      <w:bookmarkStart w:id="67" w:name="_Toc498690644"/>
      <w:r w:rsidRPr="00595533">
        <w:rPr>
          <w:lang w:val="lv-LV"/>
        </w:rPr>
        <w:t>UZDEVUMU ĪSTENOŠANAS PROGRESS</w:t>
      </w:r>
      <w:bookmarkEnd w:id="67"/>
    </w:p>
    <w:p w14:paraId="43AE9FE3" w14:textId="6DF6A715" w:rsidR="00D64B83" w:rsidRPr="00595533" w:rsidRDefault="00D64B83" w:rsidP="00D64B83">
      <w:pPr>
        <w:rPr>
          <w:b/>
          <w:szCs w:val="22"/>
          <w:u w:val="single"/>
          <w:lang w:val="lv-LV"/>
        </w:rPr>
      </w:pPr>
      <w:r w:rsidRPr="00595533">
        <w:rPr>
          <w:b/>
          <w:szCs w:val="22"/>
          <w:u w:val="single"/>
          <w:lang w:val="lv-LV"/>
        </w:rPr>
        <w:t>Transports un autoceļi</w:t>
      </w:r>
    </w:p>
    <w:p w14:paraId="598CF07E" w14:textId="2BBA2D2F" w:rsidR="00894C81" w:rsidRPr="00595533" w:rsidRDefault="00894C81" w:rsidP="00D64B83">
      <w:pPr>
        <w:rPr>
          <w:szCs w:val="22"/>
          <w:lang w:val="lv-LV"/>
        </w:rPr>
      </w:pPr>
      <w:r w:rsidRPr="00595533">
        <w:rPr>
          <w:b/>
          <w:szCs w:val="22"/>
          <w:lang w:val="lv-LV"/>
        </w:rPr>
        <w:t>Valsts reģionālo autoceļu</w:t>
      </w:r>
      <w:r w:rsidRPr="00595533">
        <w:rPr>
          <w:szCs w:val="22"/>
          <w:lang w:val="lv-LV"/>
        </w:rPr>
        <w:t xml:space="preserve"> pārbūve, piesaistot ERAF līdzfinansējumu, tiek īstenota atbilstoši plānotajai būvprojektu gatavībai</w:t>
      </w:r>
      <w:r w:rsidR="00164164">
        <w:rPr>
          <w:szCs w:val="22"/>
          <w:lang w:val="lv-LV"/>
        </w:rPr>
        <w:t xml:space="preserve"> un finansējuma pieejamībai</w:t>
      </w:r>
      <w:r w:rsidRPr="00595533">
        <w:rPr>
          <w:szCs w:val="22"/>
          <w:lang w:val="lv-LV"/>
        </w:rPr>
        <w:t>. Valsts reģionālo autoceļu segumu atjaunošana tiek veikta atbilstoši apstiprināta</w:t>
      </w:r>
      <w:r w:rsidR="00AF60E3" w:rsidRPr="00595533">
        <w:rPr>
          <w:szCs w:val="22"/>
          <w:lang w:val="lv-LV"/>
        </w:rPr>
        <w:t>i valsts autoceļu sakārtošanas trīs</w:t>
      </w:r>
      <w:r w:rsidRPr="00595533">
        <w:rPr>
          <w:szCs w:val="22"/>
          <w:lang w:val="lv-LV"/>
        </w:rPr>
        <w:t xml:space="preserve"> gadu programmai piešķirtā valsts budžeta finansējuma apjomā. Šīs darbības ir ļoti nozīmīgas mērķa sasniegšanā un uzdevuma īstenošanā, </w:t>
      </w:r>
      <w:r w:rsidR="00AF60E3" w:rsidRPr="00595533">
        <w:rPr>
          <w:szCs w:val="22"/>
          <w:lang w:val="lv-LV"/>
        </w:rPr>
        <w:t xml:space="preserve">tomēr </w:t>
      </w:r>
      <w:r w:rsidRPr="00595533">
        <w:rPr>
          <w:szCs w:val="22"/>
          <w:lang w:val="lv-LV"/>
        </w:rPr>
        <w:t xml:space="preserve">vienlaikus </w:t>
      </w:r>
      <w:r w:rsidR="00AF60E3" w:rsidRPr="00595533">
        <w:rPr>
          <w:szCs w:val="22"/>
          <w:lang w:val="lv-LV"/>
        </w:rPr>
        <w:t>jāatzīmē, ka pilnvērtīga NAP2020 dotā uzdevuma izpilde nebūs iespējama</w:t>
      </w:r>
      <w:r w:rsidRPr="00595533">
        <w:rPr>
          <w:szCs w:val="22"/>
          <w:lang w:val="lv-LV"/>
        </w:rPr>
        <w:t xml:space="preserve"> nepietiekamā apjomā piešķirtā finansējuma dēļ. No 2014.</w:t>
      </w:r>
      <w:r w:rsidR="00AF60E3" w:rsidRPr="00595533">
        <w:rPr>
          <w:szCs w:val="22"/>
          <w:lang w:val="lv-LV"/>
        </w:rPr>
        <w:t> </w:t>
      </w:r>
      <w:r w:rsidRPr="00595533">
        <w:rPr>
          <w:szCs w:val="22"/>
          <w:lang w:val="lv-LV"/>
        </w:rPr>
        <w:t>gada sākuma līdz 2016.</w:t>
      </w:r>
      <w:r w:rsidR="00AF60E3" w:rsidRPr="00595533">
        <w:rPr>
          <w:szCs w:val="22"/>
          <w:lang w:val="lv-LV"/>
        </w:rPr>
        <w:t xml:space="preserve"> gada beigām izlietoti 32,2 </w:t>
      </w:r>
      <w:r w:rsidR="00486B18" w:rsidRPr="00595533">
        <w:rPr>
          <w:szCs w:val="22"/>
          <w:lang w:val="lv-LV"/>
        </w:rPr>
        <w:t>mlj</w:t>
      </w:r>
      <w:r w:rsidRPr="00595533">
        <w:rPr>
          <w:szCs w:val="22"/>
          <w:lang w:val="lv-LV"/>
        </w:rPr>
        <w:t xml:space="preserve"> euro jeb 57% no plānotā finansējuma apjoma un v</w:t>
      </w:r>
      <w:r w:rsidRPr="00595533">
        <w:rPr>
          <w:rFonts w:eastAsia="Times New Roman"/>
          <w:szCs w:val="22"/>
          <w:lang w:val="lv-LV" w:eastAsia="lv-LV"/>
        </w:rPr>
        <w:t>eikta segumu atjaunošana 203 km valsts autoceļu, tādējādi samazinot valsts reģionālo autoceļu ar asfalta segumu sliktā un ļoti sliktā stāvoklī īpatsvaru salīdzinājumā pret 2012.</w:t>
      </w:r>
      <w:r w:rsidR="00AF60E3" w:rsidRPr="00595533">
        <w:rPr>
          <w:rFonts w:eastAsia="Times New Roman"/>
          <w:szCs w:val="22"/>
          <w:lang w:val="lv-LV" w:eastAsia="lv-LV"/>
        </w:rPr>
        <w:t> </w:t>
      </w:r>
      <w:r w:rsidRPr="00595533">
        <w:rPr>
          <w:rFonts w:eastAsia="Times New Roman"/>
          <w:szCs w:val="22"/>
          <w:lang w:val="lv-LV" w:eastAsia="lv-LV"/>
        </w:rPr>
        <w:t>gadu tikai par 2%, nevis 20% kā plānots 2017.</w:t>
      </w:r>
      <w:r w:rsidR="00AF60E3" w:rsidRPr="00595533">
        <w:rPr>
          <w:rFonts w:eastAsia="Times New Roman"/>
          <w:szCs w:val="22"/>
          <w:lang w:val="lv-LV" w:eastAsia="lv-LV"/>
        </w:rPr>
        <w:t> </w:t>
      </w:r>
      <w:r w:rsidRPr="00595533">
        <w:rPr>
          <w:rFonts w:eastAsia="Times New Roman"/>
          <w:szCs w:val="22"/>
          <w:lang w:val="lv-LV" w:eastAsia="lv-LV"/>
        </w:rPr>
        <w:t>gad</w:t>
      </w:r>
      <w:r w:rsidR="0087382A">
        <w:rPr>
          <w:rFonts w:eastAsia="Times New Roman"/>
          <w:szCs w:val="22"/>
          <w:lang w:val="lv-LV" w:eastAsia="lv-LV"/>
        </w:rPr>
        <w:t>ā</w:t>
      </w:r>
      <w:r w:rsidRPr="00595533">
        <w:rPr>
          <w:rFonts w:eastAsia="Times New Roman"/>
          <w:szCs w:val="22"/>
          <w:lang w:val="lv-LV" w:eastAsia="lv-LV"/>
        </w:rPr>
        <w:t xml:space="preserve">. </w:t>
      </w:r>
      <w:r w:rsidRPr="00595533">
        <w:rPr>
          <w:szCs w:val="22"/>
          <w:lang w:val="lv-LV"/>
        </w:rPr>
        <w:t>Papildus faktors, kas kavējis noteikto rezultātu sasniegšanu, ir būvniecības izmaksu palielināšanās. 2013.</w:t>
      </w:r>
      <w:r w:rsidR="00AF60E3" w:rsidRPr="00595533">
        <w:rPr>
          <w:szCs w:val="22"/>
          <w:lang w:val="lv-LV"/>
        </w:rPr>
        <w:t> </w:t>
      </w:r>
      <w:r w:rsidRPr="00595533">
        <w:rPr>
          <w:szCs w:val="22"/>
          <w:lang w:val="lv-LV"/>
        </w:rPr>
        <w:t xml:space="preserve">gadā tika veiktas būtiskas izmaiņas </w:t>
      </w:r>
      <w:r w:rsidR="00AF60E3" w:rsidRPr="00595533">
        <w:rPr>
          <w:szCs w:val="22"/>
          <w:lang w:val="lv-LV"/>
        </w:rPr>
        <w:t>un ar 2014. gadu</w:t>
      </w:r>
      <w:r w:rsidRPr="00595533">
        <w:rPr>
          <w:szCs w:val="22"/>
          <w:lang w:val="lv-LV"/>
        </w:rPr>
        <w:t xml:space="preserve"> stājās spēkā Ceļu specifikācijas 2014, kurās LVC sadarbībā ar autoceļu nozares pārstāvjiem iestrādāja aktuālās, ar nozari </w:t>
      </w:r>
      <w:r w:rsidR="00AF60E3" w:rsidRPr="00595533">
        <w:rPr>
          <w:szCs w:val="22"/>
          <w:lang w:val="lv-LV"/>
        </w:rPr>
        <w:t xml:space="preserve">saistītās standartu prasības nolūkā uzlabot </w:t>
      </w:r>
      <w:r w:rsidRPr="00595533">
        <w:rPr>
          <w:szCs w:val="22"/>
          <w:lang w:val="lv-LV"/>
        </w:rPr>
        <w:t>autoceļu būvniecības kvalitāt</w:t>
      </w:r>
      <w:r w:rsidR="00AF60E3" w:rsidRPr="00595533">
        <w:rPr>
          <w:szCs w:val="22"/>
          <w:lang w:val="lv-LV"/>
        </w:rPr>
        <w:t>i</w:t>
      </w:r>
      <w:r w:rsidRPr="00595533">
        <w:rPr>
          <w:szCs w:val="22"/>
          <w:lang w:val="lv-LV"/>
        </w:rPr>
        <w:t>. Vēl viens faktors, kas ietekmē projektu īstenošanas izmaksu pieaugumu</w:t>
      </w:r>
      <w:r w:rsidR="00AF60E3" w:rsidRPr="00595533">
        <w:rPr>
          <w:szCs w:val="22"/>
          <w:lang w:val="lv-LV"/>
        </w:rPr>
        <w:t>,</w:t>
      </w:r>
      <w:r w:rsidRPr="00595533">
        <w:rPr>
          <w:szCs w:val="22"/>
          <w:lang w:val="lv-LV"/>
        </w:rPr>
        <w:t xml:space="preserve"> ir projekta tiešo administratīvo izmaksu palielinājums, kas saistīts ar projektētāju atbildības pieaugumu, paredzot, ka būvprojekta autoram 100% apmērā no projektēšanas līgumā noteiktās līgumcenas jāsedz to būvdarbu izmaksas, k</w:t>
      </w:r>
      <w:r w:rsidR="00AF60E3" w:rsidRPr="00595533">
        <w:rPr>
          <w:szCs w:val="22"/>
          <w:lang w:val="lv-LV"/>
        </w:rPr>
        <w:t>as veikti būvprojektu kļūdu dēļ. L</w:t>
      </w:r>
      <w:r w:rsidRPr="00595533">
        <w:rPr>
          <w:szCs w:val="22"/>
          <w:lang w:val="lv-LV"/>
        </w:rPr>
        <w:t xml:space="preserve">īdz ar to būvprojektu projektētāji daudz detalizētāk izvērtē projekta kvalitātes prasības, kā arī būvprojekta izstrādē ietver padziļinātus ģeoloģiskās izpētes darbus. Ņemot vērā, ka </w:t>
      </w:r>
      <w:r w:rsidR="00AF60E3" w:rsidRPr="00595533">
        <w:rPr>
          <w:szCs w:val="22"/>
          <w:lang w:val="lv-LV"/>
        </w:rPr>
        <w:t>līdz 2020. </w:t>
      </w:r>
      <w:r w:rsidRPr="00595533">
        <w:rPr>
          <w:szCs w:val="22"/>
          <w:lang w:val="lv-LV"/>
        </w:rPr>
        <w:t xml:space="preserve">gadam nav iespējams </w:t>
      </w:r>
      <w:r w:rsidRPr="00595533">
        <w:rPr>
          <w:szCs w:val="22"/>
          <w:lang w:val="lv-LV"/>
        </w:rPr>
        <w:lastRenderedPageBreak/>
        <w:t>sasniegt NAP2020 mērķus nepietiekošā finansējuma dēļ, indikatīvi tam nepieciešamais fin</w:t>
      </w:r>
      <w:r w:rsidR="00AF60E3" w:rsidRPr="00595533">
        <w:rPr>
          <w:szCs w:val="22"/>
          <w:lang w:val="lv-LV"/>
        </w:rPr>
        <w:t>ansējums līdz 2023. gadam – 240, 62 mlj</w:t>
      </w:r>
      <w:r w:rsidRPr="00595533">
        <w:rPr>
          <w:szCs w:val="22"/>
          <w:lang w:val="lv-LV"/>
        </w:rPr>
        <w:t xml:space="preserve"> euro. </w:t>
      </w:r>
    </w:p>
    <w:p w14:paraId="11C40459" w14:textId="47D198F6" w:rsidR="00894C81" w:rsidRPr="00595533" w:rsidRDefault="00D64B83" w:rsidP="00D64B83">
      <w:pPr>
        <w:rPr>
          <w:rFonts w:eastAsiaTheme="minorHAnsi"/>
          <w:i/>
          <w:szCs w:val="22"/>
          <w:lang w:val="lv-LV"/>
        </w:rPr>
      </w:pPr>
      <w:r w:rsidRPr="00595533">
        <w:rPr>
          <w:szCs w:val="22"/>
          <w:lang w:val="lv-LV"/>
        </w:rPr>
        <w:t xml:space="preserve">Savukārt </w:t>
      </w:r>
      <w:r w:rsidRPr="00595533">
        <w:rPr>
          <w:b/>
          <w:szCs w:val="22"/>
          <w:lang w:val="lv-LV"/>
        </w:rPr>
        <w:t>v</w:t>
      </w:r>
      <w:r w:rsidR="00894C81" w:rsidRPr="00595533">
        <w:rPr>
          <w:b/>
          <w:szCs w:val="22"/>
          <w:lang w:val="lv-LV"/>
        </w:rPr>
        <w:t>ietējo autoceļu un pieva</w:t>
      </w:r>
      <w:r w:rsidRPr="00595533">
        <w:rPr>
          <w:b/>
          <w:szCs w:val="22"/>
          <w:lang w:val="lv-LV"/>
        </w:rPr>
        <w:t>dceļu</w:t>
      </w:r>
      <w:r w:rsidRPr="00595533">
        <w:rPr>
          <w:szCs w:val="22"/>
          <w:lang w:val="lv-LV"/>
        </w:rPr>
        <w:t xml:space="preserve"> sakārtošanai</w:t>
      </w:r>
      <w:r w:rsidR="00894C81" w:rsidRPr="00595533">
        <w:rPr>
          <w:szCs w:val="22"/>
          <w:lang w:val="lv-LV"/>
        </w:rPr>
        <w:t xml:space="preserve"> </w:t>
      </w:r>
      <w:r w:rsidRPr="00595533">
        <w:rPr>
          <w:szCs w:val="22"/>
          <w:lang w:val="lv-LV"/>
        </w:rPr>
        <w:t xml:space="preserve">pārskata periodā publiskie resursi </w:t>
      </w:r>
      <w:r w:rsidR="00894C81" w:rsidRPr="00595533">
        <w:rPr>
          <w:szCs w:val="22"/>
          <w:lang w:val="lv-LV"/>
        </w:rPr>
        <w:t xml:space="preserve">nav ieguldīti, jo līdz šim nav piešķirts finansējums vietējo autoceļu seguma un tiltu atjaunošanai, kuri savieno lauksaimniecības, pārtikas ražošanas un mežsaimniecības uzņēmumus ar valsts ceļiem. Līdz ar to vietējo autoceļu stāvoklis ir pasliktinājies un sliktā un ļoti sliktā stāvoklī esošo vietējo autoceļu īpatsvars no visiem valsts vietējiem </w:t>
      </w:r>
      <w:r w:rsidRPr="00595533">
        <w:rPr>
          <w:szCs w:val="22"/>
          <w:lang w:val="lv-LV"/>
        </w:rPr>
        <w:t>autoceļiem ir pieaudzis no 41,4</w:t>
      </w:r>
      <w:r w:rsidR="00894C81" w:rsidRPr="00595533">
        <w:rPr>
          <w:szCs w:val="22"/>
          <w:lang w:val="lv-LV"/>
        </w:rPr>
        <w:t>% 2014.</w:t>
      </w:r>
      <w:r w:rsidRPr="00595533">
        <w:rPr>
          <w:szCs w:val="22"/>
          <w:lang w:val="lv-LV"/>
        </w:rPr>
        <w:t> </w:t>
      </w:r>
      <w:r w:rsidR="00894C81" w:rsidRPr="00595533">
        <w:rPr>
          <w:szCs w:val="22"/>
          <w:lang w:val="lv-LV"/>
        </w:rPr>
        <w:t>gadā līdz 42,8% 2016.</w:t>
      </w:r>
      <w:r w:rsidRPr="00595533">
        <w:rPr>
          <w:szCs w:val="22"/>
          <w:lang w:val="lv-LV"/>
        </w:rPr>
        <w:t> </w:t>
      </w:r>
      <w:r w:rsidR="00894C81" w:rsidRPr="00595533">
        <w:rPr>
          <w:szCs w:val="22"/>
          <w:lang w:val="lv-LV"/>
        </w:rPr>
        <w:t>gadā.</w:t>
      </w:r>
    </w:p>
    <w:p w14:paraId="043EF5CB" w14:textId="71838699" w:rsidR="00894C81" w:rsidRPr="00595533" w:rsidRDefault="00894C81" w:rsidP="00D64B83">
      <w:pPr>
        <w:rPr>
          <w:szCs w:val="22"/>
          <w:lang w:val="lv-LV"/>
        </w:rPr>
      </w:pPr>
      <w:r w:rsidRPr="00595533">
        <w:rPr>
          <w:b/>
          <w:szCs w:val="22"/>
          <w:lang w:val="lv-LV"/>
        </w:rPr>
        <w:t>Valsts galveno autoceļu</w:t>
      </w:r>
      <w:r w:rsidRPr="00595533">
        <w:rPr>
          <w:szCs w:val="22"/>
          <w:lang w:val="lv-LV"/>
        </w:rPr>
        <w:t xml:space="preserve"> seguma rekonstrukcija tiek īstenota atbilstoši plānotajam. Uzdevuma ietvaros izlietota</w:t>
      </w:r>
      <w:r w:rsidR="00D64B83" w:rsidRPr="00595533">
        <w:rPr>
          <w:szCs w:val="22"/>
          <w:lang w:val="lv-LV"/>
        </w:rPr>
        <w:t xml:space="preserve">is finansējums līdz </w:t>
      </w:r>
      <w:r w:rsidRPr="00595533">
        <w:rPr>
          <w:szCs w:val="22"/>
          <w:lang w:val="lv-LV"/>
        </w:rPr>
        <w:t>2016.</w:t>
      </w:r>
      <w:r w:rsidR="00D64B83" w:rsidRPr="00595533">
        <w:rPr>
          <w:szCs w:val="22"/>
          <w:lang w:val="lv-LV"/>
        </w:rPr>
        <w:t xml:space="preserve"> gada beigam ir 143,37 </w:t>
      </w:r>
      <w:r w:rsidR="00486B18" w:rsidRPr="00595533">
        <w:rPr>
          <w:szCs w:val="22"/>
          <w:lang w:val="lv-LV"/>
        </w:rPr>
        <w:t>mlj</w:t>
      </w:r>
      <w:r w:rsidRPr="00595533">
        <w:rPr>
          <w:szCs w:val="22"/>
          <w:lang w:val="lv-LV"/>
        </w:rPr>
        <w:t xml:space="preserve"> euro un veikta segas pārbūve 149,9km valsts galvenajiem autoceļiem. Valsts galveno autoceļu pārbūve, piesaistot KF līdzfinansējumu, tiek īstenota atbilstoši plānotajai būvprojektu gatavībai. </w:t>
      </w:r>
      <w:r w:rsidR="00D64B83" w:rsidRPr="00595533">
        <w:rPr>
          <w:szCs w:val="22"/>
          <w:lang w:val="lv-LV"/>
        </w:rPr>
        <w:t>Šo</w:t>
      </w:r>
      <w:r w:rsidRPr="00595533">
        <w:rPr>
          <w:szCs w:val="22"/>
          <w:lang w:val="lv-LV"/>
        </w:rPr>
        <w:t xml:space="preserve"> autoceļu stāvoklis ir ievērojami uzlabots, </w:t>
      </w:r>
      <w:r w:rsidR="00D64B83" w:rsidRPr="00595533">
        <w:rPr>
          <w:szCs w:val="22"/>
          <w:lang w:val="lv-LV"/>
        </w:rPr>
        <w:t>taču</w:t>
      </w:r>
      <w:r w:rsidRPr="00595533">
        <w:rPr>
          <w:rFonts w:eastAsia="Times New Roman"/>
          <w:szCs w:val="22"/>
          <w:lang w:val="lv-LV" w:eastAsia="lv-LV"/>
        </w:rPr>
        <w:t xml:space="preserve"> vienlaikus 35,3%</w:t>
      </w:r>
      <w:r w:rsidRPr="00595533">
        <w:rPr>
          <w:szCs w:val="22"/>
          <w:lang w:val="lv-LV"/>
        </w:rPr>
        <w:t xml:space="preserve"> valsts galveno autoceļu joprojām ir sliktā un ļoti sliktā stāvoklī</w:t>
      </w:r>
      <w:r w:rsidR="00D64B83" w:rsidRPr="00595533">
        <w:rPr>
          <w:rFonts w:eastAsia="Times New Roman"/>
          <w:szCs w:val="22"/>
          <w:lang w:val="lv-LV" w:eastAsia="lv-LV"/>
        </w:rPr>
        <w:t>. J</w:t>
      </w:r>
      <w:r w:rsidRPr="00595533">
        <w:rPr>
          <w:rFonts w:eastAsia="Times New Roman"/>
          <w:szCs w:val="22"/>
          <w:lang w:val="lv-LV" w:eastAsia="lv-LV"/>
        </w:rPr>
        <w:t>ānorāda, ka b</w:t>
      </w:r>
      <w:r w:rsidRPr="00595533">
        <w:rPr>
          <w:szCs w:val="22"/>
          <w:lang w:val="lv-LV"/>
        </w:rPr>
        <w:t>ūvdarbu sadārdzinājuma dēļ pastāv risks, ka net</w:t>
      </w:r>
      <w:r w:rsidR="00D64B83" w:rsidRPr="00595533">
        <w:rPr>
          <w:szCs w:val="22"/>
          <w:lang w:val="lv-LV"/>
        </w:rPr>
        <w:t xml:space="preserve">iks sasniegts plānotais mērķis, jo </w:t>
      </w:r>
      <w:r w:rsidRPr="00595533">
        <w:rPr>
          <w:szCs w:val="22"/>
          <w:lang w:val="lv-LV"/>
        </w:rPr>
        <w:t xml:space="preserve">indikatīvi </w:t>
      </w:r>
      <w:r w:rsidR="00D64B83" w:rsidRPr="00595533">
        <w:rPr>
          <w:szCs w:val="22"/>
          <w:lang w:val="lv-LV"/>
        </w:rPr>
        <w:t xml:space="preserve">papildus </w:t>
      </w:r>
      <w:r w:rsidRPr="00595533">
        <w:rPr>
          <w:szCs w:val="22"/>
          <w:lang w:val="lv-LV"/>
        </w:rPr>
        <w:t>nepieciešamais valsts budžeta finansē</w:t>
      </w:r>
      <w:r w:rsidR="00D64B83" w:rsidRPr="00595533">
        <w:rPr>
          <w:szCs w:val="22"/>
          <w:lang w:val="lv-LV"/>
        </w:rPr>
        <w:t>jums tā sasniegšanai līdz 2023. gadam ir</w:t>
      </w:r>
      <w:r w:rsidRPr="00595533">
        <w:rPr>
          <w:szCs w:val="22"/>
          <w:lang w:val="lv-LV"/>
        </w:rPr>
        <w:t xml:space="preserve"> 169</w:t>
      </w:r>
      <w:r w:rsidR="00D64B83" w:rsidRPr="00595533">
        <w:rPr>
          <w:szCs w:val="22"/>
          <w:lang w:val="lv-LV"/>
        </w:rPr>
        <w:t>,3 mlj</w:t>
      </w:r>
      <w:r w:rsidRPr="00595533">
        <w:rPr>
          <w:szCs w:val="22"/>
          <w:lang w:val="lv-LV"/>
        </w:rPr>
        <w:t xml:space="preserve"> euro.</w:t>
      </w:r>
    </w:p>
    <w:p w14:paraId="79EE5531" w14:textId="3C7ABBCA" w:rsidR="00894C81" w:rsidRPr="00595533" w:rsidRDefault="00894C81" w:rsidP="00D909FA">
      <w:pPr>
        <w:rPr>
          <w:lang w:val="lv-LV"/>
        </w:rPr>
      </w:pPr>
      <w:r w:rsidRPr="00595533">
        <w:rPr>
          <w:lang w:val="lv-LV"/>
        </w:rPr>
        <w:t>No 2014.gada 1.janvāra ieviesta vienota plānošana reģionālajos starppilsētu nozīmes un reģionālajos vietējās nozīmes maršrutos. Veikts sabiedriskā transporta maršrutu tīkla izvērtējums, atspoguļojot pašreizējo situāciju, pastāvošās problēmas un iespējamos risinājumus, lai nodrošinātu nepieciešamo sabiedriskā transporta pieejamību ar iespējami mazāku publisko finansējumu. Efektīvākam valsts budžeta līdzekļu izlietojumam, lai nodrošinātu mazapdzīvotu teritoriju savienojumu ar attīstības centriem, ir sagatavoti priekšlikumi Sabiedriskā transporta pakalpojumu likuma</w:t>
      </w:r>
      <w:r w:rsidR="0087382A">
        <w:rPr>
          <w:lang w:val="lv-LV"/>
        </w:rPr>
        <w:t>m</w:t>
      </w:r>
      <w:r w:rsidRPr="00595533">
        <w:rPr>
          <w:lang w:val="lv-LV"/>
        </w:rPr>
        <w:t xml:space="preserve">, paredzot, ka sabiedriskā transporta pakalpojumus var sniegt ar vieglo automobili, kā arī ir izstrādāts grozījumu projekts Ministru kabineta noteikumos Nr.634 “Sabiedriskā transporta pakalpojumu organizēšanas kārtība maršrutu tīklā“, paredzot iespēju ieviest autobusu regulāros pārvadājumus pēc pieprasījuma, vietās, kur reisā ir maza pasažieru plūsma, vai reisa daļā periodiski nav neviena pasažiera. </w:t>
      </w:r>
    </w:p>
    <w:p w14:paraId="2021B4E9" w14:textId="1F46FD92" w:rsidR="00D909FA" w:rsidRPr="00595533" w:rsidRDefault="00D909FA" w:rsidP="00D909FA">
      <w:pPr>
        <w:rPr>
          <w:b/>
          <w:u w:val="single"/>
          <w:lang w:val="lv-LV"/>
        </w:rPr>
      </w:pPr>
      <w:r w:rsidRPr="00595533">
        <w:rPr>
          <w:b/>
          <w:u w:val="single"/>
          <w:lang w:val="lv-LV"/>
        </w:rPr>
        <w:t>Informācijas tehnoloģiju attīstība</w:t>
      </w:r>
    </w:p>
    <w:p w14:paraId="7F9E9DE6" w14:textId="679B0B78" w:rsidR="00894C81" w:rsidRPr="00595533" w:rsidRDefault="001F571C" w:rsidP="009B4604">
      <w:pPr>
        <w:rPr>
          <w:lang w:val="lv-LV" w:eastAsia="lv-LV"/>
        </w:rPr>
      </w:pPr>
      <w:r w:rsidRPr="00595533">
        <w:rPr>
          <w:lang w:val="lv-LV" w:eastAsia="lv-LV"/>
        </w:rPr>
        <w:t xml:space="preserve">Monitorējot ātras un īpaši ātras </w:t>
      </w:r>
      <w:r w:rsidRPr="00595533">
        <w:rPr>
          <w:b/>
          <w:lang w:val="lv-LV" w:eastAsia="lv-LV"/>
        </w:rPr>
        <w:t>datu pārraides tīkla pārklājumu</w:t>
      </w:r>
      <w:r w:rsidRPr="00595533">
        <w:rPr>
          <w:lang w:val="lv-LV" w:eastAsia="lv-LV"/>
        </w:rPr>
        <w:t>, ir v</w:t>
      </w:r>
      <w:r w:rsidR="00894C81" w:rsidRPr="00595533">
        <w:rPr>
          <w:lang w:val="lv-LV" w:eastAsia="lv-LV"/>
        </w:rPr>
        <w:t xml:space="preserve">eikts pētījums par platjoslas interneta infrastruktūras un pakalpojumu </w:t>
      </w:r>
      <w:r w:rsidR="0087382A">
        <w:rPr>
          <w:lang w:val="lv-LV" w:eastAsia="lv-LV"/>
        </w:rPr>
        <w:t>pieejamību Latvijas teritorijā</w:t>
      </w:r>
      <w:r w:rsidR="00894C81" w:rsidRPr="00595533">
        <w:rPr>
          <w:lang w:val="lv-LV" w:eastAsia="lv-LV"/>
        </w:rPr>
        <w:t>. Pamatojoties uz novadu pašvaldību un elektronisko sakaru komersantu anketēšanas rezultātā iegūtajiem datiem par</w:t>
      </w:r>
      <w:r w:rsidRPr="00595533">
        <w:rPr>
          <w:lang w:val="lv-LV" w:eastAsia="lv-LV"/>
        </w:rPr>
        <w:t xml:space="preserve"> interneta piekļuves pakalpojumiem</w:t>
      </w:r>
      <w:r w:rsidR="00894C81" w:rsidRPr="00595533">
        <w:rPr>
          <w:lang w:val="lv-LV" w:eastAsia="lv-LV"/>
        </w:rPr>
        <w:t xml:space="preserve"> ar garantēto datu pārraides ātrumu 30 Mbit/s u</w:t>
      </w:r>
      <w:r w:rsidRPr="00595533">
        <w:rPr>
          <w:lang w:val="lv-LV" w:eastAsia="lv-LV"/>
        </w:rPr>
        <w:t>z vienu galalietotāju</w:t>
      </w:r>
      <w:r w:rsidR="00894C81" w:rsidRPr="00595533">
        <w:rPr>
          <w:lang w:val="lv-LV" w:eastAsia="lv-LV"/>
        </w:rPr>
        <w:t xml:space="preserve">, kā arī par šāda </w:t>
      </w:r>
      <w:r w:rsidRPr="00595533">
        <w:rPr>
          <w:lang w:val="lv-LV" w:eastAsia="lv-LV"/>
        </w:rPr>
        <w:t>pakalpojuma perspektīvu tuvāko trīs</w:t>
      </w:r>
      <w:r w:rsidR="00894C81" w:rsidRPr="00595533">
        <w:rPr>
          <w:lang w:val="lv-LV" w:eastAsia="lv-LV"/>
        </w:rPr>
        <w:t xml:space="preserve"> gadu laikā, ir izveidota atbalstāmo teritoriju karte, kur plānots izvērst platjoslas infrastruktūru. </w:t>
      </w:r>
      <w:r w:rsidRPr="00595533">
        <w:rPr>
          <w:lang w:val="lv-LV" w:eastAsia="lv-LV"/>
        </w:rPr>
        <w:t xml:space="preserve">Sekojoši izstrādāts un apstiprināts ES fondu projekts “Elektroniskās sakaru infrastruktūras pieejamības uzlabošana lauku teritorijās” un </w:t>
      </w:r>
      <w:r w:rsidR="00894C81" w:rsidRPr="00595533">
        <w:rPr>
          <w:lang w:val="lv-LV"/>
        </w:rPr>
        <w:t>izbūvējamo optiskā tīkla piekļuves punktu saraksts.</w:t>
      </w:r>
      <w:r w:rsidR="00894C81" w:rsidRPr="00595533">
        <w:rPr>
          <w:lang w:val="lv-LV" w:eastAsia="lv-LV"/>
        </w:rPr>
        <w:t xml:space="preserve"> </w:t>
      </w:r>
      <w:r w:rsidRPr="00595533">
        <w:rPr>
          <w:lang w:val="lv-LV" w:eastAsia="lv-LV"/>
        </w:rPr>
        <w:t>Projekta</w:t>
      </w:r>
      <w:r w:rsidRPr="00595533">
        <w:rPr>
          <w:lang w:val="lv-LV"/>
        </w:rPr>
        <w:t xml:space="preserve"> izpildes rezultātā</w:t>
      </w:r>
      <w:r w:rsidR="00894C81" w:rsidRPr="00595533">
        <w:rPr>
          <w:lang w:val="lv-LV"/>
        </w:rPr>
        <w:t xml:space="preserve"> sagaidāms, ka lielākajā daļā lauku teritoriju Latvijā tiks izbūvēta optiskā tīkla infrastruktūra, lai tajās nodrošinātu platjoslas pakalpojumus ar datu pārraides ātrumu vismaz 30 Mbit/s.</w:t>
      </w:r>
    </w:p>
    <w:p w14:paraId="73E22C96" w14:textId="4DD42B92" w:rsidR="00EE5C4B" w:rsidRPr="00595533" w:rsidRDefault="00EE5C4B" w:rsidP="009B4604">
      <w:pPr>
        <w:rPr>
          <w:lang w:val="lv-LV"/>
        </w:rPr>
      </w:pPr>
      <w:r w:rsidRPr="00595533">
        <w:rPr>
          <w:lang w:val="lv-LV"/>
        </w:rPr>
        <w:t>Vis</w:t>
      </w:r>
      <w:r w:rsidR="009B4604" w:rsidRPr="00595533">
        <w:rPr>
          <w:lang w:val="lv-LV"/>
        </w:rPr>
        <w:t>efektīvāk rīcības virziena mērķa sasniegšanu un uzdevumu</w:t>
      </w:r>
      <w:r w:rsidRPr="00595533">
        <w:rPr>
          <w:lang w:val="lv-LV"/>
        </w:rPr>
        <w:t xml:space="preserve"> īstenošanu sekmējusi juridiskā ietvara izveide obligātas elektroniskās identifikācijas un oficiālās elektroniskās adreses ieviešanai, </w:t>
      </w:r>
      <w:r w:rsidRPr="00595533">
        <w:rPr>
          <w:b/>
          <w:lang w:val="lv-LV"/>
        </w:rPr>
        <w:t>valsts pārvaldes IKT risinājumu attīstības projektu</w:t>
      </w:r>
      <w:r w:rsidRPr="00595533">
        <w:rPr>
          <w:lang w:val="lv-LV"/>
        </w:rPr>
        <w:t xml:space="preserve"> portfeļa izveide un īstenošanas uzsākšana, kā arī datos balstītas sabiedrības, ekonomikas un inovāciju platformas un attīstīšana, digitālā vienotā tirgus aktivitāšu ieviešana</w:t>
      </w:r>
      <w:r w:rsidRPr="00595533">
        <w:rPr>
          <w:vertAlign w:val="superscript"/>
          <w:lang w:val="lv-LV"/>
        </w:rPr>
        <w:footnoteReference w:id="69"/>
      </w:r>
      <w:r w:rsidRPr="00595533">
        <w:rPr>
          <w:lang w:val="lv-LV"/>
        </w:rPr>
        <w:t xml:space="preserve">, kas cita starpā nosaka valsts pārvaldes pakalpojumu portāla </w:t>
      </w:r>
      <w:hyperlink r:id="rId35" w:history="1">
        <w:r w:rsidRPr="00595533">
          <w:rPr>
            <w:lang w:val="lv-LV"/>
          </w:rPr>
          <w:t>www.latvija.lv</w:t>
        </w:r>
      </w:hyperlink>
      <w:r w:rsidRPr="00595533">
        <w:rPr>
          <w:lang w:val="lv-LV"/>
        </w:rPr>
        <w:t xml:space="preserve"> izmantošanas un </w:t>
      </w:r>
      <w:r w:rsidRPr="00595533">
        <w:rPr>
          <w:lang w:val="lv-LV"/>
        </w:rPr>
        <w:lastRenderedPageBreak/>
        <w:t>pārvaldības kārtību, vienlaicīgi to veidojot kā valsts centrālo informācijas, pakalpojumu un elektroniskās saziņas platformu iedzīvotājiem un uzņēmējiem. Ir izveidots juridiskais ietvars obligātas elektroniskās identifikācijas un oficiālās elektroniskās adreses ieviešanai</w:t>
      </w:r>
      <w:r w:rsidRPr="00595533">
        <w:rPr>
          <w:vertAlign w:val="superscript"/>
          <w:lang w:val="lv-LV"/>
        </w:rPr>
        <w:footnoteReference w:id="70"/>
      </w:r>
      <w:r w:rsidRPr="00595533">
        <w:rPr>
          <w:lang w:val="lv-LV"/>
        </w:rPr>
        <w:t xml:space="preserve"> - pieņemts Oficiālās elektroniskās adreses likums, kā arī ietvars obligātās elektroniskās identifikācijas kartes (eiD) izmantošanas ieviešanai. </w:t>
      </w:r>
      <w:r w:rsidR="009B4604" w:rsidRPr="00595533">
        <w:rPr>
          <w:lang w:val="lv-LV"/>
        </w:rPr>
        <w:t>Uzdevuma</w:t>
      </w:r>
      <w:r w:rsidRPr="00595533">
        <w:rPr>
          <w:lang w:val="lv-LV"/>
        </w:rPr>
        <w:t xml:space="preserve"> realizācijā tiek izmantots ES fondu atbalsts</w:t>
      </w:r>
      <w:r w:rsidRPr="00595533">
        <w:rPr>
          <w:vertAlign w:val="superscript"/>
          <w:lang w:val="lv-LV"/>
        </w:rPr>
        <w:footnoteReference w:id="71"/>
      </w:r>
      <w:r w:rsidRPr="00595533">
        <w:rPr>
          <w:lang w:val="lv-LV"/>
        </w:rPr>
        <w:t>, kur kopējais ERAF finansējums līdz 2022.</w:t>
      </w:r>
      <w:r w:rsidR="009B4604" w:rsidRPr="00595533">
        <w:rPr>
          <w:lang w:val="lv-LV"/>
        </w:rPr>
        <w:t> gadam plānots 128,</w:t>
      </w:r>
      <w:r w:rsidRPr="00595533">
        <w:rPr>
          <w:lang w:val="lv-LV"/>
        </w:rPr>
        <w:t>8</w:t>
      </w:r>
      <w:r w:rsidR="009B4604" w:rsidRPr="00595533">
        <w:rPr>
          <w:lang w:val="lv-LV"/>
        </w:rPr>
        <w:t>1 mlj</w:t>
      </w:r>
      <w:r w:rsidRPr="00595533">
        <w:rPr>
          <w:lang w:val="lv-LV"/>
        </w:rPr>
        <w:t xml:space="preserve"> </w:t>
      </w:r>
      <w:r w:rsidRPr="00595533">
        <w:rPr>
          <w:i/>
          <w:lang w:val="lv-LV"/>
        </w:rPr>
        <w:t>euro</w:t>
      </w:r>
      <w:r w:rsidRPr="00595533">
        <w:rPr>
          <w:lang w:val="lv-LV"/>
        </w:rPr>
        <w:t xml:space="preserve"> apmērā. </w:t>
      </w:r>
    </w:p>
    <w:p w14:paraId="04827013" w14:textId="441393F9" w:rsidR="00EE5C4B" w:rsidRPr="00595533" w:rsidRDefault="00EE5C4B" w:rsidP="009B4604">
      <w:pPr>
        <w:rPr>
          <w:lang w:val="lv-LV"/>
        </w:rPr>
      </w:pPr>
      <w:r w:rsidRPr="00595533">
        <w:rPr>
          <w:lang w:val="lv-LV"/>
        </w:rPr>
        <w:t>Uz 2017.</w:t>
      </w:r>
      <w:r w:rsidR="009B4604" w:rsidRPr="00595533">
        <w:rPr>
          <w:lang w:val="lv-LV"/>
        </w:rPr>
        <w:t> gadu realizācija uzsākta pieciem</w:t>
      </w:r>
      <w:r w:rsidRPr="00595533">
        <w:rPr>
          <w:lang w:val="lv-LV"/>
        </w:rPr>
        <w:t xml:space="preserve"> projektiem</w:t>
      </w:r>
      <w:r w:rsidRPr="00595533">
        <w:rPr>
          <w:vertAlign w:val="superscript"/>
          <w:lang w:val="lv-LV"/>
        </w:rPr>
        <w:footnoteReference w:id="72"/>
      </w:r>
      <w:r w:rsidR="009B4604" w:rsidRPr="00595533">
        <w:rPr>
          <w:lang w:val="lv-LV"/>
        </w:rPr>
        <w:t xml:space="preserve">, </w:t>
      </w:r>
      <w:r w:rsidRPr="00595533">
        <w:rPr>
          <w:lang w:val="lv-LV"/>
        </w:rPr>
        <w:t>kuru ietvaros tiks modernizēti 62 valsts pārvaldes darbības procesi. Lai īstenotu efektīvu atvērto datu politiku, ir izveidots atvērto datu portāls un ir uzsākta datu kopu publicēšana tajā, kā arī tiks turpināts darbs, lai uzlabotu un optimizētu datu apmaiņas procesus valsts pārvaldē kopumā – jau ir nodrošināta Datu publicēšanas platformas (jeb atvērto datu portāla) ieviešana un līdz 2018.</w:t>
      </w:r>
      <w:r w:rsidR="009B4604" w:rsidRPr="00595533">
        <w:rPr>
          <w:lang w:val="lv-LV"/>
        </w:rPr>
        <w:t> </w:t>
      </w:r>
      <w:r w:rsidRPr="00595533">
        <w:rPr>
          <w:lang w:val="lv-LV"/>
        </w:rPr>
        <w:t xml:space="preserve">gada beigām plānots izveidot vismaz </w:t>
      </w:r>
      <w:r w:rsidR="009B4604" w:rsidRPr="00595533">
        <w:rPr>
          <w:lang w:val="lv-LV"/>
        </w:rPr>
        <w:t>četras</w:t>
      </w:r>
      <w:r w:rsidRPr="00595533">
        <w:rPr>
          <w:lang w:val="lv-LV"/>
        </w:rPr>
        <w:t xml:space="preserve"> atvērtās koplietošanas platformas, tiks nodrošināta arī Drošas elektroniskās piegādes platformas pirmās kārtas ieviešana, Nacionālās elektroniskās identifikācijas un elektroniskā paraksta modernizētās platformas ieviešana, kā arī Elektronisko iepirkumu un izsoļu modernizētās platformas ieviešana. </w:t>
      </w:r>
    </w:p>
    <w:p w14:paraId="22C06826" w14:textId="546C417A" w:rsidR="00EE5C4B" w:rsidRPr="00595533" w:rsidRDefault="00EE5C4B" w:rsidP="009B4604">
      <w:pPr>
        <w:rPr>
          <w:lang w:val="lv-LV"/>
        </w:rPr>
      </w:pPr>
      <w:r w:rsidRPr="00595533">
        <w:rPr>
          <w:lang w:val="lv-LV"/>
        </w:rPr>
        <w:t>Sadarbībā ar valsts un pašvaldību iestādēm Valsts reģionāl</w:t>
      </w:r>
      <w:r w:rsidR="009B4604" w:rsidRPr="00595533">
        <w:rPr>
          <w:lang w:val="lv-LV"/>
        </w:rPr>
        <w:t>ās attīstības aģentūra no 2008. </w:t>
      </w:r>
      <w:r w:rsidRPr="00595533">
        <w:rPr>
          <w:lang w:val="lv-LV"/>
        </w:rPr>
        <w:t>gada nodrošina elektronizēto valsts pārvaldes pakalpojumu izvietošanu vienotā valsts pārvaldes pakalpojumu portālā</w:t>
      </w:r>
      <w:r w:rsidR="009B4604" w:rsidRPr="00595533">
        <w:rPr>
          <w:lang w:val="lv-LV"/>
        </w:rPr>
        <w:t xml:space="preserve"> </w:t>
      </w:r>
      <w:hyperlink r:id="rId36" w:history="1">
        <w:r w:rsidRPr="00595533">
          <w:rPr>
            <w:lang w:val="lv-LV"/>
          </w:rPr>
          <w:t>Latvija.lv</w:t>
        </w:r>
      </w:hyperlink>
      <w:r w:rsidRPr="00595533">
        <w:rPr>
          <w:lang w:val="lv-LV"/>
        </w:rPr>
        <w:t>. Pakalpojumu attīstības un elektronizācijas rezultātā iestādes optimizē savus darbības procesus un nodrošina iedzīvotājiem un uzņēmumiem kvalitatīvāku valsts pārvaldes pakalpojumu sniegšanu. 2017.</w:t>
      </w:r>
      <w:r w:rsidR="009B4604" w:rsidRPr="00595533">
        <w:rPr>
          <w:lang w:val="lv-LV"/>
        </w:rPr>
        <w:t> </w:t>
      </w:r>
      <w:r w:rsidRPr="00595533">
        <w:rPr>
          <w:lang w:val="lv-LV"/>
        </w:rPr>
        <w:t>gadā ar valsts pārvaldes pakalpojumu portāla </w:t>
      </w:r>
      <w:hyperlink r:id="rId37" w:history="1">
        <w:r w:rsidRPr="00595533">
          <w:rPr>
            <w:lang w:val="lv-LV"/>
          </w:rPr>
          <w:t>Latvija.lv</w:t>
        </w:r>
      </w:hyperlink>
      <w:r w:rsidRPr="00595533">
        <w:rPr>
          <w:lang w:val="lv-LV"/>
        </w:rPr>
        <w:t> starpniecību sabiedrībai ir pieejami vairāk nekā 450 e-pakalpojumi, kā arī 2</w:t>
      </w:r>
      <w:r w:rsidR="009B4604" w:rsidRPr="00595533">
        <w:rPr>
          <w:lang w:val="lv-LV"/>
        </w:rPr>
        <w:t> </w:t>
      </w:r>
      <w:r w:rsidRPr="00595533">
        <w:rPr>
          <w:lang w:val="lv-LV"/>
        </w:rPr>
        <w:t>247 pakalpojumu apraksti. Pēdējos deviņos gados valsts un pašvaldību e-pakalpojumu skaits ir pieaudzis septiņas reizes</w:t>
      </w:r>
      <w:r w:rsidR="009B4604" w:rsidRPr="00595533">
        <w:rPr>
          <w:lang w:val="lv-LV"/>
        </w:rPr>
        <w:t xml:space="preserve"> –</w:t>
      </w:r>
      <w:r w:rsidRPr="00595533">
        <w:rPr>
          <w:lang w:val="lv-LV"/>
        </w:rPr>
        <w:t xml:space="preserve"> tos ir izmantojuši 762 tūkstoši iedzīvotāju astoņus </w:t>
      </w:r>
      <w:r w:rsidR="00486B18" w:rsidRPr="00595533">
        <w:rPr>
          <w:lang w:val="lv-LV"/>
        </w:rPr>
        <w:t>mlj</w:t>
      </w:r>
      <w:r w:rsidRPr="00595533">
        <w:rPr>
          <w:lang w:val="lv-LV"/>
        </w:rPr>
        <w:t>onus reižu.</w:t>
      </w:r>
    </w:p>
    <w:p w14:paraId="1D0AAD63" w14:textId="570E7C20" w:rsidR="00EE5C4B" w:rsidRPr="00595533" w:rsidRDefault="00760D40" w:rsidP="00760D40">
      <w:pPr>
        <w:rPr>
          <w:lang w:val="lv-LV"/>
        </w:rPr>
      </w:pPr>
      <w:r w:rsidRPr="00595533">
        <w:rPr>
          <w:lang w:val="lv-LV"/>
        </w:rPr>
        <w:t>Neskatoties uz to, ka a</w:t>
      </w:r>
      <w:r w:rsidR="00EE5C4B" w:rsidRPr="00595533">
        <w:rPr>
          <w:lang w:val="lv-LV"/>
        </w:rPr>
        <w:t>rvien vairāk Latvijas iedzīvotāju lieto internetu un izmant</w:t>
      </w:r>
      <w:r w:rsidRPr="00595533">
        <w:rPr>
          <w:lang w:val="lv-LV"/>
        </w:rPr>
        <w:t>o e-pārvaldes pakalpojumus,</w:t>
      </w:r>
      <w:r w:rsidR="00EE5C4B" w:rsidRPr="00595533">
        <w:rPr>
          <w:lang w:val="lv-LV"/>
        </w:rPr>
        <w:t xml:space="preserve"> pusei Latvijas iedzīvotāju joprojām nav digitālo prasmju vai tās ir zemas. </w:t>
      </w:r>
      <w:r w:rsidRPr="00595533">
        <w:rPr>
          <w:lang w:val="lv-LV"/>
        </w:rPr>
        <w:t>Arī</w:t>
      </w:r>
      <w:r w:rsidR="00EE5C4B" w:rsidRPr="00595533">
        <w:rPr>
          <w:lang w:val="lv-LV"/>
        </w:rPr>
        <w:t xml:space="preserve"> uzņēmumi tehnoloģiju iespējas izmanto nepilnīgi. </w:t>
      </w:r>
    </w:p>
    <w:p w14:paraId="5346403D" w14:textId="7400CC5B" w:rsidR="00EE5C4B" w:rsidRPr="00595533" w:rsidRDefault="00D909FA" w:rsidP="00D909FA">
      <w:pPr>
        <w:rPr>
          <w:b/>
          <w:u w:val="single"/>
          <w:lang w:val="lv-LV"/>
        </w:rPr>
      </w:pPr>
      <w:r w:rsidRPr="00595533">
        <w:rPr>
          <w:b/>
          <w:u w:val="single"/>
          <w:lang w:val="lv-LV"/>
        </w:rPr>
        <w:t>Publisko pakalpojumu pieejamība</w:t>
      </w:r>
    </w:p>
    <w:p w14:paraId="737F7230" w14:textId="5116A46E" w:rsidR="00760D40" w:rsidRPr="00595533" w:rsidRDefault="00760D40" w:rsidP="006B1A27">
      <w:pPr>
        <w:rPr>
          <w:lang w:val="lv-LV"/>
        </w:rPr>
      </w:pPr>
      <w:r w:rsidRPr="00595533">
        <w:rPr>
          <w:lang w:val="lv-LV"/>
        </w:rPr>
        <w:t xml:space="preserve">Uz “vienas pieturas aģentūras” principiem balstītas klientu apkalpošanas nodrošināšana un publisko pakalpojumu optimizēšana ir viena no prioritātēm NAP2020 publiskās pārvaldes un tās sniegto pakalpojumu attīstībā. Pārskata periodā ir izveidots normatīvais ietvars </w:t>
      </w:r>
      <w:r w:rsidRPr="00595533">
        <w:rPr>
          <w:b/>
          <w:lang w:val="lv-LV"/>
        </w:rPr>
        <w:t>valsts pārvaldes vienoto klientu apkalpošanas centru</w:t>
      </w:r>
      <w:r w:rsidRPr="00595533">
        <w:rPr>
          <w:lang w:val="lv-LV"/>
        </w:rPr>
        <w:t xml:space="preserve"> darbībai</w:t>
      </w:r>
      <w:r w:rsidRPr="00595533">
        <w:rPr>
          <w:rStyle w:val="FootnoteReference"/>
          <w:rFonts w:ascii="Times New Roman" w:hAnsi="Times New Roman" w:cs="Times New Roman"/>
          <w:sz w:val="24"/>
          <w:lang w:val="lv-LV"/>
        </w:rPr>
        <w:footnoteReference w:id="73"/>
      </w:r>
      <w:r w:rsidRPr="00595533">
        <w:rPr>
          <w:lang w:val="lv-LV"/>
        </w:rPr>
        <w:t xml:space="preserve">. Tāpat ir uzsākta Valsts un pašvaldību vienoto klientu apkalpošanas centru tīkla (VPVKAC) izveide, sekojoši 2015. gadā izveidoti un darbību uzsākuši 56 novadu nozīmes </w:t>
      </w:r>
      <w:r w:rsidR="006B1A27" w:rsidRPr="00595533">
        <w:rPr>
          <w:lang w:val="lv-LV"/>
        </w:rPr>
        <w:t>VPVKAC, bet</w:t>
      </w:r>
      <w:r w:rsidRPr="00595533">
        <w:rPr>
          <w:lang w:val="lv-LV"/>
        </w:rPr>
        <w:t xml:space="preserve"> </w:t>
      </w:r>
      <w:r w:rsidR="006B1A27" w:rsidRPr="00595533">
        <w:rPr>
          <w:lang w:val="lv-LV"/>
        </w:rPr>
        <w:t xml:space="preserve">2016. gadā – </w:t>
      </w:r>
      <w:r w:rsidRPr="00595533">
        <w:rPr>
          <w:lang w:val="lv-LV"/>
        </w:rPr>
        <w:t>trīs</w:t>
      </w:r>
      <w:r w:rsidR="006B1A27" w:rsidRPr="00595533">
        <w:rPr>
          <w:lang w:val="lv-LV"/>
        </w:rPr>
        <w:t xml:space="preserve"> reģionālās nozīmes VPVKAC </w:t>
      </w:r>
      <w:r w:rsidRPr="00595533">
        <w:rPr>
          <w:lang w:val="lv-LV"/>
        </w:rPr>
        <w:t>Balvos, Smiltenē un Tukumā. 2017.</w:t>
      </w:r>
      <w:r w:rsidR="006B1A27" w:rsidRPr="00595533">
        <w:rPr>
          <w:lang w:val="lv-LV"/>
        </w:rPr>
        <w:t> </w:t>
      </w:r>
      <w:r w:rsidRPr="00595533">
        <w:rPr>
          <w:lang w:val="lv-LV"/>
        </w:rPr>
        <w:t xml:space="preserve">gadā valsts budžeta dotācija piešķirta 13 jaunu VPVKAC izveidošanai novadu </w:t>
      </w:r>
      <w:r w:rsidRPr="00595533">
        <w:rPr>
          <w:lang w:val="lv-LV"/>
        </w:rPr>
        <w:lastRenderedPageBreak/>
        <w:t xml:space="preserve">nozīmes attīstības centros un </w:t>
      </w:r>
      <w:r w:rsidR="006B1A27" w:rsidRPr="00595533">
        <w:rPr>
          <w:lang w:val="lv-LV"/>
        </w:rPr>
        <w:t>trīs</w:t>
      </w:r>
      <w:r w:rsidRPr="00595533">
        <w:rPr>
          <w:lang w:val="lv-LV"/>
        </w:rPr>
        <w:t xml:space="preserve"> reģionālās nozīmes VPVKAC (</w:t>
      </w:r>
      <w:r w:rsidR="006B1A27" w:rsidRPr="00595533">
        <w:rPr>
          <w:lang w:val="lv-LV"/>
        </w:rPr>
        <w:t>Aizkrauklē, Gulbenē un Valkā), tādējādi</w:t>
      </w:r>
      <w:r w:rsidRPr="00595533">
        <w:rPr>
          <w:lang w:val="lv-LV"/>
        </w:rPr>
        <w:t xml:space="preserve"> 2017.</w:t>
      </w:r>
      <w:r w:rsidR="006B1A27" w:rsidRPr="00595533">
        <w:rPr>
          <w:lang w:val="lv-LV"/>
        </w:rPr>
        <w:t> gada beigās</w:t>
      </w:r>
      <w:r w:rsidRPr="00595533">
        <w:rPr>
          <w:lang w:val="lv-LV"/>
        </w:rPr>
        <w:t xml:space="preserve"> </w:t>
      </w:r>
      <w:r w:rsidR="006B1A27" w:rsidRPr="00595533">
        <w:rPr>
          <w:lang w:val="lv-LV"/>
        </w:rPr>
        <w:t xml:space="preserve">Latvijā pavisam </w:t>
      </w:r>
      <w:r w:rsidRPr="00595533">
        <w:rPr>
          <w:lang w:val="lv-LV"/>
        </w:rPr>
        <w:t>darbosies 75 VPVKAC.</w:t>
      </w:r>
    </w:p>
    <w:p w14:paraId="75510CE4" w14:textId="284078F9" w:rsidR="00760D40" w:rsidRPr="00595533" w:rsidRDefault="00760D40" w:rsidP="000A3939">
      <w:pPr>
        <w:rPr>
          <w:rFonts w:ascii="Times New Roman" w:hAnsi="Times New Roman" w:cs="Times New Roman"/>
          <w:sz w:val="28"/>
          <w:szCs w:val="28"/>
          <w:lang w:val="lv-LV"/>
        </w:rPr>
      </w:pPr>
      <w:r w:rsidRPr="00595533">
        <w:rPr>
          <w:lang w:val="lv-LV"/>
        </w:rPr>
        <w:t>VPVKAC sniegto pakalpojumu skaits pieaug. Kopumā sniegti 86 18</w:t>
      </w:r>
      <w:r w:rsidR="006B1A27" w:rsidRPr="00595533">
        <w:rPr>
          <w:lang w:val="lv-LV"/>
        </w:rPr>
        <w:t>1 pakalpojumi un konsultācijas par VSAA,</w:t>
      </w:r>
      <w:r w:rsidRPr="00595533">
        <w:rPr>
          <w:lang w:val="lv-LV"/>
        </w:rPr>
        <w:t xml:space="preserve"> VID, LAD, LDC, NVA, PMLP, UR, VDI, VZD</w:t>
      </w:r>
      <w:r w:rsidR="006B1A27" w:rsidRPr="00595533">
        <w:rPr>
          <w:lang w:val="lv-LV"/>
        </w:rPr>
        <w:t xml:space="preserve"> nodrošinātiem pakalpojumiem</w:t>
      </w:r>
      <w:r w:rsidRPr="00595533">
        <w:rPr>
          <w:lang w:val="lv-LV"/>
        </w:rPr>
        <w:t xml:space="preserve">. </w:t>
      </w:r>
    </w:p>
    <w:p w14:paraId="4BC03F8D" w14:textId="500F0A27" w:rsidR="00B5560B" w:rsidRPr="00595533" w:rsidRDefault="000A3939" w:rsidP="00595533">
      <w:pPr>
        <w:rPr>
          <w:lang w:val="lv-LV"/>
        </w:rPr>
      </w:pPr>
      <w:r w:rsidRPr="00595533">
        <w:rPr>
          <w:lang w:val="lv-LV"/>
        </w:rPr>
        <w:t xml:space="preserve">Savukārt lai noteiktu </w:t>
      </w:r>
      <w:r w:rsidRPr="00595533">
        <w:rPr>
          <w:b/>
          <w:lang w:val="lv-LV"/>
        </w:rPr>
        <w:t>publisko pakalpojumu grozu</w:t>
      </w:r>
      <w:r w:rsidRPr="00595533">
        <w:rPr>
          <w:lang w:val="lv-LV"/>
        </w:rPr>
        <w:t xml:space="preserve"> dažādiem apdzīvojuma līmeņiem, ar Norvēģijas finanšu instrumenta atbalstu tika veikts izvērtējums par pakalpojumu esošo un perspektīvo teritoriālo </w:t>
      </w:r>
      <w:r w:rsidRPr="00C04C75">
        <w:rPr>
          <w:lang w:val="lv-LV"/>
        </w:rPr>
        <w:t>izvietojumu, tādējādi detalizējot Reģionālās politikas pamatnostā</w:t>
      </w:r>
      <w:r w:rsidR="00164164" w:rsidRPr="00C04C75">
        <w:rPr>
          <w:lang w:val="lv-LV"/>
        </w:rPr>
        <w:t>dnēs noteikto pakalpojumu grozu</w:t>
      </w:r>
      <w:r w:rsidR="00EE5C4B" w:rsidRPr="00C04C75">
        <w:rPr>
          <w:lang w:val="lv-LV"/>
        </w:rPr>
        <w:t xml:space="preserve">. </w:t>
      </w:r>
    </w:p>
    <w:p w14:paraId="57EDA37F" w14:textId="77777777" w:rsidR="00384533" w:rsidRPr="00595533" w:rsidRDefault="00384533" w:rsidP="00384533">
      <w:pPr>
        <w:pStyle w:val="NoSpacing"/>
        <w:rPr>
          <w:sz w:val="10"/>
          <w:szCs w:val="10"/>
          <w:lang w:val="lv-LV"/>
        </w:rPr>
      </w:pPr>
    </w:p>
    <w:p w14:paraId="55720A3F" w14:textId="77777777" w:rsidR="00B21C7B" w:rsidRPr="00595533" w:rsidRDefault="00B21C7B" w:rsidP="00B21C7B">
      <w:pPr>
        <w:pStyle w:val="Heading3"/>
        <w:rPr>
          <w:lang w:val="lv-LV"/>
        </w:rPr>
      </w:pPr>
      <w:bookmarkStart w:id="68" w:name="_Toc498690645"/>
      <w:r w:rsidRPr="00595533">
        <w:rPr>
          <w:lang w:val="lv-LV"/>
        </w:rPr>
        <w:t>PROGRESA NOVĒRTĒJUMS</w:t>
      </w:r>
      <w:bookmarkEnd w:id="68"/>
    </w:p>
    <w:p w14:paraId="273E4E4F" w14:textId="77777777" w:rsidR="00C815F2" w:rsidRPr="00595533" w:rsidRDefault="00C815F2" w:rsidP="00C815F2">
      <w:pPr>
        <w:rPr>
          <w:lang w:val="lv-LV"/>
        </w:rPr>
      </w:pPr>
      <w:r w:rsidRPr="00C815F2">
        <w:rPr>
          <w:lang w:val="lv-LV"/>
        </w:rPr>
        <w:t xml:space="preserve">Rīcības virziena </w:t>
      </w:r>
      <w:r w:rsidRPr="00C815F2">
        <w:rPr>
          <w:i/>
          <w:lang w:val="lv-LV"/>
        </w:rPr>
        <w:t>Pakalpojumu pieejamība līdzvērtīgu darba iespēju un dzīves apstākļu radīšanai</w:t>
      </w:r>
      <w:r w:rsidRPr="00C815F2">
        <w:rPr>
          <w:lang w:val="lv-LV"/>
        </w:rPr>
        <w:t xml:space="preserve"> mērķu sasniegšanai sākotnēji tika plānots investēt kopumā 1,6 mljrd euro. Uz starpposma izvērtējuma brīdi rīcības virziena uzdevumu īstenošanai ir apzinātas kopējās investīcijas 1,5 mljrd euro apmērā jeb 90,3% no sākotnēji plānotā. No minētajām investīcijām 64,3% veido ES fondu finansējums, savukārt nacionālais finansējums – 35,7%, bet cits ārvalstu finansējums sastāda vien 0,1%.</w:t>
      </w:r>
    </w:p>
    <w:p w14:paraId="03E11E53" w14:textId="23328560" w:rsidR="00FC7BC5" w:rsidRPr="00595533" w:rsidRDefault="00E23976" w:rsidP="00595533">
      <w:pPr>
        <w:rPr>
          <w:lang w:val="lv-LV"/>
        </w:rPr>
      </w:pPr>
      <w:r w:rsidRPr="00595533">
        <w:rPr>
          <w:lang w:val="lv-LV"/>
        </w:rPr>
        <w:t xml:space="preserve">Indikatoru analīze uzrāda, ka </w:t>
      </w:r>
      <w:r w:rsidR="00242B38" w:rsidRPr="00595533">
        <w:rPr>
          <w:lang w:val="lv-LV"/>
        </w:rPr>
        <w:t xml:space="preserve">valsts galveno </w:t>
      </w:r>
      <w:r w:rsidRPr="00595533">
        <w:rPr>
          <w:lang w:val="lv-LV"/>
        </w:rPr>
        <w:t xml:space="preserve">autoceļu stāvoklis un līdz ar to </w:t>
      </w:r>
      <w:r w:rsidR="00242B38" w:rsidRPr="00595533">
        <w:rPr>
          <w:lang w:val="lv-LV"/>
        </w:rPr>
        <w:t>valsts nozīmes pilsētu</w:t>
      </w:r>
      <w:r w:rsidRPr="00595533">
        <w:rPr>
          <w:lang w:val="lv-LV"/>
        </w:rPr>
        <w:t xml:space="preserve"> sasniedzamība pārskata periodā ir uzlabojusies. Sliktā un ļoti sliktā stāvoklī esošo valsts galveno autoceļu garums pret 2012. gadu </w:t>
      </w:r>
      <w:r w:rsidR="002B2838" w:rsidRPr="00595533">
        <w:rPr>
          <w:lang w:val="lv-LV"/>
        </w:rPr>
        <w:t>samazinājies par 26%, ka</w:t>
      </w:r>
      <w:r w:rsidR="00242B38" w:rsidRPr="00595533">
        <w:rPr>
          <w:lang w:val="lv-LV"/>
        </w:rPr>
        <w:t>s</w:t>
      </w:r>
      <w:r w:rsidR="002B2838" w:rsidRPr="00595533">
        <w:rPr>
          <w:lang w:val="lv-LV"/>
        </w:rPr>
        <w:t xml:space="preserve"> liecina, ka NAP2020 izvirzītās prognozes par </w:t>
      </w:r>
      <w:r w:rsidR="0025160D" w:rsidRPr="00595533">
        <w:rPr>
          <w:lang w:val="lv-LV"/>
        </w:rPr>
        <w:t>valsts galveno autoceļu</w:t>
      </w:r>
      <w:r w:rsidR="002B2838" w:rsidRPr="00595533">
        <w:rPr>
          <w:lang w:val="lv-LV"/>
        </w:rPr>
        <w:t xml:space="preserve"> stāvokļa izmaiņām nākotnē visticamāk tiks sasniegtas. Tomēr vienlaikus valsts reģionālo autoceļu stāvoklis </w:t>
      </w:r>
      <w:r w:rsidR="00242B38" w:rsidRPr="00595533">
        <w:rPr>
          <w:lang w:val="lv-LV"/>
        </w:rPr>
        <w:t xml:space="preserve">NAP2020 darbības periodā praktiski nav mainījies, proti, sliktā un ļoti sliktā stāvoklī esošo reģionālo autoceļu ar melno segumu garums kopš 2012. gada samazinājies </w:t>
      </w:r>
      <w:r w:rsidR="00AF32D5" w:rsidRPr="00595533">
        <w:rPr>
          <w:lang w:val="lv-LV"/>
        </w:rPr>
        <w:t xml:space="preserve">vien par 3%. </w:t>
      </w:r>
      <w:r w:rsidR="002449E0" w:rsidRPr="00595533">
        <w:rPr>
          <w:lang w:val="lv-LV"/>
        </w:rPr>
        <w:t>Salīdzinājumam: atbilstoši NAP2020 mērķa prognoze bija samazināt sliktā u</w:t>
      </w:r>
      <w:r w:rsidR="00164164">
        <w:rPr>
          <w:lang w:val="lv-LV"/>
        </w:rPr>
        <w:t>n</w:t>
      </w:r>
      <w:r w:rsidR="002449E0" w:rsidRPr="00595533">
        <w:rPr>
          <w:lang w:val="lv-LV"/>
        </w:rPr>
        <w:t xml:space="preserve"> ļoti sliktā stāvoklī esošo reģionālo ceļu garumu par 20% līdz 2017. gadam un par 50% līdz 2020. gadam</w:t>
      </w:r>
      <w:r w:rsidR="002449E0" w:rsidRPr="00595533">
        <w:rPr>
          <w:sz w:val="24"/>
          <w:lang w:val="lv-LV"/>
        </w:rPr>
        <w:t xml:space="preserve">. </w:t>
      </w:r>
      <w:r w:rsidR="00AF32D5" w:rsidRPr="00595533">
        <w:rPr>
          <w:sz w:val="24"/>
          <w:lang w:val="lv-LV"/>
        </w:rPr>
        <w:t>Tāpat</w:t>
      </w:r>
      <w:r w:rsidR="00AF32D5" w:rsidRPr="00595533">
        <w:rPr>
          <w:lang w:val="lv-LV"/>
        </w:rPr>
        <w:t xml:space="preserve"> arī autoceļu ar melno segumu īpatsvars no visiem valsts reģionālajiem autoceļiem kopš 2014. gada </w:t>
      </w:r>
      <w:r w:rsidR="00622D53" w:rsidRPr="00595533">
        <w:rPr>
          <w:lang w:val="lv-LV"/>
        </w:rPr>
        <w:t>ir tikai nedaudz mainījies</w:t>
      </w:r>
      <w:r w:rsidR="00D64B83" w:rsidRPr="00595533">
        <w:rPr>
          <w:lang w:val="lv-LV"/>
        </w:rPr>
        <w:t xml:space="preserve"> (2016. gadā – 84,36% jeb 4611 kilometri)</w:t>
      </w:r>
      <w:r w:rsidR="006D288C" w:rsidRPr="00595533">
        <w:rPr>
          <w:lang w:val="lv-LV"/>
        </w:rPr>
        <w:t>, taču tas</w:t>
      </w:r>
      <w:r w:rsidR="00D64B83" w:rsidRPr="00595533">
        <w:rPr>
          <w:lang w:val="lv-LV"/>
        </w:rPr>
        <w:t xml:space="preserve"> jau pašlaik nodrošina NAP2020 attiecīgā mērķa sasniegšanu</w:t>
      </w:r>
      <w:r w:rsidR="006D288C" w:rsidRPr="00595533">
        <w:rPr>
          <w:lang w:val="lv-LV"/>
        </w:rPr>
        <w:t>,</w:t>
      </w:r>
      <w:r w:rsidR="00D64B83" w:rsidRPr="00595533">
        <w:rPr>
          <w:lang w:val="lv-LV"/>
        </w:rPr>
        <w:t xml:space="preserve"> līdz ar to pašla</w:t>
      </w:r>
      <w:r w:rsidR="006D288C" w:rsidRPr="00595533">
        <w:rPr>
          <w:lang w:val="lv-LV"/>
        </w:rPr>
        <w:t>ik prioritātei būtu jābūt jau es</w:t>
      </w:r>
      <w:r w:rsidR="00D64B83" w:rsidRPr="00595533">
        <w:rPr>
          <w:lang w:val="lv-LV"/>
        </w:rPr>
        <w:t xml:space="preserve">ošo </w:t>
      </w:r>
      <w:r w:rsidR="006D288C" w:rsidRPr="00595533">
        <w:rPr>
          <w:lang w:val="lv-LV"/>
        </w:rPr>
        <w:t xml:space="preserve">reģionālo ceļu ar melno segumu </w:t>
      </w:r>
      <w:r w:rsidR="00D64B83" w:rsidRPr="00595533">
        <w:rPr>
          <w:lang w:val="lv-LV"/>
        </w:rPr>
        <w:t>stāvokļa uzlabošanai</w:t>
      </w:r>
      <w:r w:rsidR="006D288C" w:rsidRPr="00595533">
        <w:rPr>
          <w:lang w:val="lv-LV"/>
        </w:rPr>
        <w:t>, nevis jaunu izveidei.</w:t>
      </w:r>
      <w:r w:rsidR="00AF32D5" w:rsidRPr="00595533">
        <w:rPr>
          <w:lang w:val="lv-LV"/>
        </w:rPr>
        <w:t xml:space="preserve"> </w:t>
      </w:r>
    </w:p>
    <w:p w14:paraId="66AAC50C" w14:textId="0D3EA5EE" w:rsidR="002449E0" w:rsidRPr="00595533" w:rsidRDefault="007C2D60" w:rsidP="0040141F">
      <w:pPr>
        <w:rPr>
          <w:lang w:val="lv-LV"/>
        </w:rPr>
      </w:pPr>
      <w:r w:rsidRPr="00595533">
        <w:rPr>
          <w:lang w:val="lv-LV"/>
        </w:rPr>
        <w:t xml:space="preserve">Vienlaikus datu analīze rāda, ka ir vērojams progress attiecībā uz informācijas un komunikāciju tehnoloģiju </w:t>
      </w:r>
      <w:r w:rsidR="002759EE" w:rsidRPr="00595533">
        <w:rPr>
          <w:lang w:val="lv-LV"/>
        </w:rPr>
        <w:t>pieejamību un plašāku izmantošanu saziņas situācijās.</w:t>
      </w:r>
      <w:r w:rsidR="0093003D" w:rsidRPr="00595533">
        <w:rPr>
          <w:lang w:val="lv-LV"/>
        </w:rPr>
        <w:t xml:space="preserve"> Ar katru gadu turpina pieaugt to mājsaimniecību īpatsvars, kam ir pieejams internets – 2016. gadā tādas kopumā bija 77,3% mājsaimniecības.</w:t>
      </w:r>
      <w:r w:rsidR="00D8764F" w:rsidRPr="00595533">
        <w:rPr>
          <w:lang w:val="lv-LV"/>
        </w:rPr>
        <w:t xml:space="preserve"> Tiesa, interneta pieejamība mājsaimniecībā ir cieši saistīta ar dzīvesvietas reģionu, </w:t>
      </w:r>
      <w:r w:rsidR="00D24918" w:rsidRPr="00595533">
        <w:rPr>
          <w:lang w:val="lv-LV"/>
        </w:rPr>
        <w:t xml:space="preserve">personu skaitu mājsaimniecībā, </w:t>
      </w:r>
      <w:r w:rsidR="00D8764F" w:rsidRPr="00595533">
        <w:rPr>
          <w:lang w:val="lv-LV"/>
        </w:rPr>
        <w:t xml:space="preserve">bērnu esamību </w:t>
      </w:r>
      <w:r w:rsidR="00D24918" w:rsidRPr="00595533">
        <w:rPr>
          <w:lang w:val="lv-LV"/>
        </w:rPr>
        <w:t>ģimenē</w:t>
      </w:r>
      <w:r w:rsidR="00D8764F" w:rsidRPr="00595533">
        <w:rPr>
          <w:lang w:val="lv-LV"/>
        </w:rPr>
        <w:t xml:space="preserve"> un mājsaimniecības ienākumu līmeni. Statistikas dati rāda, ka Rīgas un Pierīgas reģionos internets ir pieejams aptuveni četrām </w:t>
      </w:r>
      <w:r w:rsidR="006D288C" w:rsidRPr="00595533">
        <w:rPr>
          <w:lang w:val="lv-LV"/>
        </w:rPr>
        <w:t>no</w:t>
      </w:r>
      <w:r w:rsidR="00D8764F" w:rsidRPr="00595533">
        <w:rPr>
          <w:lang w:val="lv-LV"/>
        </w:rPr>
        <w:t xml:space="preserve"> katrām piecām mājsaimniecībām (attiecīgi 83% un 81,2%), turpretim Latgales reģionā pieejamības rādītājs ir ievērojami zemāks un v</w:t>
      </w:r>
      <w:r w:rsidR="003B59EC" w:rsidRPr="00595533">
        <w:rPr>
          <w:lang w:val="lv-LV"/>
        </w:rPr>
        <w:t xml:space="preserve">eido 67%. Tomēr vienlaikus jāatzīmē, ka atšķirības interneta pieejamībā nav izteiktas atkarībā no dzīvesvietas urbanizācijas, kas ļauj domāt, ka reģionālās atšķirības </w:t>
      </w:r>
      <w:r w:rsidR="00D24918" w:rsidRPr="00595533">
        <w:rPr>
          <w:lang w:val="lv-LV"/>
        </w:rPr>
        <w:t>vis</w:t>
      </w:r>
      <w:r w:rsidR="003B59EC" w:rsidRPr="00595533">
        <w:rPr>
          <w:lang w:val="lv-LV"/>
        </w:rPr>
        <w:t xml:space="preserve">drīzāk ir skaidrojamas ar vecāka gadagājuma iedzīvotāju īpatsvaru </w:t>
      </w:r>
      <w:r w:rsidR="00D24918" w:rsidRPr="00595533">
        <w:rPr>
          <w:lang w:val="lv-LV"/>
        </w:rPr>
        <w:t>Latgales reģionā.</w:t>
      </w:r>
    </w:p>
    <w:p w14:paraId="225ED6B7" w14:textId="2E0E0EC4" w:rsidR="00E36897" w:rsidRPr="00595533" w:rsidRDefault="00E36897" w:rsidP="0040141F">
      <w:pPr>
        <w:rPr>
          <w:lang w:val="lv-LV"/>
        </w:rPr>
      </w:pPr>
      <w:r w:rsidRPr="00595533">
        <w:rPr>
          <w:lang w:val="lv-LV"/>
        </w:rPr>
        <w:t>To, ka dators un internets ir kļuvis par neatņemamu saziņas veidu teju ikvienam, apstiprina dati par interneta izmantošanas izplatību saziņai ar valsts un pašvaldību institūcijām</w:t>
      </w:r>
      <w:r w:rsidR="008E2E60" w:rsidRPr="00595533">
        <w:rPr>
          <w:lang w:val="lv-LV"/>
        </w:rPr>
        <w:t>. Kopš 2014. gada to personu īpatsvars, kuri kontaktiem ar publiskām iestādēm izmanto internetu</w:t>
      </w:r>
      <w:r w:rsidR="00134624" w:rsidRPr="00595533">
        <w:rPr>
          <w:lang w:val="lv-LV"/>
        </w:rPr>
        <w:t>,</w:t>
      </w:r>
      <w:r w:rsidR="008E2E60" w:rsidRPr="00595533">
        <w:rPr>
          <w:lang w:val="lv-LV"/>
        </w:rPr>
        <w:t xml:space="preserve"> ir būtiski audzis</w:t>
      </w:r>
      <w:r w:rsidR="00134624" w:rsidRPr="00595533">
        <w:rPr>
          <w:lang w:val="lv-LV"/>
        </w:rPr>
        <w:t>, 2016. gadā sasniedzot 69%.</w:t>
      </w:r>
      <w:r w:rsidR="008E2E60" w:rsidRPr="00595533">
        <w:rPr>
          <w:lang w:val="lv-LV"/>
        </w:rPr>
        <w:t xml:space="preserve"> </w:t>
      </w:r>
      <w:r w:rsidR="00134624" w:rsidRPr="00595533">
        <w:rPr>
          <w:lang w:val="lv-LV"/>
        </w:rPr>
        <w:t xml:space="preserve">Salīdzinājumā ar citām </w:t>
      </w:r>
      <w:r w:rsidR="00595533" w:rsidRPr="00595533">
        <w:rPr>
          <w:lang w:val="lv-LV"/>
        </w:rPr>
        <w:t>E</w:t>
      </w:r>
      <w:r w:rsidR="000C5AE1">
        <w:rPr>
          <w:lang w:val="lv-LV"/>
        </w:rPr>
        <w:t>i</w:t>
      </w:r>
      <w:r w:rsidR="00595533" w:rsidRPr="00595533">
        <w:rPr>
          <w:lang w:val="lv-LV"/>
        </w:rPr>
        <w:t>ro</w:t>
      </w:r>
      <w:r w:rsidR="00134624" w:rsidRPr="00595533">
        <w:rPr>
          <w:lang w:val="lv-LV"/>
        </w:rPr>
        <w:t>pas valstīm tas ir vērtējams kā augsts</w:t>
      </w:r>
      <w:r w:rsidR="00732A8B" w:rsidRPr="00595533">
        <w:rPr>
          <w:lang w:val="lv-LV"/>
        </w:rPr>
        <w:t>.</w:t>
      </w:r>
    </w:p>
    <w:p w14:paraId="3770609F" w14:textId="6E8FA9A7" w:rsidR="006D288C" w:rsidRPr="00595533" w:rsidRDefault="00922987" w:rsidP="006D288C">
      <w:pPr>
        <w:pStyle w:val="attelunosaukums"/>
      </w:pPr>
      <w:r>
        <w:t>25</w:t>
      </w:r>
      <w:r w:rsidR="006D288C" w:rsidRPr="00595533">
        <w:t>. attēls. Mājsainiecību īpatsvars, kam pieejams internets, %</w:t>
      </w:r>
    </w:p>
    <w:p w14:paraId="375C7FD2" w14:textId="731EC83C" w:rsidR="0052391A" w:rsidRPr="00595533" w:rsidRDefault="00756FBB" w:rsidP="0052391A">
      <w:pPr>
        <w:rPr>
          <w:lang w:val="lv-LV"/>
        </w:rPr>
      </w:pPr>
      <w:r>
        <w:rPr>
          <w:noProof/>
          <w:lang w:val="lv-LV" w:eastAsia="lv-LV"/>
        </w:rPr>
        <w:lastRenderedPageBreak/>
        <w:drawing>
          <wp:inline distT="0" distB="0" distL="0" distR="0" wp14:anchorId="7EF489AC" wp14:editId="3D53F255">
            <wp:extent cx="4991100" cy="29146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38A562" w14:textId="77777777" w:rsidR="00756FBB" w:rsidRDefault="00756FBB" w:rsidP="0040141F">
      <w:pPr>
        <w:rPr>
          <w:lang w:val="lv-LV"/>
        </w:rPr>
      </w:pPr>
    </w:p>
    <w:p w14:paraId="7752D56A" w14:textId="3DDD6DF6" w:rsidR="0040141F" w:rsidRDefault="00820E1B" w:rsidP="0040141F">
      <w:pPr>
        <w:rPr>
          <w:lang w:val="lv-LV"/>
        </w:rPr>
      </w:pPr>
      <w:r w:rsidRPr="00595533">
        <w:rPr>
          <w:lang w:val="lv-LV"/>
        </w:rPr>
        <w:t>Pakalpojumu pieejamības nodrošināšana elektroniskā veidā</w:t>
      </w:r>
      <w:r w:rsidR="00F272C9" w:rsidRPr="00595533">
        <w:rPr>
          <w:lang w:val="lv-LV"/>
        </w:rPr>
        <w:t xml:space="preserve"> </w:t>
      </w:r>
      <w:r w:rsidRPr="00595533">
        <w:rPr>
          <w:lang w:val="lv-LV"/>
        </w:rPr>
        <w:t xml:space="preserve">viedokļu līderu vērtējumā </w:t>
      </w:r>
      <w:r w:rsidR="00F272C9" w:rsidRPr="00595533">
        <w:rPr>
          <w:lang w:val="lv-LV"/>
        </w:rPr>
        <w:t>uzskat</w:t>
      </w:r>
      <w:r w:rsidRPr="00595533">
        <w:rPr>
          <w:lang w:val="lv-LV"/>
        </w:rPr>
        <w:t>āms</w:t>
      </w:r>
      <w:r w:rsidR="00F272C9" w:rsidRPr="00595533">
        <w:rPr>
          <w:lang w:val="lv-LV"/>
        </w:rPr>
        <w:t xml:space="preserve"> par vissekmīgāk </w:t>
      </w:r>
      <w:r w:rsidRPr="00595533">
        <w:rPr>
          <w:lang w:val="lv-LV"/>
        </w:rPr>
        <w:t xml:space="preserve">līdz šim </w:t>
      </w:r>
      <w:r w:rsidR="00F272C9" w:rsidRPr="00595533">
        <w:rPr>
          <w:lang w:val="lv-LV"/>
        </w:rPr>
        <w:t>īstenoto NAP2020 mērķi</w:t>
      </w:r>
      <w:r w:rsidRPr="00595533">
        <w:rPr>
          <w:lang w:val="lv-LV"/>
        </w:rPr>
        <w:t xml:space="preserve">. 77% aptaujāto atzinuši, ka šis mērķis tiek īstenots sekmīgi vai drīzāk sekmīgi. Taču </w:t>
      </w:r>
      <w:r w:rsidR="00091050" w:rsidRPr="00595533">
        <w:rPr>
          <w:lang w:val="lv-LV"/>
        </w:rPr>
        <w:t xml:space="preserve">progress </w:t>
      </w:r>
      <w:r w:rsidRPr="00595533">
        <w:rPr>
          <w:lang w:val="lv-LV"/>
        </w:rPr>
        <w:t>cit</w:t>
      </w:r>
      <w:r w:rsidR="00091050" w:rsidRPr="00595533">
        <w:rPr>
          <w:lang w:val="lv-LV"/>
        </w:rPr>
        <w:t>os rīcības virzienā paredzētajos</w:t>
      </w:r>
      <w:r w:rsidRPr="00595533">
        <w:rPr>
          <w:lang w:val="lv-LV"/>
        </w:rPr>
        <w:t xml:space="preserve"> </w:t>
      </w:r>
      <w:r w:rsidR="00091050" w:rsidRPr="00595533">
        <w:rPr>
          <w:lang w:val="lv-LV"/>
        </w:rPr>
        <w:t>mērķos tik pozitīvi netiek vērtēts. Kopumā tikai 29% ekspertu uzskata, ka progress ar</w:t>
      </w:r>
      <w:r w:rsidR="0026266A" w:rsidRPr="00595533">
        <w:rPr>
          <w:lang w:val="lv-LV"/>
        </w:rPr>
        <w:t xml:space="preserve"> attīstības centru</w:t>
      </w:r>
      <w:r w:rsidR="00091050" w:rsidRPr="00595533">
        <w:rPr>
          <w:lang w:val="lv-LV"/>
        </w:rPr>
        <w:t xml:space="preserve"> sasniedzamīb</w:t>
      </w:r>
      <w:r w:rsidR="0026266A" w:rsidRPr="00595533">
        <w:rPr>
          <w:lang w:val="lv-LV"/>
        </w:rPr>
        <w:t>as nodrošināšanu uzskatām</w:t>
      </w:r>
      <w:r w:rsidR="0053296E" w:rsidRPr="00595533">
        <w:rPr>
          <w:lang w:val="lv-LV"/>
        </w:rPr>
        <w:t>s</w:t>
      </w:r>
      <w:r w:rsidR="0026266A" w:rsidRPr="00595533">
        <w:rPr>
          <w:lang w:val="lv-LV"/>
        </w:rPr>
        <w:t xml:space="preserve"> par drīzāk sekmīgu vai sekmīgu. Tāpat tiek vērtēta arī virzība ar klātienes pakalpojumu pieejamības nodrošināšanu reģionos.</w:t>
      </w:r>
      <w:r w:rsidR="0053296E" w:rsidRPr="00595533">
        <w:rPr>
          <w:lang w:val="lv-LV"/>
        </w:rPr>
        <w:t xml:space="preserve"> 44% viedokļu līderu progresu šajā mērķī raksturojuši kā drīzāk nesekmīgu, bet katrs piektais – kā noteikti nesekmīgu.</w:t>
      </w:r>
    </w:p>
    <w:p w14:paraId="05CEF7BA" w14:textId="5B95CEAA" w:rsidR="00D83596" w:rsidRDefault="00E437AC" w:rsidP="0040141F">
      <w:pPr>
        <w:rPr>
          <w:lang w:val="lv-LV"/>
        </w:rPr>
      </w:pPr>
      <w:r>
        <w:rPr>
          <w:lang w:val="lv-LV"/>
        </w:rPr>
        <w:t xml:space="preserve">Galvenais iemesls tam, kādēļ kritiski tiek vērtēta attīstības centru sasniedzamība, ir autoceļu kvalitāte, taču praktiski tikpat bieži viedokļu līderi </w:t>
      </w:r>
      <w:r w:rsidR="00BA36C1">
        <w:rPr>
          <w:lang w:val="lv-LV"/>
        </w:rPr>
        <w:t xml:space="preserve">kā problēmu </w:t>
      </w:r>
      <w:r>
        <w:rPr>
          <w:lang w:val="lv-LV"/>
        </w:rPr>
        <w:t>minējuši arī sabiedriskā transporta infrastruktūru</w:t>
      </w:r>
      <w:r w:rsidR="00BA36C1">
        <w:rPr>
          <w:lang w:val="lv-LV"/>
        </w:rPr>
        <w:t xml:space="preserve"> un organizāciju, kas nopietni ierobežo attīstības centru sasniedzamību iedzīvotājiem no mazapdzīvotām vietām:</w:t>
      </w:r>
    </w:p>
    <w:p w14:paraId="30D9F308" w14:textId="45C00836" w:rsidR="00051019" w:rsidRPr="00016E7A" w:rsidRDefault="00051019" w:rsidP="00016E7A">
      <w:pPr>
        <w:ind w:left="720"/>
        <w:rPr>
          <w:i/>
          <w:color w:val="374C80" w:themeColor="accent1" w:themeShade="BF"/>
          <w:lang w:val="lv-LV"/>
        </w:rPr>
      </w:pPr>
      <w:r w:rsidRPr="00016E7A">
        <w:rPr>
          <w:i/>
          <w:color w:val="374C80" w:themeColor="accent1" w:themeShade="BF"/>
          <w:lang w:val="lv-LV"/>
        </w:rPr>
        <w:t>“</w:t>
      </w:r>
      <w:r w:rsidR="00016E7A" w:rsidRPr="0081495A">
        <w:rPr>
          <w:i/>
          <w:color w:val="374C80" w:themeColor="accent1" w:themeShade="BF"/>
          <w:lang w:val="lv-LV"/>
        </w:rPr>
        <w:t>Nopietnas problēmas saskaņota sabiedriskā transporta sistēmas izveidē  teritorijās ārpus Rīgas aglomerācijas, kas ļautu iedzīvotājiem ikdienā pārvietoties uz un no attīstības centriem.”</w:t>
      </w:r>
    </w:p>
    <w:p w14:paraId="7014733D" w14:textId="6ED9B3F7" w:rsidR="00BA36C1" w:rsidRDefault="00051019" w:rsidP="0040141F">
      <w:pPr>
        <w:rPr>
          <w:lang w:val="lv-LV"/>
        </w:rPr>
      </w:pPr>
      <w:r>
        <w:rPr>
          <w:lang w:val="lv-LV"/>
        </w:rPr>
        <w:t>Jānorāda, ka s</w:t>
      </w:r>
      <w:r w:rsidR="003116EF">
        <w:rPr>
          <w:lang w:val="lv-LV"/>
        </w:rPr>
        <w:t>abiedriskā transporta organizācija būtiski ietekmē arī vērtējumu par klātienes pakalpojumu pieejamību</w:t>
      </w:r>
      <w:r>
        <w:rPr>
          <w:lang w:val="lv-LV"/>
        </w:rPr>
        <w:t>:</w:t>
      </w:r>
    </w:p>
    <w:p w14:paraId="19D88D39" w14:textId="0ECDBFDC" w:rsidR="0040141F" w:rsidRPr="0081495A" w:rsidRDefault="00016E7A" w:rsidP="00016E7A">
      <w:pPr>
        <w:ind w:left="720"/>
        <w:rPr>
          <w:i/>
          <w:color w:val="374C80" w:themeColor="accent1" w:themeShade="BF"/>
          <w:lang w:val="lv-LV"/>
        </w:rPr>
      </w:pPr>
      <w:r w:rsidRPr="0081495A">
        <w:rPr>
          <w:i/>
          <w:color w:val="374C80" w:themeColor="accent1" w:themeShade="BF"/>
          <w:lang w:val="lv-LV"/>
        </w:rPr>
        <w:t>“Ir "pakalpojumu groza" koncepcija, bet bez sasniedzamības jautājumu sakārtošanas tā noved pie tā, ka daļai sabiedrības zināms skaits ļoti svarīgu pakalpojumu kļūst nepieejams un reāli tiek pārkāptas cilvēktiesības (sabiedriskais transports, veselības aprūpe, arvien aktuālāks kļūst izglītības jautājums šajā kontekstā).”</w:t>
      </w:r>
    </w:p>
    <w:p w14:paraId="064617B1" w14:textId="77777777" w:rsidR="00016E7A" w:rsidRPr="00016E7A" w:rsidRDefault="00016E7A" w:rsidP="00016E7A">
      <w:pPr>
        <w:rPr>
          <w:lang w:val="lv-LV"/>
        </w:rPr>
      </w:pPr>
    </w:p>
    <w:p w14:paraId="6DA38F12" w14:textId="6BE6AA90" w:rsidR="008C4662" w:rsidRPr="00595533" w:rsidRDefault="00654F5A" w:rsidP="008C4662">
      <w:pPr>
        <w:pStyle w:val="Heading2"/>
        <w:rPr>
          <w:lang w:val="lv-LV"/>
        </w:rPr>
      </w:pPr>
      <w:bookmarkStart w:id="69" w:name="_Toc498690646"/>
      <w:bookmarkStart w:id="70" w:name="_Toc499025322"/>
      <w:r>
        <w:rPr>
          <w:lang w:val="lv-LV"/>
        </w:rPr>
        <w:t xml:space="preserve">3.12. </w:t>
      </w:r>
      <w:r w:rsidR="008C4662" w:rsidRPr="00595533">
        <w:rPr>
          <w:lang w:val="lv-LV"/>
        </w:rPr>
        <w:t>Dabas un kultūras kapitāla ilgtspējīga apsaimniekošana</w:t>
      </w:r>
      <w:bookmarkEnd w:id="69"/>
      <w:bookmarkEnd w:id="70"/>
    </w:p>
    <w:p w14:paraId="46276267" w14:textId="36039EF5" w:rsidR="008C4662" w:rsidRPr="00595533" w:rsidRDefault="00687BCE" w:rsidP="005E0260">
      <w:pPr>
        <w:rPr>
          <w:lang w:val="lv-LV"/>
        </w:rPr>
      </w:pPr>
      <w:r w:rsidRPr="00595533">
        <w:rPr>
          <w:lang w:val="lv-LV"/>
        </w:rPr>
        <w:t xml:space="preserve">Rīcības virziena </w:t>
      </w:r>
      <w:r w:rsidRPr="00595533">
        <w:rPr>
          <w:i/>
          <w:lang w:val="lv-LV"/>
        </w:rPr>
        <w:t>Dabas un kultūras kapitāla ilgtspējīga apsaimniekošana</w:t>
      </w:r>
      <w:r w:rsidRPr="00595533">
        <w:rPr>
          <w:lang w:val="lv-LV"/>
        </w:rPr>
        <w:t xml:space="preserve"> </w:t>
      </w:r>
      <w:r w:rsidR="00547F43" w:rsidRPr="00595533">
        <w:rPr>
          <w:lang w:val="lv-LV"/>
        </w:rPr>
        <w:t xml:space="preserve">pirmais </w:t>
      </w:r>
      <w:r w:rsidRPr="00595533">
        <w:rPr>
          <w:lang w:val="lv-LV"/>
        </w:rPr>
        <w:t xml:space="preserve">mērķis ir saglabāt dabas kapitālu kā bāzi ilgtspējīgai ekonomiskai izaugsmei un sekmēt tā ilgtspējīgu izmantošanu, mazinot dabas un cilvēka darbības radītos riskus vides kvalitātei. </w:t>
      </w:r>
      <w:r w:rsidR="00376DAD" w:rsidRPr="00595533">
        <w:rPr>
          <w:lang w:val="lv-LV"/>
        </w:rPr>
        <w:t xml:space="preserve">Lai to nodrošinātu, paredzēts attīstīt atkritumu šķirošanu un dalīti savākto atkritumu pārstrādi, </w:t>
      </w:r>
      <w:r w:rsidR="00D266D4" w:rsidRPr="00595533">
        <w:rPr>
          <w:lang w:val="lv-LV"/>
        </w:rPr>
        <w:t xml:space="preserve">pielietot vidi saudzējošas tehnoloģijas zemes un citu dabas resursu </w:t>
      </w:r>
      <w:r w:rsidR="00D266D4" w:rsidRPr="00595533">
        <w:rPr>
          <w:lang w:val="lv-LV"/>
        </w:rPr>
        <w:lastRenderedPageBreak/>
        <w:t>ilgtspējīgā izmantošanā, kā arī paplašināt pieprasījumu pēc energoefektīvām un ekoloģiskas izcelsmes precēm un pakalpojumiem publiskajos iepi</w:t>
      </w:r>
      <w:r w:rsidR="00547F43" w:rsidRPr="00595533">
        <w:rPr>
          <w:lang w:val="lv-LV"/>
        </w:rPr>
        <w:t>r</w:t>
      </w:r>
      <w:r w:rsidR="00D266D4" w:rsidRPr="00595533">
        <w:rPr>
          <w:lang w:val="lv-LV"/>
        </w:rPr>
        <w:t>kumos.</w:t>
      </w:r>
    </w:p>
    <w:p w14:paraId="43F5FD5D" w14:textId="6D9DD218" w:rsidR="00547F43" w:rsidRPr="00595533" w:rsidRDefault="00547F43" w:rsidP="005E0260">
      <w:pPr>
        <w:rPr>
          <w:lang w:val="lv-LV"/>
        </w:rPr>
      </w:pPr>
      <w:r w:rsidRPr="00595533">
        <w:rPr>
          <w:lang w:val="lv-LV"/>
        </w:rPr>
        <w:t>Otrais no rīcības virziena mērķiem saistīts ar kultūras kapitāla resursu ilgtspējīgu izmantošanu, radot iespējas attīstīt radošās industrijas, kultūras produktus un tūrismu reģionos. Lai īstenotu mērķi, paredzēts atbalstīt kultūras iestādes, vietējos uzņēmējus un tradicionālos amatniekus</w:t>
      </w:r>
      <w:r w:rsidR="00033313" w:rsidRPr="00595533">
        <w:rPr>
          <w:lang w:val="lv-LV"/>
        </w:rPr>
        <w:t>, kas veido produktus un pakalpojumus uz materiālā un nemateriālā kultūras mantojuma bāzes, kā arī attīstīt uz eksportu orientētus tūrisma, kultūras, veselības un dabas kapitāla pakalpojumus un produktus.</w:t>
      </w:r>
    </w:p>
    <w:p w14:paraId="7CAA40BF" w14:textId="77777777" w:rsidR="00184FFF" w:rsidRPr="00595533" w:rsidRDefault="00184FFF" w:rsidP="00184FFF">
      <w:pPr>
        <w:pStyle w:val="NoSpacing"/>
        <w:rPr>
          <w:sz w:val="10"/>
          <w:szCs w:val="10"/>
          <w:lang w:val="lv-LV"/>
        </w:rPr>
      </w:pPr>
    </w:p>
    <w:p w14:paraId="2A82D39A" w14:textId="77777777" w:rsidR="00184FFF" w:rsidRPr="00595533" w:rsidRDefault="00184FFF" w:rsidP="00184FFF">
      <w:pPr>
        <w:pStyle w:val="Heading3"/>
        <w:rPr>
          <w:lang w:val="lv-LV"/>
        </w:rPr>
      </w:pPr>
      <w:bookmarkStart w:id="71" w:name="_Toc498690647"/>
      <w:r w:rsidRPr="00595533">
        <w:rPr>
          <w:lang w:val="lv-LV"/>
        </w:rPr>
        <w:t>UZDEVUMU ĪSTENOŠANAS PROGRESS</w:t>
      </w:r>
      <w:bookmarkEnd w:id="71"/>
    </w:p>
    <w:p w14:paraId="273CE7A8" w14:textId="481AB2CF" w:rsidR="000071DE" w:rsidRPr="001621A1" w:rsidRDefault="000071DE" w:rsidP="000071DE">
      <w:pPr>
        <w:rPr>
          <w:rFonts w:ascii="Times New Roman" w:hAnsi="Times New Roman" w:cs="Times New Roman"/>
          <w:b/>
          <w:u w:val="single"/>
          <w:lang w:val="lv-LV"/>
        </w:rPr>
      </w:pPr>
      <w:r w:rsidRPr="001621A1">
        <w:rPr>
          <w:rFonts w:ascii="Times New Roman" w:hAnsi="Times New Roman" w:cs="Times New Roman"/>
          <w:b/>
          <w:u w:val="single"/>
          <w:lang w:val="lv-LV"/>
        </w:rPr>
        <w:t>Dabas kapitāla ilgtspēja</w:t>
      </w:r>
    </w:p>
    <w:p w14:paraId="238A531E" w14:textId="72596D5F" w:rsidR="000071DE" w:rsidRPr="00D47F5B" w:rsidRDefault="000071DE" w:rsidP="001621A1">
      <w:pPr>
        <w:rPr>
          <w:lang w:val="lv-LV"/>
        </w:rPr>
      </w:pPr>
      <w:r w:rsidRPr="001621A1">
        <w:rPr>
          <w:lang w:val="lv-LV"/>
        </w:rPr>
        <w:t xml:space="preserve">Lai stimulētu zemes un citu dabas resursu ilgtspējīgu izmantošanu un bioloģisko daudzveidību,pārskata periodā aktivitātes ir īstenotas divos virzienos. </w:t>
      </w:r>
      <w:r w:rsidRPr="001621A1">
        <w:rPr>
          <w:b/>
          <w:lang w:val="lv-LV"/>
        </w:rPr>
        <w:t>Zivju resursu ilgtspējīgas</w:t>
      </w:r>
      <w:r w:rsidRPr="001621A1">
        <w:rPr>
          <w:lang w:val="lv-LV"/>
        </w:rPr>
        <w:t xml:space="preserve"> saglabāšanas nodrošināšanai īstenots Zivju resursu mākslīgās atražošanas rīcības plāns 2014.–2016. gadam un tā ietvaros Latvijas iekšējo ūdeņu zivju resursi papildināti par 49,5 mlj zivju kāpuru, mazuļu un smoltu, kā arī nēģu kāpuru. Savukārt, veicinot </w:t>
      </w:r>
      <w:r w:rsidRPr="001621A1">
        <w:rPr>
          <w:b/>
          <w:lang w:val="lv-LV"/>
        </w:rPr>
        <w:t>zemes un meža resursu ilgtspējīgu</w:t>
      </w:r>
      <w:r w:rsidRPr="001621A1">
        <w:rPr>
          <w:lang w:val="lv-LV"/>
        </w:rPr>
        <w:t xml:space="preserve"> izmantošanu un bioloģisko daudzveidību, </w:t>
      </w:r>
      <w:r w:rsidR="00A75AB3">
        <w:rPr>
          <w:lang w:val="lv-LV"/>
        </w:rPr>
        <w:t>LLAP2020</w:t>
      </w:r>
      <w:r w:rsidRPr="001621A1">
        <w:rPr>
          <w:lang w:val="lv-LV"/>
        </w:rPr>
        <w:t xml:space="preserve"> ietvaros ir sniegts atbalsts platību maksājumiem par vidi saaudzējošu metožu izmantošanu lauksaimniecībā, lauku saimniecībām, kas atrodas teritorijā ar dabas vai citiem specifiskiem ierobežojumiem, par mežu platībām, kurās noteikti saimnieciskās darbības ierobežojumi (Natura 2000), ieguldīju</w:t>
      </w:r>
      <w:r w:rsidR="00595533" w:rsidRPr="001621A1">
        <w:rPr>
          <w:lang w:val="lv-LV"/>
        </w:rPr>
        <w:t>miem mežu platību palielināšanā</w:t>
      </w:r>
      <w:r w:rsidRPr="001621A1">
        <w:rPr>
          <w:lang w:val="lv-LV"/>
        </w:rPr>
        <w:t xml:space="preserve"> un izkopšan</w:t>
      </w:r>
      <w:r w:rsidR="00595533" w:rsidRPr="001621A1">
        <w:rPr>
          <w:lang w:val="lv-LV"/>
        </w:rPr>
        <w:t>ā</w:t>
      </w:r>
      <w:r w:rsidRPr="001621A1">
        <w:rPr>
          <w:lang w:val="lv-LV"/>
        </w:rPr>
        <w:t>, precīzās lauksaimniecības tehnoloģijās</w:t>
      </w:r>
      <w:r w:rsidRPr="00D47F5B">
        <w:rPr>
          <w:lang w:val="lv-LV"/>
        </w:rPr>
        <w:t>, SEG emisiju samazinošiem pasākumiem un energoefektivitātes pasākumiem. Minēto darbību īstenošanai uz 2016.</w:t>
      </w:r>
      <w:r w:rsidR="00595533" w:rsidRPr="00D47F5B">
        <w:rPr>
          <w:lang w:val="lv-LV"/>
        </w:rPr>
        <w:t> </w:t>
      </w:r>
      <w:r w:rsidRPr="00D47F5B">
        <w:rPr>
          <w:lang w:val="lv-LV"/>
        </w:rPr>
        <w:t xml:space="preserve">gada nogali </w:t>
      </w:r>
      <w:r w:rsidR="00595533" w:rsidRPr="00D47F5B">
        <w:rPr>
          <w:lang w:val="lv-LV"/>
        </w:rPr>
        <w:t>ir uzņemtas saistības 203,4 mlj</w:t>
      </w:r>
      <w:r w:rsidRPr="00D47F5B">
        <w:rPr>
          <w:lang w:val="lv-LV"/>
        </w:rPr>
        <w:t xml:space="preserve"> euro apmērā.</w:t>
      </w:r>
    </w:p>
    <w:p w14:paraId="7CC70663" w14:textId="7925DEA5" w:rsidR="000071DE" w:rsidRPr="001621A1" w:rsidRDefault="00CB2300" w:rsidP="001621A1">
      <w:pPr>
        <w:rPr>
          <w:lang w:val="lv-LV"/>
        </w:rPr>
      </w:pPr>
      <w:r w:rsidRPr="00D47F5B">
        <w:rPr>
          <w:lang w:val="lv-LV"/>
        </w:rPr>
        <w:t xml:space="preserve">Lai palielinātu </w:t>
      </w:r>
      <w:r w:rsidRPr="00D47F5B">
        <w:rPr>
          <w:b/>
          <w:lang w:val="lv-LV"/>
        </w:rPr>
        <w:t>ūdenstilpju un lauksaimniecībā izmantojamās zemes</w:t>
      </w:r>
      <w:r w:rsidRPr="00D47F5B">
        <w:rPr>
          <w:lang w:val="lv-LV"/>
        </w:rPr>
        <w:t xml:space="preserve"> izmantošanu pārtikas ražošanai</w:t>
      </w:r>
      <w:r w:rsidR="005C6D89" w:rsidRPr="00D47F5B">
        <w:rPr>
          <w:lang w:val="lv-LV"/>
        </w:rPr>
        <w:t>, vielaikus palielinot</w:t>
      </w:r>
      <w:r w:rsidR="005C6D89" w:rsidRPr="001621A1">
        <w:rPr>
          <w:lang w:val="lv-LV"/>
        </w:rPr>
        <w:t xml:space="preserve"> augsnes auglību, pārskata periodā aktivitātes </w:t>
      </w:r>
      <w:r w:rsidR="000071DE" w:rsidRPr="001621A1">
        <w:rPr>
          <w:lang w:val="lv-LV"/>
        </w:rPr>
        <w:t xml:space="preserve">veiktas </w:t>
      </w:r>
      <w:r w:rsidR="005C6D89" w:rsidRPr="001621A1">
        <w:rPr>
          <w:lang w:val="lv-LV"/>
        </w:rPr>
        <w:t>vairākos</w:t>
      </w:r>
      <w:r w:rsidR="000071DE" w:rsidRPr="001621A1">
        <w:rPr>
          <w:lang w:val="lv-LV"/>
        </w:rPr>
        <w:t xml:space="preserve"> virzienos. </w:t>
      </w:r>
      <w:r w:rsidR="00A75AB3">
        <w:rPr>
          <w:lang w:val="lv-LV"/>
        </w:rPr>
        <w:t>LLAP</w:t>
      </w:r>
      <w:r w:rsidR="000071DE" w:rsidRPr="001621A1">
        <w:rPr>
          <w:lang w:val="lv-LV"/>
        </w:rPr>
        <w:t>2020 ietvaros sniegts atbalsts ieguldījumiem lauksaimniecības un mežsaimniec</w:t>
      </w:r>
      <w:r w:rsidR="005C6D89" w:rsidRPr="001621A1">
        <w:rPr>
          <w:lang w:val="lv-LV"/>
        </w:rPr>
        <w:t>ības infrastruktūras attīstībai </w:t>
      </w:r>
      <w:r w:rsidR="000071DE" w:rsidRPr="001621A1">
        <w:rPr>
          <w:lang w:val="lv-LV"/>
        </w:rPr>
        <w:t xml:space="preserve">– meliorācijas sistēmu atjaunošanai un pārbūvei. </w:t>
      </w:r>
      <w:r w:rsidR="005C6D89" w:rsidRPr="001621A1">
        <w:rPr>
          <w:lang w:val="lv-LV"/>
        </w:rPr>
        <w:t>Tāpat ir nodrošināta Integrētās augu aizsardzības sistēmas ieviešana, kā rezultātā VAAD rīcībā esošie augšņu agroķīmiskās izpētes dati ir apkopoti informatīvajā sistēmā, un, izmantojot šos datus, ir pamatoti augsnes auglības veicināšanas pasākumi. Minēto darbību īstenošanai uz 2016. gada nogali ir uzņemtas saistības 25,9 mlj euro apmērā.</w:t>
      </w:r>
      <w:r w:rsidR="001621A1" w:rsidRPr="001621A1">
        <w:rPr>
          <w:lang w:val="lv-LV"/>
        </w:rPr>
        <w:t xml:space="preserve"> </w:t>
      </w:r>
      <w:r w:rsidR="000071DE" w:rsidRPr="001621A1">
        <w:rPr>
          <w:lang w:val="lv-LV"/>
        </w:rPr>
        <w:t>Savukārt, no ERAF līdzekļiem atbalsts sniegts polderu aizsargdambju un sūkņu staciju atjaunošanai un potomālo upju regulēto posmu atjaunošana</w:t>
      </w:r>
      <w:r w:rsidR="001621A1" w:rsidRPr="001621A1">
        <w:rPr>
          <w:lang w:val="lv-LV"/>
        </w:rPr>
        <w:t>i</w:t>
      </w:r>
      <w:r w:rsidR="000071DE" w:rsidRPr="001621A1">
        <w:rPr>
          <w:lang w:val="lv-LV"/>
        </w:rPr>
        <w:t xml:space="preserve">. </w:t>
      </w:r>
    </w:p>
    <w:p w14:paraId="29C68309" w14:textId="655123B8" w:rsidR="000071DE" w:rsidRPr="00D2579A" w:rsidRDefault="00672505" w:rsidP="00D2579A">
      <w:pPr>
        <w:rPr>
          <w:szCs w:val="22"/>
          <w:lang w:val="lv-LV"/>
        </w:rPr>
      </w:pPr>
      <w:r w:rsidRPr="00D2579A">
        <w:rPr>
          <w:szCs w:val="22"/>
          <w:lang w:val="lv-LV"/>
        </w:rPr>
        <w:t>L</w:t>
      </w:r>
      <w:r w:rsidR="000071DE" w:rsidRPr="00D2579A">
        <w:rPr>
          <w:szCs w:val="22"/>
          <w:lang w:val="lv-LV"/>
        </w:rPr>
        <w:t xml:space="preserve">ai attīstītu </w:t>
      </w:r>
      <w:r w:rsidR="000071DE" w:rsidRPr="00EC6DA8">
        <w:rPr>
          <w:b/>
          <w:szCs w:val="22"/>
          <w:lang w:val="lv-LV"/>
        </w:rPr>
        <w:t>atkritumu dalītās savākšanas sistēmu</w:t>
      </w:r>
      <w:r w:rsidR="000071DE" w:rsidRPr="00D2579A">
        <w:rPr>
          <w:szCs w:val="22"/>
          <w:lang w:val="lv-LV"/>
        </w:rPr>
        <w:t>, palielinātu valstī pieejamo atkritumu pārstrādes iekārtu jaudu, attīstot atkritumu poligonu infrastruktūru un uzlabo</w:t>
      </w:r>
      <w:r w:rsidR="00143506">
        <w:rPr>
          <w:szCs w:val="22"/>
          <w:lang w:val="lv-LV"/>
        </w:rPr>
        <w:t>jot</w:t>
      </w:r>
      <w:r w:rsidR="000071DE" w:rsidRPr="00D2579A">
        <w:rPr>
          <w:szCs w:val="22"/>
          <w:lang w:val="lv-LV"/>
        </w:rPr>
        <w:t xml:space="preserve"> atkritumos esošo otrreizējo izejvielu izmantošanu</w:t>
      </w:r>
      <w:r w:rsidRPr="00D2579A">
        <w:rPr>
          <w:szCs w:val="22"/>
          <w:lang w:val="lv-LV"/>
        </w:rPr>
        <w:t xml:space="preserve">, ir piesaistīts </w:t>
      </w:r>
      <w:r w:rsidR="005863B7">
        <w:rPr>
          <w:szCs w:val="22"/>
          <w:lang w:val="lv-LV"/>
        </w:rPr>
        <w:t xml:space="preserve">41 mlj euro finansējums no </w:t>
      </w:r>
      <w:r w:rsidRPr="00D2579A">
        <w:rPr>
          <w:szCs w:val="22"/>
          <w:lang w:val="lv-LV"/>
        </w:rPr>
        <w:t>ES fond</w:t>
      </w:r>
      <w:r w:rsidR="005863B7">
        <w:rPr>
          <w:szCs w:val="22"/>
          <w:lang w:val="lv-LV"/>
        </w:rPr>
        <w:t>iem</w:t>
      </w:r>
      <w:r w:rsidRPr="00D2579A">
        <w:rPr>
          <w:rStyle w:val="FootnoteReference"/>
          <w:rFonts w:cs="Times New Roman"/>
          <w:szCs w:val="22"/>
          <w:lang w:val="lv-LV"/>
        </w:rPr>
        <w:footnoteReference w:id="74"/>
      </w:r>
      <w:r w:rsidRPr="00D2579A">
        <w:rPr>
          <w:szCs w:val="22"/>
          <w:lang w:val="lv-LV"/>
        </w:rPr>
        <w:t xml:space="preserve">. </w:t>
      </w:r>
      <w:r w:rsidR="000071DE" w:rsidRPr="00D2579A">
        <w:rPr>
          <w:szCs w:val="22"/>
          <w:lang w:val="lv-LV"/>
        </w:rPr>
        <w:t xml:space="preserve">Kopumā </w:t>
      </w:r>
      <w:r w:rsidR="000071DE" w:rsidRPr="003367AF">
        <w:rPr>
          <w:szCs w:val="22"/>
          <w:lang w:val="lv-LV"/>
        </w:rPr>
        <w:t>2016.</w:t>
      </w:r>
      <w:r w:rsidRPr="003367AF">
        <w:rPr>
          <w:szCs w:val="22"/>
          <w:lang w:val="lv-LV"/>
        </w:rPr>
        <w:t> </w:t>
      </w:r>
      <w:r w:rsidR="000071DE" w:rsidRPr="003367AF">
        <w:rPr>
          <w:szCs w:val="22"/>
          <w:lang w:val="lv-LV"/>
        </w:rPr>
        <w:t>gadā Latvijā sadzīvē radīti divi m</w:t>
      </w:r>
      <w:r w:rsidRPr="003367AF">
        <w:rPr>
          <w:szCs w:val="22"/>
          <w:lang w:val="lv-LV"/>
        </w:rPr>
        <w:t>i</w:t>
      </w:r>
      <w:r w:rsidR="000071DE" w:rsidRPr="003367AF">
        <w:rPr>
          <w:szCs w:val="22"/>
          <w:lang w:val="lv-LV"/>
        </w:rPr>
        <w:t xml:space="preserve">ljoni tonnu atkritumu (izņemot bīstamos atkritumus), savukārt 850 000 tonnas ir vidēji gadā mājsaimniecībās radīto atkritumu daudzums. Lielāko apjomu no šiem atkritumiem veido tieši nešķiroto sadzīves atkritumu apjoms. </w:t>
      </w:r>
      <w:r w:rsidR="0006027A" w:rsidRPr="003367AF">
        <w:rPr>
          <w:szCs w:val="22"/>
          <w:lang w:val="lv-LV"/>
        </w:rPr>
        <w:t xml:space="preserve">2016.gadā </w:t>
      </w:r>
      <w:r w:rsidR="000071DE" w:rsidRPr="003367AF">
        <w:rPr>
          <w:szCs w:val="22"/>
          <w:lang w:val="lv-LV"/>
        </w:rPr>
        <w:t xml:space="preserve">poligonos </w:t>
      </w:r>
      <w:r w:rsidR="0006027A" w:rsidRPr="003367AF">
        <w:rPr>
          <w:szCs w:val="22"/>
          <w:lang w:val="lv-LV"/>
        </w:rPr>
        <w:t xml:space="preserve">tika </w:t>
      </w:r>
      <w:r w:rsidR="000071DE" w:rsidRPr="003367AF">
        <w:rPr>
          <w:szCs w:val="22"/>
          <w:lang w:val="lv-LV"/>
        </w:rPr>
        <w:t xml:space="preserve">noglabāti </w:t>
      </w:r>
      <w:r w:rsidR="0006027A" w:rsidRPr="003367AF">
        <w:rPr>
          <w:szCs w:val="22"/>
          <w:lang w:val="lv-LV"/>
        </w:rPr>
        <w:t>~</w:t>
      </w:r>
      <w:r w:rsidR="00976BBA">
        <w:rPr>
          <w:szCs w:val="22"/>
          <w:lang w:val="lv-LV"/>
        </w:rPr>
        <w:t>36</w:t>
      </w:r>
      <w:r w:rsidR="000071DE" w:rsidRPr="003367AF">
        <w:rPr>
          <w:szCs w:val="22"/>
          <w:lang w:val="lv-LV"/>
        </w:rPr>
        <w:t xml:space="preserve">% no </w:t>
      </w:r>
      <w:r w:rsidR="00976BBA">
        <w:rPr>
          <w:szCs w:val="22"/>
          <w:lang w:val="lv-LV"/>
        </w:rPr>
        <w:t>savākt</w:t>
      </w:r>
      <w:r w:rsidR="0006027A" w:rsidRPr="003367AF">
        <w:rPr>
          <w:szCs w:val="22"/>
          <w:lang w:val="lv-LV"/>
        </w:rPr>
        <w:t xml:space="preserve">ajiem sadzīves atkritumiem </w:t>
      </w:r>
      <w:r w:rsidR="000071DE" w:rsidRPr="003367AF">
        <w:rPr>
          <w:szCs w:val="22"/>
          <w:lang w:val="lv-LV"/>
        </w:rPr>
        <w:t xml:space="preserve">atkritumiem, bet </w:t>
      </w:r>
      <w:r w:rsidR="0006027A" w:rsidRPr="003367AF">
        <w:rPr>
          <w:szCs w:val="22"/>
          <w:lang w:val="lv-LV"/>
        </w:rPr>
        <w:t xml:space="preserve">to pārstrādes apjomi </w:t>
      </w:r>
      <w:r w:rsidR="0006027A" w:rsidRPr="003367AF">
        <w:rPr>
          <w:szCs w:val="22"/>
          <w:lang w:val="lv-LV"/>
        </w:rPr>
        <w:lastRenderedPageBreak/>
        <w:t xml:space="preserve">sastāda ap </w:t>
      </w:r>
      <w:r w:rsidR="00976BBA">
        <w:rPr>
          <w:szCs w:val="22"/>
          <w:lang w:val="lv-LV"/>
        </w:rPr>
        <w:t>70</w:t>
      </w:r>
      <w:r w:rsidR="0006027A" w:rsidRPr="003367AF">
        <w:rPr>
          <w:szCs w:val="22"/>
          <w:lang w:val="lv-LV"/>
        </w:rPr>
        <w:t xml:space="preserve">% no </w:t>
      </w:r>
      <w:r w:rsidR="00976BBA">
        <w:rPr>
          <w:szCs w:val="22"/>
          <w:lang w:val="lv-LV"/>
        </w:rPr>
        <w:t>savāk</w:t>
      </w:r>
      <w:r w:rsidR="0006027A" w:rsidRPr="003367AF">
        <w:rPr>
          <w:szCs w:val="22"/>
          <w:lang w:val="lv-LV"/>
        </w:rPr>
        <w:t xml:space="preserve">to sadzīves atkritumu apjoma </w:t>
      </w:r>
      <w:r w:rsidR="000071DE" w:rsidRPr="003367AF">
        <w:rPr>
          <w:rStyle w:val="FootnoteReference"/>
          <w:rFonts w:cs="Times New Roman"/>
          <w:szCs w:val="22"/>
          <w:lang w:val="lv-LV"/>
        </w:rPr>
        <w:footnoteReference w:id="75"/>
      </w:r>
      <w:r w:rsidR="00D2579A" w:rsidRPr="003367AF">
        <w:rPr>
          <w:szCs w:val="22"/>
          <w:lang w:val="lv-LV"/>
        </w:rPr>
        <w:t xml:space="preserve">. </w:t>
      </w:r>
      <w:r w:rsidR="000071DE" w:rsidRPr="003367AF">
        <w:rPr>
          <w:szCs w:val="22"/>
          <w:lang w:val="lv-LV"/>
        </w:rPr>
        <w:t xml:space="preserve">Plānots, ka Latvijā </w:t>
      </w:r>
      <w:r w:rsidR="008C1BDE" w:rsidRPr="003367AF">
        <w:rPr>
          <w:lang w:val="lv-LV"/>
        </w:rPr>
        <w:t xml:space="preserve">šķiroto atkritumu apjoms palielināsies par 52 000 t gadā, tiks izbūvētas pārstrādes iekārtas, kas </w:t>
      </w:r>
      <w:r w:rsidR="005863B7" w:rsidRPr="003367AF">
        <w:rPr>
          <w:lang w:val="lv-LV"/>
        </w:rPr>
        <w:t xml:space="preserve">palielina atkritumu pārstrādes jaudu par 172 000 t </w:t>
      </w:r>
      <w:r w:rsidR="008C1BDE" w:rsidRPr="003367AF">
        <w:rPr>
          <w:lang w:val="lv-LV"/>
        </w:rPr>
        <w:t>gadā</w:t>
      </w:r>
      <w:r w:rsidR="005863B7" w:rsidRPr="003367AF">
        <w:rPr>
          <w:lang w:val="lv-LV"/>
        </w:rPr>
        <w:t>, kā arī tiks</w:t>
      </w:r>
      <w:r w:rsidR="008C1BDE" w:rsidRPr="003367AF">
        <w:rPr>
          <w:lang w:val="lv-LV"/>
        </w:rPr>
        <w:t xml:space="preserve"> izbūvētas atkritumu reģenerācijas </w:t>
      </w:r>
      <w:r w:rsidR="00B302BA" w:rsidRPr="003367AF">
        <w:rPr>
          <w:lang w:val="lv-LV"/>
        </w:rPr>
        <w:t>iekārtas</w:t>
      </w:r>
      <w:r w:rsidR="00B302BA">
        <w:rPr>
          <w:lang w:val="lv-LV"/>
        </w:rPr>
        <w:t xml:space="preserve"> </w:t>
      </w:r>
      <w:r w:rsidR="008C1BDE" w:rsidRPr="00B302BA">
        <w:rPr>
          <w:lang w:val="lv-LV"/>
        </w:rPr>
        <w:t xml:space="preserve">ar enerģijas atguvi, kas </w:t>
      </w:r>
      <w:r w:rsidR="005863B7" w:rsidRPr="00B302BA">
        <w:rPr>
          <w:lang w:val="lv-LV"/>
        </w:rPr>
        <w:t xml:space="preserve">nākotnē </w:t>
      </w:r>
      <w:r w:rsidR="008C1BDE" w:rsidRPr="00B302BA">
        <w:rPr>
          <w:lang w:val="lv-LV"/>
        </w:rPr>
        <w:t>nodrošin</w:t>
      </w:r>
      <w:r w:rsidR="005863B7" w:rsidRPr="00B302BA">
        <w:rPr>
          <w:lang w:val="lv-LV"/>
        </w:rPr>
        <w:t>ās</w:t>
      </w:r>
      <w:r w:rsidR="008C1BDE" w:rsidRPr="00B302BA">
        <w:rPr>
          <w:lang w:val="lv-LV"/>
        </w:rPr>
        <w:t xml:space="preserve"> pārstrādes jaudas pieaugumu </w:t>
      </w:r>
      <w:r w:rsidR="005863B7" w:rsidRPr="00B302BA">
        <w:rPr>
          <w:lang w:val="lv-LV"/>
        </w:rPr>
        <w:t xml:space="preserve">par </w:t>
      </w:r>
      <w:r w:rsidR="008C1BDE" w:rsidRPr="00B302BA">
        <w:rPr>
          <w:lang w:val="lv-LV"/>
        </w:rPr>
        <w:t>11</w:t>
      </w:r>
      <w:r w:rsidR="005863B7" w:rsidRPr="00B302BA">
        <w:rPr>
          <w:lang w:val="lv-LV"/>
        </w:rPr>
        <w:t> </w:t>
      </w:r>
      <w:r w:rsidR="008C1BDE" w:rsidRPr="00B302BA">
        <w:rPr>
          <w:lang w:val="lv-LV"/>
        </w:rPr>
        <w:t>000 t gadā.</w:t>
      </w:r>
    </w:p>
    <w:p w14:paraId="3F9DB97A" w14:textId="77777777" w:rsidR="000071DE" w:rsidRDefault="000071DE" w:rsidP="00D2579A">
      <w:pPr>
        <w:rPr>
          <w:szCs w:val="22"/>
          <w:lang w:val="lv-LV"/>
        </w:rPr>
      </w:pPr>
      <w:r w:rsidRPr="00D2579A">
        <w:rPr>
          <w:szCs w:val="22"/>
          <w:lang w:val="lv-LV"/>
        </w:rPr>
        <w:t>Nodrošinot virzību uz aprites ekonomiku un resursu efektīvāku izmantošanu, ir uzlabots normatīvais regulējums</w:t>
      </w:r>
      <w:r w:rsidRPr="00D2579A">
        <w:rPr>
          <w:rStyle w:val="FootnoteReference"/>
          <w:rFonts w:cs="Times New Roman"/>
          <w:szCs w:val="22"/>
          <w:lang w:val="lv-LV"/>
        </w:rPr>
        <w:footnoteReference w:id="76"/>
      </w:r>
      <w:r w:rsidRPr="00D2579A">
        <w:rPr>
          <w:szCs w:val="22"/>
          <w:lang w:val="lv-LV"/>
        </w:rPr>
        <w:t>, kas nosaka dabas resursu nodokļa piemērošanas kārtību un nodrošina principa “Piesārņotājs maksā” ieviešanu. Tādējādi ir radīti priekšnosacījumi dalītās atkritumu savākšanas pakalpojumu pieejamībai visā valstī. Rezultātā tiks uzlabota atkritumu apsaimniekošanas pakalpojumu kvalitāte un samazināts poligonos apglabājamo atkritumu apjoms.</w:t>
      </w:r>
    </w:p>
    <w:p w14:paraId="37A6C72F" w14:textId="69F4AAB4" w:rsidR="00CB2300" w:rsidRPr="00595533" w:rsidRDefault="00EC6DA8" w:rsidP="000A4BBA">
      <w:pPr>
        <w:rPr>
          <w:lang w:val="lv-LV"/>
        </w:rPr>
      </w:pPr>
      <w:r>
        <w:rPr>
          <w:lang w:val="lv-LV"/>
        </w:rPr>
        <w:t xml:space="preserve">Nolūkā </w:t>
      </w:r>
      <w:r w:rsidRPr="00595533">
        <w:rPr>
          <w:lang w:val="lv-LV"/>
        </w:rPr>
        <w:t xml:space="preserve">palielināt </w:t>
      </w:r>
      <w:r w:rsidRPr="00FB3357">
        <w:rPr>
          <w:b/>
          <w:lang w:val="lv-LV"/>
        </w:rPr>
        <w:t>zaļajā iepirkumā</w:t>
      </w:r>
      <w:r w:rsidRPr="00595533">
        <w:rPr>
          <w:lang w:val="lv-LV"/>
        </w:rPr>
        <w:t xml:space="preserve"> iegādāto preču un pakalpojumu apjomu</w:t>
      </w:r>
      <w:r>
        <w:rPr>
          <w:lang w:val="lv-LV"/>
        </w:rPr>
        <w:t>,</w:t>
      </w:r>
      <w:r w:rsidRPr="00595533">
        <w:rPr>
          <w:lang w:val="lv-LV"/>
        </w:rPr>
        <w:t xml:space="preserve"> </w:t>
      </w:r>
      <w:r w:rsidR="00CB2300" w:rsidRPr="00595533">
        <w:rPr>
          <w:lang w:val="lv-LV"/>
        </w:rPr>
        <w:t>2015.</w:t>
      </w:r>
      <w:r w:rsidRPr="00EC6DA8">
        <w:rPr>
          <w:lang w:val="lv-LV"/>
        </w:rPr>
        <w:t> </w:t>
      </w:r>
      <w:r w:rsidR="00CB2300" w:rsidRPr="00595533">
        <w:rPr>
          <w:lang w:val="lv-LV"/>
        </w:rPr>
        <w:t>gadā izstrādāts Zaļā iepirkuma veicināšanas plāns 2015.</w:t>
      </w:r>
      <w:r>
        <w:rPr>
          <w:lang w:val="lv-LV"/>
        </w:rPr>
        <w:t>–</w:t>
      </w:r>
      <w:r w:rsidR="00CB2300" w:rsidRPr="00595533">
        <w:rPr>
          <w:lang w:val="lv-LV"/>
        </w:rPr>
        <w:t>2017.</w:t>
      </w:r>
      <w:r>
        <w:rPr>
          <w:lang w:val="lv-LV"/>
        </w:rPr>
        <w:t> </w:t>
      </w:r>
      <w:r w:rsidR="00CB2300" w:rsidRPr="00595533">
        <w:rPr>
          <w:lang w:val="lv-LV"/>
        </w:rPr>
        <w:t>gadam</w:t>
      </w:r>
      <w:r>
        <w:rPr>
          <w:lang w:val="lv-LV"/>
        </w:rPr>
        <w:t>,</w:t>
      </w:r>
      <w:r w:rsidR="00CB2300" w:rsidRPr="00595533">
        <w:rPr>
          <w:lang w:val="lv-LV"/>
        </w:rPr>
        <w:t xml:space="preserve"> nosakot, ka 2015.</w:t>
      </w:r>
      <w:r>
        <w:rPr>
          <w:lang w:val="lv-LV"/>
        </w:rPr>
        <w:t> </w:t>
      </w:r>
      <w:r w:rsidR="00CB2300" w:rsidRPr="00595533">
        <w:rPr>
          <w:lang w:val="lv-LV"/>
        </w:rPr>
        <w:t>gada beigās jāsasniedz vismaz 15% finansiālā izteiksmē no kopējā valsts un pašvaldību iestāžu vei</w:t>
      </w:r>
      <w:r>
        <w:rPr>
          <w:lang w:val="lv-LV"/>
        </w:rPr>
        <w:t xml:space="preserve">kto iepirkumu apjoma, 2016. gadā – </w:t>
      </w:r>
      <w:r w:rsidR="00CB2300" w:rsidRPr="00595533">
        <w:rPr>
          <w:lang w:val="lv-LV"/>
        </w:rPr>
        <w:t>2</w:t>
      </w:r>
      <w:r>
        <w:rPr>
          <w:lang w:val="lv-LV"/>
        </w:rPr>
        <w:t>0%, bet</w:t>
      </w:r>
      <w:r w:rsidR="00CB2300" w:rsidRPr="00595533">
        <w:rPr>
          <w:lang w:val="lv-LV"/>
        </w:rPr>
        <w:t xml:space="preserve"> 2017.gadā </w:t>
      </w:r>
      <w:r>
        <w:rPr>
          <w:lang w:val="lv-LV"/>
        </w:rPr>
        <w:t xml:space="preserve">– </w:t>
      </w:r>
      <w:r w:rsidR="00CB2300" w:rsidRPr="00595533">
        <w:rPr>
          <w:lang w:val="lv-LV"/>
        </w:rPr>
        <w:t>30% (2015.</w:t>
      </w:r>
      <w:r>
        <w:rPr>
          <w:lang w:val="lv-LV"/>
        </w:rPr>
        <w:t> </w:t>
      </w:r>
      <w:r w:rsidR="00CB2300" w:rsidRPr="00595533">
        <w:rPr>
          <w:lang w:val="lv-LV"/>
        </w:rPr>
        <w:t xml:space="preserve">gadā </w:t>
      </w:r>
      <w:r>
        <w:rPr>
          <w:lang w:val="lv-LV"/>
        </w:rPr>
        <w:t xml:space="preserve">faktiski </w:t>
      </w:r>
      <w:r w:rsidR="00CB2300" w:rsidRPr="00595533">
        <w:rPr>
          <w:lang w:val="lv-LV"/>
        </w:rPr>
        <w:t xml:space="preserve">sasniegti 19%, 2016.gadā </w:t>
      </w:r>
      <w:r>
        <w:rPr>
          <w:lang w:val="lv-LV"/>
        </w:rPr>
        <w:t>–</w:t>
      </w:r>
      <w:r w:rsidR="00CB2300" w:rsidRPr="00595533">
        <w:rPr>
          <w:lang w:val="lv-LV"/>
        </w:rPr>
        <w:t xml:space="preserve"> 14,4%).</w:t>
      </w:r>
    </w:p>
    <w:p w14:paraId="14343264" w14:textId="41677042" w:rsidR="00CB2300" w:rsidRDefault="000A4BBA" w:rsidP="000A4BBA">
      <w:pPr>
        <w:rPr>
          <w:lang w:val="lv-LV"/>
        </w:rPr>
      </w:pPr>
      <w:r>
        <w:rPr>
          <w:lang w:val="lv-LV"/>
        </w:rPr>
        <w:t>Tāpat i</w:t>
      </w:r>
      <w:r w:rsidR="00CB2300" w:rsidRPr="00595533">
        <w:rPr>
          <w:lang w:val="lv-LV"/>
        </w:rPr>
        <w:t>r izstrādāts normatīvais regulējums</w:t>
      </w:r>
      <w:r w:rsidR="00CB2300" w:rsidRPr="00595533">
        <w:rPr>
          <w:rStyle w:val="FootnoteReference"/>
          <w:rFonts w:ascii="Times New Roman" w:hAnsi="Times New Roman" w:cs="Times New Roman"/>
          <w:sz w:val="24"/>
          <w:lang w:val="lv-LV"/>
        </w:rPr>
        <w:footnoteReference w:id="77"/>
      </w:r>
      <w:r w:rsidR="00CB2300" w:rsidRPr="00595533">
        <w:rPr>
          <w:lang w:val="lv-LV"/>
        </w:rPr>
        <w:t xml:space="preserve">, nosakot zaļā publiskā iepirkuma kritērijus preču un pakalpojumu grupām, kurām obligāti (7 grupas) vai brīvprātīgi (14 grupas) piemērojams zaļais publiskais iepirkums. Izpratnes veicināšanai par zaļo iepirkumu ir izstrādātas vadlīnijas Zaļā publiskā iepirkuma piemērošanai visām MK noteikumos ietvertajām preču un pakalpojumu grupām. Lai nodrošinātu zaļā iepirkuma principu piemērošanu praksē, VARAM sadarbībā ar Iepirkumu uzraudzības biroju ikgadēji organizē seminārus un apmācības pašvaldībām un citām ieinteresētām institūcijām par zaļā </w:t>
      </w:r>
      <w:r w:rsidR="003225B6">
        <w:rPr>
          <w:lang w:val="lv-LV"/>
        </w:rPr>
        <w:t>publiskā iepirkuma piemērošanu.</w:t>
      </w:r>
    </w:p>
    <w:p w14:paraId="0CF949D3" w14:textId="2AB5E575" w:rsidR="00FB3357" w:rsidRPr="00FB3357" w:rsidRDefault="00FB3357" w:rsidP="000A4BBA">
      <w:pPr>
        <w:rPr>
          <w:b/>
          <w:u w:val="single"/>
          <w:lang w:val="lv-LV"/>
        </w:rPr>
      </w:pPr>
      <w:r w:rsidRPr="00FB3357">
        <w:rPr>
          <w:b/>
          <w:u w:val="single"/>
          <w:lang w:val="lv-LV"/>
        </w:rPr>
        <w:t>Kultūras kapitāla ilgtspēja</w:t>
      </w:r>
    </w:p>
    <w:p w14:paraId="144BE128" w14:textId="19B4647D" w:rsidR="006F29DF" w:rsidRPr="003C290A" w:rsidRDefault="006F29DF" w:rsidP="003C290A">
      <w:pPr>
        <w:rPr>
          <w:lang w:val="lv-LV"/>
        </w:rPr>
      </w:pPr>
      <w:r w:rsidRPr="003C290A">
        <w:rPr>
          <w:lang w:val="lv-LV"/>
        </w:rPr>
        <w:t>Lai saglabātu, aizsargātu un attīstītu nozīmīgu kultūras un dabas mantojumu un piedāvātu jaunradītus pakalpojumu</w:t>
      </w:r>
      <w:r w:rsidR="003225B6">
        <w:rPr>
          <w:lang w:val="lv-LV"/>
        </w:rPr>
        <w:t>s</w:t>
      </w:r>
      <w:r w:rsidRPr="003C290A">
        <w:rPr>
          <w:lang w:val="lv-LV"/>
        </w:rPr>
        <w:t xml:space="preserve"> kultūras un dabas mantojuma objektos, ar ES fondu atbalstu</w:t>
      </w:r>
      <w:r w:rsidRPr="003C290A">
        <w:rPr>
          <w:rStyle w:val="FootnoteReference"/>
          <w:b/>
          <w:lang w:val="lv-LV"/>
        </w:rPr>
        <w:footnoteReference w:id="78"/>
      </w:r>
      <w:r w:rsidRPr="003C290A">
        <w:rPr>
          <w:lang w:val="lv-LV"/>
        </w:rPr>
        <w:t xml:space="preserve"> tiek nodrošinātas investīcijas nozīmīgu kultūras un dabas mantojuma objektu sociālekonomiskā potenciāla attīstībai un integrācijai vietējās ekonomikas struktūrā. </w:t>
      </w:r>
    </w:p>
    <w:p w14:paraId="0E8F27E3" w14:textId="06D44EF1" w:rsidR="006F29DF" w:rsidRPr="003C290A" w:rsidRDefault="006F29DF" w:rsidP="003C290A">
      <w:pPr>
        <w:rPr>
          <w:lang w:val="lv-LV"/>
        </w:rPr>
      </w:pPr>
      <w:r w:rsidRPr="003C290A">
        <w:rPr>
          <w:lang w:val="lv-LV"/>
        </w:rPr>
        <w:t>Savukārt, lai ve</w:t>
      </w:r>
      <w:r w:rsidR="003367AF">
        <w:rPr>
          <w:lang w:val="lv-LV"/>
        </w:rPr>
        <w:t>i</w:t>
      </w:r>
      <w:r w:rsidRPr="003C290A">
        <w:rPr>
          <w:lang w:val="lv-LV"/>
        </w:rPr>
        <w:t>cinātu Rīgas pilsētas revitalizāciju, izmantojot ES fondu ieguldījumus</w:t>
      </w:r>
      <w:r w:rsidRPr="003C290A">
        <w:rPr>
          <w:rStyle w:val="FootnoteReference"/>
          <w:b/>
          <w:lang w:val="lv-LV"/>
        </w:rPr>
        <w:footnoteReference w:id="79"/>
      </w:r>
      <w:r w:rsidRPr="003C290A">
        <w:rPr>
          <w:lang w:val="lv-LV"/>
        </w:rPr>
        <w:t>, projekta “Kultūras un sporta kvartāla izveid</w:t>
      </w:r>
      <w:r w:rsidR="003C290A" w:rsidRPr="003C290A">
        <w:rPr>
          <w:lang w:val="lv-LV"/>
        </w:rPr>
        <w:t>e Grīziņkalna apkaimē” ietvaros</w:t>
      </w:r>
      <w:r w:rsidRPr="003C290A">
        <w:rPr>
          <w:lang w:val="lv-LV"/>
        </w:rPr>
        <w:t xml:space="preserve"> uzsākta VSIA "Kultūras un sporta centrs “Daugavas stadions”” rekonstrukcija. </w:t>
      </w:r>
    </w:p>
    <w:p w14:paraId="773316D2" w14:textId="04C5814A" w:rsidR="006F29DF" w:rsidRPr="00595533" w:rsidRDefault="003C290A" w:rsidP="00380A42">
      <w:pPr>
        <w:rPr>
          <w:lang w:val="lv-LV"/>
        </w:rPr>
      </w:pPr>
      <w:r>
        <w:rPr>
          <w:lang w:val="lv-LV"/>
        </w:rPr>
        <w:t>Tāpat</w:t>
      </w:r>
      <w:r w:rsidRPr="00595533">
        <w:rPr>
          <w:lang w:val="lv-LV"/>
        </w:rPr>
        <w:t xml:space="preserve"> </w:t>
      </w:r>
      <w:r>
        <w:rPr>
          <w:lang w:val="lv-LV"/>
        </w:rPr>
        <w:t>ir n</w:t>
      </w:r>
      <w:r w:rsidR="006F29DF" w:rsidRPr="00595533">
        <w:rPr>
          <w:lang w:val="lv-LV"/>
        </w:rPr>
        <w:t>odrošināta profesionālās mākslas un kultūras pakalpojumu pieejamība reģionos. Izveidotas trīs daudzfunkcionālās koncertzāles: Rēzeknē, Cēsīs un Liepājā, kas piemērotas gan daudzveidīgu profesionālo kultūras pakalpojumu sniegšanai, gan amatiermākslas un interešu izglītības norisēm. Reģionālo koncertzāļu darbība nodrošinājusi daudzveidīgas kultūrvides pieejamību un pakalpojumu pieaugumu, kā arī veicinājusi reģionālo konkurētspēju, to ekonomisko attīstību un pievilcību, un nozīmīgi – arī tūristu skaita pieaugumu reģionos.</w:t>
      </w:r>
    </w:p>
    <w:p w14:paraId="7DFF7118" w14:textId="6B83CFBC" w:rsidR="006F29DF" w:rsidRPr="00EA1E07" w:rsidRDefault="00380A42" w:rsidP="00380A42">
      <w:pPr>
        <w:rPr>
          <w:lang w:val="lv-LV"/>
        </w:rPr>
      </w:pPr>
      <w:r>
        <w:rPr>
          <w:lang w:val="lv-LV"/>
        </w:rPr>
        <w:lastRenderedPageBreak/>
        <w:t>Vienlaikus s</w:t>
      </w:r>
      <w:r w:rsidR="006F29DF" w:rsidRPr="00595533">
        <w:rPr>
          <w:lang w:val="lv-LV"/>
        </w:rPr>
        <w:t xml:space="preserve">niegts atbalsts profesionālās mākslas attīstības un profesionālo kolektīvu darbības nodrošināšanai. </w:t>
      </w:r>
      <w:r w:rsidR="006F29DF" w:rsidRPr="00EA1E07">
        <w:rPr>
          <w:lang w:val="lv-LV"/>
        </w:rPr>
        <w:t>Nodrošināta kultūras pakalpojumu klāsta daudzveidība, piemēram, mūzikas nozarē piedāvājot gan akadēmiskās mūzikas koncertus, gan attīstot Latvijas vieglās mūzikas orķestra tradīciju.</w:t>
      </w:r>
    </w:p>
    <w:p w14:paraId="56BF5F28" w14:textId="77777777" w:rsidR="00384533" w:rsidRPr="00EA1E07" w:rsidRDefault="00384533" w:rsidP="00384533">
      <w:pPr>
        <w:pStyle w:val="NoSpacing"/>
        <w:rPr>
          <w:sz w:val="10"/>
          <w:szCs w:val="10"/>
          <w:lang w:val="lv-LV"/>
        </w:rPr>
      </w:pPr>
    </w:p>
    <w:p w14:paraId="12FFFEA3" w14:textId="77777777" w:rsidR="00B21C7B" w:rsidRPr="00595533" w:rsidRDefault="00B21C7B" w:rsidP="00B21C7B">
      <w:pPr>
        <w:pStyle w:val="Heading3"/>
        <w:rPr>
          <w:lang w:val="lv-LV"/>
        </w:rPr>
      </w:pPr>
      <w:bookmarkStart w:id="72" w:name="_Toc498690648"/>
      <w:r w:rsidRPr="00EA1E07">
        <w:rPr>
          <w:lang w:val="lv-LV"/>
        </w:rPr>
        <w:t>PROGRESA NOVĒRTĒJUMS</w:t>
      </w:r>
      <w:bookmarkEnd w:id="72"/>
    </w:p>
    <w:p w14:paraId="6CDE36F3" w14:textId="77777777" w:rsidR="00F05C1B" w:rsidRPr="00595533" w:rsidRDefault="00F05C1B" w:rsidP="00F05C1B">
      <w:pPr>
        <w:rPr>
          <w:lang w:val="lv-LV"/>
        </w:rPr>
      </w:pPr>
      <w:r w:rsidRPr="00F05C1B">
        <w:rPr>
          <w:lang w:val="lv-LV"/>
        </w:rPr>
        <w:t xml:space="preserve">Rīcības virziena </w:t>
      </w:r>
      <w:r w:rsidRPr="00F05C1B">
        <w:rPr>
          <w:i/>
          <w:lang w:val="lv-LV"/>
        </w:rPr>
        <w:t>Dabas un kultūras kapitāla ilgtspējīga apsaimniekošana</w:t>
      </w:r>
      <w:r w:rsidRPr="00F05C1B">
        <w:rPr>
          <w:lang w:val="lv-LV"/>
        </w:rPr>
        <w:t xml:space="preserve"> mērķu sasniegšanai sākotnēji tika plānots investēt kopumā 753,7 mlj euro. Uz starpposma izvērtējuma brīdi rīcības virziena uzdevumu īstenošanai ir apzinātas kopējās investīcijas 970 mlj euro apmērā, kas ir par 28,7% vairāk nekā sākotnēji plānots. No minētajām investīcijām 65,7% veido ES fondu finansējums, savukārt nacionālais finansējums ir 31,4%, bet cits ārvalstu finansējums – 2,9%.</w:t>
      </w:r>
    </w:p>
    <w:p w14:paraId="1805DA98" w14:textId="294EAF35" w:rsidR="00CD2B0C" w:rsidRPr="00653EDE" w:rsidRDefault="00FF1B90" w:rsidP="005E0260">
      <w:pPr>
        <w:rPr>
          <w:lang w:val="lv-LV"/>
        </w:rPr>
      </w:pPr>
      <w:r w:rsidRPr="00595533">
        <w:rPr>
          <w:lang w:val="lv-LV"/>
        </w:rPr>
        <w:t>D</w:t>
      </w:r>
      <w:r w:rsidR="00A13572" w:rsidRPr="00595533">
        <w:rPr>
          <w:lang w:val="lv-LV"/>
        </w:rPr>
        <w:t>abas kapitāla ilgtspējīgas</w:t>
      </w:r>
      <w:r w:rsidR="00021794" w:rsidRPr="00595533">
        <w:rPr>
          <w:lang w:val="lv-LV"/>
        </w:rPr>
        <w:t xml:space="preserve"> izmantošan</w:t>
      </w:r>
      <w:r w:rsidR="00A13572" w:rsidRPr="00595533">
        <w:rPr>
          <w:lang w:val="lv-LV"/>
        </w:rPr>
        <w:t>as viens no</w:t>
      </w:r>
      <w:r w:rsidR="00021794" w:rsidRPr="00595533">
        <w:rPr>
          <w:lang w:val="lv-LV"/>
        </w:rPr>
        <w:t xml:space="preserve"> </w:t>
      </w:r>
      <w:r w:rsidR="00A13572" w:rsidRPr="00595533">
        <w:rPr>
          <w:lang w:val="lv-LV"/>
        </w:rPr>
        <w:t>indikatoriem ir</w:t>
      </w:r>
      <w:r w:rsidRPr="00595533">
        <w:rPr>
          <w:lang w:val="lv-LV"/>
        </w:rPr>
        <w:t xml:space="preserve"> tas, kā tiek </w:t>
      </w:r>
      <w:r w:rsidRPr="00653EDE">
        <w:rPr>
          <w:lang w:val="lv-LV"/>
        </w:rPr>
        <w:t>apsaimniekotas l</w:t>
      </w:r>
      <w:r w:rsidR="002E703A" w:rsidRPr="00653EDE">
        <w:rPr>
          <w:lang w:val="lv-LV"/>
        </w:rPr>
        <w:t>auksaimniecībā izmantoja</w:t>
      </w:r>
      <w:r w:rsidRPr="00653EDE">
        <w:rPr>
          <w:lang w:val="lv-LV"/>
        </w:rPr>
        <w:t>mās zemes</w:t>
      </w:r>
      <w:r w:rsidR="00A13572" w:rsidRPr="00653EDE">
        <w:rPr>
          <w:lang w:val="lv-LV"/>
        </w:rPr>
        <w:t>. Atbilstoši pieejamai informācijai ar katru gadu apsaimniekotā lauksaimniecībā izmantojamās zemes platība pieaug</w:t>
      </w:r>
      <w:r w:rsidR="009B02ED" w:rsidRPr="00653EDE">
        <w:rPr>
          <w:lang w:val="lv-LV"/>
        </w:rPr>
        <w:t>, taču vienlaikus nemainīgs ir rādītājs par bioloģiskajā lauksaimniecībā izmantojamo pl</w:t>
      </w:r>
      <w:r w:rsidR="001B4D20" w:rsidRPr="00653EDE">
        <w:rPr>
          <w:lang w:val="lv-LV"/>
        </w:rPr>
        <w:t>atību, respektīvi,</w:t>
      </w:r>
      <w:r w:rsidR="009B02ED" w:rsidRPr="00653EDE">
        <w:rPr>
          <w:lang w:val="lv-LV"/>
        </w:rPr>
        <w:t xml:space="preserve"> bioloģiskajā lauksaimniecībā tiek izmantoti 11% no kopējās lauksaimniecībā izmantojamās zemes</w:t>
      </w:r>
      <w:r w:rsidR="001B4D20" w:rsidRPr="00653EDE">
        <w:rPr>
          <w:lang w:val="lv-LV"/>
        </w:rPr>
        <w:t xml:space="preserve">. </w:t>
      </w:r>
      <w:r w:rsidR="00F11898" w:rsidRPr="00653EDE">
        <w:rPr>
          <w:lang w:val="lv-LV"/>
        </w:rPr>
        <w:t>Arī rādītājs par meža resursu ilgtspēju uzrāda nemainību, proti, mežu platība jau vairāku gadu garumā veido pusi no kopējās valsts teritorijas</w:t>
      </w:r>
      <w:r w:rsidR="00653EDE">
        <w:rPr>
          <w:lang w:val="lv-LV"/>
        </w:rPr>
        <w:t>.</w:t>
      </w:r>
    </w:p>
    <w:p w14:paraId="2026F9A9" w14:textId="664E784E" w:rsidR="0053751C" w:rsidRDefault="008F7A1F" w:rsidP="005E0260">
      <w:pPr>
        <w:rPr>
          <w:lang w:val="lv-LV"/>
        </w:rPr>
      </w:pPr>
      <w:r w:rsidRPr="00595533">
        <w:rPr>
          <w:lang w:val="lv-LV"/>
        </w:rPr>
        <w:t>No dabas kapitāla ilgtspējīgas saglabāšanas viedokļa neviennozīmīgi ir vērtējama rādītājs par Latvijā pārstrādāto atkritumu daudzumu. Kopš 2012.</w:t>
      </w:r>
      <w:r w:rsidR="00897657" w:rsidRPr="00595533">
        <w:rPr>
          <w:lang w:val="lv-LV"/>
        </w:rPr>
        <w:t> </w:t>
      </w:r>
      <w:r w:rsidRPr="00595533">
        <w:rPr>
          <w:lang w:val="lv-LV"/>
        </w:rPr>
        <w:t xml:space="preserve">gada būtiski ir pieaudzis pārstrādāto atkritumu īpatsvars attiecībā pret savākto atkritumu </w:t>
      </w:r>
      <w:r w:rsidRPr="00EA1E07">
        <w:rPr>
          <w:lang w:val="lv-LV"/>
        </w:rPr>
        <w:t xml:space="preserve">daudzumu, taču </w:t>
      </w:r>
      <w:r w:rsidR="003D2528" w:rsidRPr="00EA1E07">
        <w:rPr>
          <w:lang w:val="lv-LV"/>
        </w:rPr>
        <w:t>beidzamos</w:t>
      </w:r>
      <w:r w:rsidRPr="00EA1E07">
        <w:rPr>
          <w:lang w:val="lv-LV"/>
        </w:rPr>
        <w:t xml:space="preserve"> gadus</w:t>
      </w:r>
      <w:r w:rsidR="003D2528" w:rsidRPr="00EA1E07">
        <w:rPr>
          <w:lang w:val="lv-LV"/>
        </w:rPr>
        <w:t xml:space="preserve"> (201</w:t>
      </w:r>
      <w:r w:rsidR="00976BBA">
        <w:rPr>
          <w:lang w:val="lv-LV"/>
        </w:rPr>
        <w:t>5</w:t>
      </w:r>
      <w:r w:rsidR="003D2528" w:rsidRPr="00EA1E07">
        <w:rPr>
          <w:lang w:val="lv-LV"/>
        </w:rPr>
        <w:t>. un 201</w:t>
      </w:r>
      <w:r w:rsidR="00976BBA">
        <w:rPr>
          <w:lang w:val="lv-LV"/>
        </w:rPr>
        <w:t>6</w:t>
      </w:r>
      <w:r w:rsidR="003D2528" w:rsidRPr="00EA1E07">
        <w:rPr>
          <w:lang w:val="lv-LV"/>
        </w:rPr>
        <w:t xml:space="preserve">. gads) pārstrādāto atkritumu </w:t>
      </w:r>
      <w:r w:rsidR="00D30BF6" w:rsidRPr="00EA1E07">
        <w:rPr>
          <w:lang w:val="lv-LV"/>
        </w:rPr>
        <w:t>apjoms</w:t>
      </w:r>
      <w:r w:rsidR="003D2528" w:rsidRPr="00EA1E07">
        <w:rPr>
          <w:lang w:val="lv-LV"/>
        </w:rPr>
        <w:t xml:space="preserve"> </w:t>
      </w:r>
      <w:r w:rsidR="00897657" w:rsidRPr="00EA1E07">
        <w:rPr>
          <w:lang w:val="lv-LV"/>
        </w:rPr>
        <w:t xml:space="preserve">ir </w:t>
      </w:r>
      <w:r w:rsidR="00976BBA">
        <w:rPr>
          <w:lang w:val="lv-LV"/>
        </w:rPr>
        <w:t>nostabilizējies ap 70% no savākto atkritumu apjoma</w:t>
      </w:r>
      <w:r w:rsidR="00897657" w:rsidRPr="00EA1E07">
        <w:rPr>
          <w:lang w:val="lv-LV"/>
        </w:rPr>
        <w:t xml:space="preserve">. </w:t>
      </w:r>
      <w:r w:rsidR="00976BBA" w:rsidRPr="00976BBA">
        <w:rPr>
          <w:rFonts w:ascii="Times New Roman" w:hAnsi="Times New Roman" w:cs="Times New Roman"/>
          <w:sz w:val="24"/>
          <w:lang w:val="lv-LV"/>
        </w:rPr>
        <w:t>Kopš 2014. gada ir samazinājies gan sadzīves atkritumu daudzums (2016. gadā par 26 0696 t jeb par 14% mazāk nekā 2014. gadā), gan bīstamo atkritumu daudzums (2016. gadā par 15 613 t jeb par 18% mazāk nekā 2014. gadā)</w:t>
      </w:r>
      <w:r w:rsidR="00FC0D04" w:rsidRPr="00595533">
        <w:rPr>
          <w:lang w:val="lv-LV"/>
        </w:rPr>
        <w:t>.</w:t>
      </w:r>
    </w:p>
    <w:p w14:paraId="62B0D3EC" w14:textId="2E74F67D" w:rsidR="00EE2E85" w:rsidRPr="00595533" w:rsidRDefault="005817C6" w:rsidP="00EE2E85">
      <w:pPr>
        <w:pStyle w:val="attelunosaukums"/>
      </w:pPr>
      <w:r>
        <w:t>26</w:t>
      </w:r>
      <w:r w:rsidR="00EE2E85">
        <w:t>. attēls.  Pārstrādāto atkritumu īpatsvars attiecībā pret savākto, %</w:t>
      </w:r>
    </w:p>
    <w:p w14:paraId="48B4ABFE" w14:textId="034ABA7A" w:rsidR="00E36897" w:rsidRPr="00595533" w:rsidRDefault="00976BBA" w:rsidP="005E0260">
      <w:pPr>
        <w:rPr>
          <w:lang w:val="lv-LV"/>
        </w:rPr>
      </w:pPr>
      <w:r w:rsidRPr="00DF0F16">
        <w:rPr>
          <w:rFonts w:ascii="Times New Roman" w:hAnsi="Times New Roman" w:cs="Times New Roman"/>
          <w:noProof/>
          <w:sz w:val="24"/>
          <w:lang w:val="lv-LV" w:eastAsia="lv-LV"/>
        </w:rPr>
        <w:drawing>
          <wp:inline distT="0" distB="0" distL="0" distR="0" wp14:anchorId="64E090DE" wp14:editId="1622777C">
            <wp:extent cx="5016310" cy="287259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6088" cy="2872470"/>
                    </a:xfrm>
                    <a:prstGeom prst="rect">
                      <a:avLst/>
                    </a:prstGeom>
                    <a:noFill/>
                    <a:ln>
                      <a:noFill/>
                    </a:ln>
                  </pic:spPr>
                </pic:pic>
              </a:graphicData>
            </a:graphic>
          </wp:inline>
        </w:drawing>
      </w:r>
    </w:p>
    <w:p w14:paraId="2B28ACF5" w14:textId="77777777" w:rsidR="003934D7" w:rsidRDefault="003934D7" w:rsidP="005E0260">
      <w:pPr>
        <w:rPr>
          <w:lang w:val="lv-LV"/>
        </w:rPr>
      </w:pPr>
    </w:p>
    <w:p w14:paraId="63BF3B5E" w14:textId="69F4C83B" w:rsidR="00D30BF6" w:rsidRPr="00595533" w:rsidRDefault="00A44858" w:rsidP="005E0260">
      <w:pPr>
        <w:rPr>
          <w:lang w:val="lv-LV"/>
        </w:rPr>
      </w:pPr>
      <w:r w:rsidRPr="00595533">
        <w:rPr>
          <w:lang w:val="lv-LV"/>
        </w:rPr>
        <w:t>Savukārt raksturojot kultūras kapitāla ilgtspēju</w:t>
      </w:r>
      <w:r w:rsidR="00555E94" w:rsidRPr="00595533">
        <w:rPr>
          <w:lang w:val="lv-LV"/>
        </w:rPr>
        <w:t xml:space="preserve">, jāatzīmē, ka pēdējo trīs gadu laikā vērojamas pozitīvas izmaiņas gan saistībā ar kultūras pasākumu </w:t>
      </w:r>
      <w:r w:rsidR="003225B6">
        <w:rPr>
          <w:lang w:val="lv-LV"/>
        </w:rPr>
        <w:t>apmeklējumu</w:t>
      </w:r>
      <w:r w:rsidR="00555E94" w:rsidRPr="00595533">
        <w:rPr>
          <w:lang w:val="lv-LV"/>
        </w:rPr>
        <w:t>, gan arī attiecībā par amatiermākslas popularitāti.</w:t>
      </w:r>
      <w:r w:rsidR="0018435A" w:rsidRPr="00595533">
        <w:rPr>
          <w:lang w:val="lv-LV"/>
        </w:rPr>
        <w:t xml:space="preserve"> Lai gan kultūras pasākumu apmeklējumu </w:t>
      </w:r>
      <w:r w:rsidR="0018435A" w:rsidRPr="00595533">
        <w:rPr>
          <w:lang w:val="lv-LV"/>
        </w:rPr>
        <w:lastRenderedPageBreak/>
        <w:t xml:space="preserve">skaits uz 100 iedzīvotājiem ir stabili audzis kopš 2011. gada, tieši pēdējo trīs gadu laikā </w:t>
      </w:r>
      <w:r w:rsidR="0013602E" w:rsidRPr="00595533">
        <w:rPr>
          <w:lang w:val="lv-LV"/>
        </w:rPr>
        <w:t>tas sasniedzis līdz šim nenovērotu līmeni, proti, vidēji viens iedzīvotājs gada laikā apmeklē 2,93 kultūras pasākumus.</w:t>
      </w:r>
      <w:r w:rsidR="004F2BA2" w:rsidRPr="00595533">
        <w:rPr>
          <w:lang w:val="lv-LV"/>
        </w:rPr>
        <w:t xml:space="preserve"> Līdzīgas tendences vērojamas arī attiecībā uz dalību amatiermākslā – mākslinieciskās pašdarbības kolektīvos </w:t>
      </w:r>
      <w:r w:rsidR="005C302A" w:rsidRPr="00595533">
        <w:rPr>
          <w:lang w:val="lv-LV"/>
        </w:rPr>
        <w:t>kopumā</w:t>
      </w:r>
      <w:r w:rsidR="004F2BA2" w:rsidRPr="00595533">
        <w:rPr>
          <w:lang w:val="lv-LV"/>
        </w:rPr>
        <w:t xml:space="preserve"> iesaistījušies </w:t>
      </w:r>
      <w:r w:rsidR="005C302A" w:rsidRPr="00595533">
        <w:rPr>
          <w:lang w:val="lv-LV"/>
        </w:rPr>
        <w:t>58 tūkstoši iedzīvotāju jeb 2,94 personas uz katriem 100 iedzīvotājiem, kas liecina, ka amatiermākslas popularitāte valstī aug.</w:t>
      </w:r>
    </w:p>
    <w:p w14:paraId="7EA06CE1" w14:textId="5A489328" w:rsidR="0053296E" w:rsidRPr="00595533" w:rsidRDefault="004E770B" w:rsidP="005E0260">
      <w:pPr>
        <w:rPr>
          <w:lang w:val="lv-LV"/>
        </w:rPr>
      </w:pPr>
      <w:r w:rsidRPr="00595533">
        <w:rPr>
          <w:lang w:val="lv-LV"/>
        </w:rPr>
        <w:t xml:space="preserve">Pēc viedokļu līderu domām rīcības virziens </w:t>
      </w:r>
      <w:r w:rsidRPr="00595533">
        <w:rPr>
          <w:i/>
          <w:lang w:val="lv-LV"/>
        </w:rPr>
        <w:t>Dabas un kultūras kapitāla ilgtspējīga apsaimniekošana</w:t>
      </w:r>
      <w:r w:rsidRPr="00595533">
        <w:rPr>
          <w:lang w:val="lv-LV"/>
        </w:rPr>
        <w:t xml:space="preserve"> uzskatāms par visveiksmīgāk īstenoto NAP2020 rīcības virzienu, jo progress abos rīcības virziena mērķos tiek vērtēts atzinīgi. Aptuveni divas trešdaļas </w:t>
      </w:r>
      <w:r w:rsidR="00416356" w:rsidRPr="00595533">
        <w:rPr>
          <w:lang w:val="lv-LV"/>
        </w:rPr>
        <w:t>viedokļu līderu (64%) pauduši</w:t>
      </w:r>
      <w:r w:rsidRPr="00595533">
        <w:rPr>
          <w:lang w:val="lv-LV"/>
        </w:rPr>
        <w:t xml:space="preserve">, ka </w:t>
      </w:r>
      <w:r w:rsidR="000B3DD7" w:rsidRPr="00595533">
        <w:rPr>
          <w:lang w:val="lv-LV"/>
        </w:rPr>
        <w:t>progress</w:t>
      </w:r>
      <w:r w:rsidR="00416356" w:rsidRPr="00595533">
        <w:rPr>
          <w:lang w:val="lv-LV"/>
        </w:rPr>
        <w:t xml:space="preserve"> kultūras kapitāla resursu ilgtspējīg</w:t>
      </w:r>
      <w:r w:rsidR="000B3DD7" w:rsidRPr="00595533">
        <w:rPr>
          <w:lang w:val="lv-LV"/>
        </w:rPr>
        <w:t>ā</w:t>
      </w:r>
      <w:r w:rsidR="00416356" w:rsidRPr="00595533">
        <w:rPr>
          <w:lang w:val="lv-LV"/>
        </w:rPr>
        <w:t xml:space="preserve"> izmantošan</w:t>
      </w:r>
      <w:r w:rsidR="000B3DD7" w:rsidRPr="00595533">
        <w:rPr>
          <w:lang w:val="lv-LV"/>
        </w:rPr>
        <w:t>ā</w:t>
      </w:r>
      <w:r w:rsidR="00416356" w:rsidRPr="00595533">
        <w:rPr>
          <w:lang w:val="lv-LV"/>
        </w:rPr>
        <w:t xml:space="preserve"> uzskatām</w:t>
      </w:r>
      <w:r w:rsidR="000B3DD7" w:rsidRPr="00595533">
        <w:rPr>
          <w:lang w:val="lv-LV"/>
        </w:rPr>
        <w:t>s</w:t>
      </w:r>
      <w:r w:rsidR="00416356" w:rsidRPr="00595533">
        <w:rPr>
          <w:lang w:val="lv-LV"/>
        </w:rPr>
        <w:t xml:space="preserve"> par drīzāk sekmīgu </w:t>
      </w:r>
      <w:r w:rsidR="006D5474" w:rsidRPr="00595533">
        <w:rPr>
          <w:lang w:val="lv-LV"/>
        </w:rPr>
        <w:t>vai sekmīgu.</w:t>
      </w:r>
      <w:r w:rsidR="00416356" w:rsidRPr="00595533">
        <w:rPr>
          <w:lang w:val="lv-LV"/>
        </w:rPr>
        <w:t xml:space="preserve"> </w:t>
      </w:r>
      <w:r w:rsidR="006D5474" w:rsidRPr="00595533">
        <w:rPr>
          <w:lang w:val="lv-LV"/>
        </w:rPr>
        <w:t>Tāpat</w:t>
      </w:r>
      <w:r w:rsidR="00416356" w:rsidRPr="00595533">
        <w:rPr>
          <w:lang w:val="lv-LV"/>
        </w:rPr>
        <w:t xml:space="preserve"> nedaudz vairāk kā pus</w:t>
      </w:r>
      <w:r w:rsidR="006D5474" w:rsidRPr="00595533">
        <w:rPr>
          <w:lang w:val="lv-LV"/>
        </w:rPr>
        <w:t xml:space="preserve">e aptaujāto </w:t>
      </w:r>
      <w:r w:rsidR="000B3DD7" w:rsidRPr="00595533">
        <w:rPr>
          <w:lang w:val="lv-LV"/>
        </w:rPr>
        <w:t xml:space="preserve">(51%) </w:t>
      </w:r>
      <w:r w:rsidR="006D5474" w:rsidRPr="00595533">
        <w:rPr>
          <w:lang w:val="lv-LV"/>
        </w:rPr>
        <w:t xml:space="preserve">atzinuši, ka sekmīga vai drīzāk sekmīga ir arī virzība uz dabas kapitāla kā bāzes ilgtspējīgai </w:t>
      </w:r>
      <w:r w:rsidR="000B3DD7" w:rsidRPr="00595533">
        <w:rPr>
          <w:lang w:val="lv-LV"/>
        </w:rPr>
        <w:t xml:space="preserve">ekonomiskai </w:t>
      </w:r>
      <w:r w:rsidR="006D5474" w:rsidRPr="00595533">
        <w:rPr>
          <w:lang w:val="lv-LV"/>
        </w:rPr>
        <w:t>izaugsmei s</w:t>
      </w:r>
      <w:r w:rsidR="000B3DD7" w:rsidRPr="00595533">
        <w:rPr>
          <w:lang w:val="lv-LV"/>
        </w:rPr>
        <w:t>aglabāšanu.</w:t>
      </w:r>
      <w:r w:rsidR="008566F5">
        <w:rPr>
          <w:lang w:val="lv-LV"/>
        </w:rPr>
        <w:t xml:space="preserve"> Tiesa, daļa viedokļu līderu progresu šajā mērķī vērtējuši kā nesekmīgu galvenokārt saistībā ar pēdējā laik</w:t>
      </w:r>
      <w:r w:rsidR="002C79D9">
        <w:rPr>
          <w:lang w:val="lv-LV"/>
        </w:rPr>
        <w:t>ā</w:t>
      </w:r>
      <w:r w:rsidR="008566F5">
        <w:rPr>
          <w:lang w:val="lv-LV"/>
        </w:rPr>
        <w:t xml:space="preserve"> </w:t>
      </w:r>
      <w:r w:rsidR="002C79D9">
        <w:rPr>
          <w:lang w:val="lv-LV"/>
        </w:rPr>
        <w:t xml:space="preserve">rezonansi sabiedrībā guvušiem notikumiem </w:t>
      </w:r>
      <w:r w:rsidR="008566F5">
        <w:rPr>
          <w:lang w:val="lv-LV"/>
        </w:rPr>
        <w:t>atkritumu pārstrādes jomā</w:t>
      </w:r>
      <w:r w:rsidR="002C79D9">
        <w:rPr>
          <w:lang w:val="lv-LV"/>
        </w:rPr>
        <w:t xml:space="preserve">, kā arī </w:t>
      </w:r>
      <w:r w:rsidR="000A7D8C">
        <w:rPr>
          <w:lang w:val="lv-LV"/>
        </w:rPr>
        <w:t>reaģējot uz mežsaimniecības politiku un mežu izciršanu.</w:t>
      </w:r>
    </w:p>
    <w:p w14:paraId="6B7DF6DC" w14:textId="4CAB0306" w:rsidR="000F4319" w:rsidRPr="00595533" w:rsidRDefault="000F4319">
      <w:pPr>
        <w:spacing w:before="0" w:after="0"/>
        <w:jc w:val="left"/>
        <w:rPr>
          <w:lang w:val="lv-LV"/>
        </w:rPr>
      </w:pPr>
      <w:r w:rsidRPr="00595533">
        <w:rPr>
          <w:lang w:val="lv-LV"/>
        </w:rPr>
        <w:br w:type="page"/>
      </w:r>
    </w:p>
    <w:p w14:paraId="35419B07" w14:textId="77777777" w:rsidR="00A65E2A" w:rsidRDefault="00A65E2A" w:rsidP="00A65E2A">
      <w:pPr>
        <w:pStyle w:val="Heading1"/>
        <w:rPr>
          <w:lang w:val="lv-LV"/>
        </w:rPr>
      </w:pPr>
      <w:bookmarkStart w:id="73" w:name="_Toc498690649"/>
      <w:bookmarkStart w:id="74" w:name="_Toc499025323"/>
      <w:r w:rsidRPr="00A65E2A">
        <w:rPr>
          <w:lang w:val="lv-LV"/>
        </w:rPr>
        <w:lastRenderedPageBreak/>
        <w:t>4. Latvijas ilgtspējīgas attīstības mē</w:t>
      </w:r>
      <w:r>
        <w:rPr>
          <w:lang w:val="lv-LV"/>
        </w:rPr>
        <w:t>rķ</w:t>
      </w:r>
      <w:r w:rsidRPr="00A65E2A">
        <w:rPr>
          <w:lang w:val="lv-LV"/>
        </w:rPr>
        <w:t xml:space="preserve">u </w:t>
      </w:r>
      <w:r>
        <w:rPr>
          <w:lang w:val="lv-LV"/>
        </w:rPr>
        <w:t>īstenošanas progresa novērtējums</w:t>
      </w:r>
      <w:bookmarkEnd w:id="73"/>
      <w:bookmarkEnd w:id="74"/>
    </w:p>
    <w:p w14:paraId="07C93E26" w14:textId="38C77AFA" w:rsidR="00EF6E23" w:rsidRDefault="00EF6E23" w:rsidP="00EF6E23">
      <w:pPr>
        <w:rPr>
          <w:lang w:val="lv-LV"/>
        </w:rPr>
      </w:pPr>
      <w:r>
        <w:rPr>
          <w:lang w:val="lv-LV"/>
        </w:rPr>
        <w:t xml:space="preserve">NAP2020 sevī ietver virkni vidēja termiņa rīcības virzienu un pasākumu </w:t>
      </w:r>
      <w:r w:rsidR="00A75AB3">
        <w:rPr>
          <w:lang w:val="lv-LV"/>
        </w:rPr>
        <w:t>LIAS</w:t>
      </w:r>
      <w:r>
        <w:rPr>
          <w:lang w:val="lv-LV"/>
        </w:rPr>
        <w:t xml:space="preserve">2030 īstenošanai, taču vienlaikus nepieciešams vērtēt valsts attīstības tendences arī tajās </w:t>
      </w:r>
      <w:r w:rsidR="00A75AB3">
        <w:rPr>
          <w:lang w:val="lv-LV"/>
        </w:rPr>
        <w:t xml:space="preserve">LIAS2030 </w:t>
      </w:r>
      <w:r>
        <w:rPr>
          <w:lang w:val="lv-LV"/>
        </w:rPr>
        <w:t>prioritātēs, kuras pašlaik NAP2020 netiek apskatītas. Tāpat būtiski valsts attīstību skatīt un izvērtēt kontekstā ar ANO dienaskārtīb</w:t>
      </w:r>
      <w:r w:rsidR="002A2F88">
        <w:rPr>
          <w:lang w:val="lv-LV"/>
        </w:rPr>
        <w:t>u</w:t>
      </w:r>
      <w:r>
        <w:rPr>
          <w:lang w:val="lv-LV"/>
        </w:rPr>
        <w:t xml:space="preserve"> 2030.</w:t>
      </w:r>
      <w:r w:rsidR="00820AE4">
        <w:rPr>
          <w:lang w:val="lv-LV"/>
        </w:rPr>
        <w:t> </w:t>
      </w:r>
      <w:r>
        <w:rPr>
          <w:lang w:val="lv-LV"/>
        </w:rPr>
        <w:t>gadam jeb ANO Ilgtspējīgas attīstības mērķiem, kuri apstiprināti 2015.</w:t>
      </w:r>
      <w:r w:rsidR="00820AE4">
        <w:rPr>
          <w:lang w:val="lv-LV"/>
        </w:rPr>
        <w:t> gadā.</w:t>
      </w:r>
      <w:r>
        <w:rPr>
          <w:lang w:val="lv-LV"/>
        </w:rPr>
        <w:t xml:space="preserve"> </w:t>
      </w:r>
      <w:r w:rsidR="00820AE4">
        <w:rPr>
          <w:lang w:val="lv-LV"/>
        </w:rPr>
        <w:t>E</w:t>
      </w:r>
      <w:r>
        <w:rPr>
          <w:lang w:val="lv-LV"/>
        </w:rPr>
        <w:t>soš</w:t>
      </w:r>
      <w:r w:rsidR="00820AE4">
        <w:rPr>
          <w:lang w:val="lv-LV"/>
        </w:rPr>
        <w:t>o</w:t>
      </w:r>
      <w:r>
        <w:rPr>
          <w:lang w:val="lv-LV"/>
        </w:rPr>
        <w:t xml:space="preserve"> valsts attīstības prioritā</w:t>
      </w:r>
      <w:r w:rsidR="00820AE4">
        <w:rPr>
          <w:lang w:val="lv-LV"/>
        </w:rPr>
        <w:t>šu izvērtējums</w:t>
      </w:r>
      <w:r>
        <w:rPr>
          <w:lang w:val="lv-LV"/>
        </w:rPr>
        <w:t xml:space="preserve"> kontekstā ar ANO Ilgtspējīgas attīstības mērķiem </w:t>
      </w:r>
      <w:r w:rsidR="00820AE4">
        <w:rPr>
          <w:lang w:val="lv-LV"/>
        </w:rPr>
        <w:t>var būt</w:t>
      </w:r>
      <w:r>
        <w:rPr>
          <w:lang w:val="lv-LV"/>
        </w:rPr>
        <w:t xml:space="preserve"> pamats priekšlikumiem par iespējamām nepieciešamām izmaiņām valsts attīstības plānošanas dokumentos un tajos noteiktajos mērķos.</w:t>
      </w:r>
    </w:p>
    <w:p w14:paraId="4E61E24A" w14:textId="1ED05131" w:rsidR="00EF6E23" w:rsidRDefault="00A75AB3" w:rsidP="00820AE4">
      <w:pPr>
        <w:rPr>
          <w:lang w:val="lv-LV"/>
        </w:rPr>
      </w:pPr>
      <w:r>
        <w:rPr>
          <w:lang w:val="lv-LV"/>
        </w:rPr>
        <w:t xml:space="preserve">LIAS2030 </w:t>
      </w:r>
      <w:r w:rsidR="00EF6E23">
        <w:rPr>
          <w:lang w:val="lv-LV"/>
        </w:rPr>
        <w:t>ieviešanu kopumā vislabāk ļauj novērtēt tajā iekļautie stratēģiskie indikatori. Jāsecina, ka</w:t>
      </w:r>
      <w:r w:rsidR="00D639AF">
        <w:rPr>
          <w:lang w:val="lv-LV"/>
        </w:rPr>
        <w:t xml:space="preserve"> gadījumā</w:t>
      </w:r>
      <w:r w:rsidR="00EF6E23">
        <w:rPr>
          <w:lang w:val="lv-LV"/>
        </w:rPr>
        <w:t>, ja netiks būtiski pārskatīta</w:t>
      </w:r>
      <w:r w:rsidR="00D639AF">
        <w:rPr>
          <w:lang w:val="lv-LV"/>
        </w:rPr>
        <w:t>s</w:t>
      </w:r>
      <w:r w:rsidR="00EF6E23">
        <w:rPr>
          <w:lang w:val="lv-LV"/>
        </w:rPr>
        <w:t xml:space="preserve"> demogrāfijas un migrācijas politikas, </w:t>
      </w:r>
      <w:r w:rsidR="00D639AF">
        <w:rPr>
          <w:lang w:val="lv-LV"/>
        </w:rPr>
        <w:t xml:space="preserve">nākotnē </w:t>
      </w:r>
      <w:r w:rsidR="00EF6E23">
        <w:rPr>
          <w:lang w:val="lv-LV"/>
        </w:rPr>
        <w:t xml:space="preserve">visticamāk neizdosies valsts iedzīvotāju </w:t>
      </w:r>
      <w:r w:rsidR="00D639AF">
        <w:rPr>
          <w:lang w:val="lv-LV"/>
        </w:rPr>
        <w:t>skaitu noturēt virs 2 miljoniem</w:t>
      </w:r>
      <w:r w:rsidR="00EF6E23">
        <w:rPr>
          <w:lang w:val="lv-LV"/>
        </w:rPr>
        <w:t xml:space="preserve">, jo pēc </w:t>
      </w:r>
      <w:r>
        <w:rPr>
          <w:lang w:val="lv-LV"/>
        </w:rPr>
        <w:t>CSP</w:t>
      </w:r>
      <w:r w:rsidR="00EF6E23">
        <w:rPr>
          <w:lang w:val="lv-LV"/>
        </w:rPr>
        <w:t xml:space="preserve"> datiem iedzīvotāju skaits Latvijā 2017.</w:t>
      </w:r>
      <w:r w:rsidR="00D639AF">
        <w:rPr>
          <w:lang w:val="lv-LV"/>
        </w:rPr>
        <w:t> </w:t>
      </w:r>
      <w:r w:rsidR="00EF6E23">
        <w:rPr>
          <w:lang w:val="lv-LV"/>
        </w:rPr>
        <w:t>gada 1.</w:t>
      </w:r>
      <w:r w:rsidR="00D639AF">
        <w:rPr>
          <w:lang w:val="lv-LV"/>
        </w:rPr>
        <w:t> oktobrī ir samazinājies</w:t>
      </w:r>
      <w:r w:rsidR="00EF6E23">
        <w:rPr>
          <w:lang w:val="lv-LV"/>
        </w:rPr>
        <w:t xml:space="preserve"> līdz 1</w:t>
      </w:r>
      <w:r w:rsidR="002A2F88">
        <w:rPr>
          <w:lang w:val="lv-LV"/>
        </w:rPr>
        <w:t>933,2 tūkstošiem iedzīvotāju. Šo rādītāju</w:t>
      </w:r>
      <w:r w:rsidR="00EF6E23">
        <w:rPr>
          <w:lang w:val="lv-LV"/>
        </w:rPr>
        <w:t xml:space="preserve"> visvairāk pēdējos septiņos gados ietekmējusi migrācija, kuras ietekmē laikā no 2010.</w:t>
      </w:r>
      <w:r w:rsidR="00D639AF">
        <w:rPr>
          <w:lang w:val="lv-LV"/>
        </w:rPr>
        <w:t> </w:t>
      </w:r>
      <w:r w:rsidR="00EF6E23">
        <w:rPr>
          <w:lang w:val="lv-LV"/>
        </w:rPr>
        <w:t>gada līdz 2016.</w:t>
      </w:r>
      <w:r w:rsidR="00D639AF">
        <w:rPr>
          <w:lang w:val="lv-LV"/>
        </w:rPr>
        <w:t> </w:t>
      </w:r>
      <w:r w:rsidR="00EF6E23">
        <w:rPr>
          <w:lang w:val="lv-LV"/>
        </w:rPr>
        <w:t>gadam iedzīvotāju skaits samazinājies par 113 tūkstošiem. Lai arī dabiskā pieauguma rādītājs kopumā šai laika periodā ir uzlabojies, tas joprojām ir negatīvs un 2016.</w:t>
      </w:r>
      <w:r w:rsidR="00D639AF">
        <w:rPr>
          <w:lang w:val="lv-LV"/>
        </w:rPr>
        <w:t> </w:t>
      </w:r>
      <w:r w:rsidR="00EF6E23">
        <w:rPr>
          <w:lang w:val="lv-LV"/>
        </w:rPr>
        <w:t xml:space="preserve">gadā pat pasliktinājies. </w:t>
      </w:r>
    </w:p>
    <w:p w14:paraId="1C330A5A" w14:textId="575171B4" w:rsidR="00EF6E23" w:rsidRDefault="00EF6E23" w:rsidP="00D639AF">
      <w:pPr>
        <w:rPr>
          <w:lang w:val="lv-LV"/>
        </w:rPr>
      </w:pPr>
      <w:r>
        <w:rPr>
          <w:lang w:val="lv-LV"/>
        </w:rPr>
        <w:t>Džini indekss, kas raksturo ienākumu nevienlīdzību, nav būtiski mainījies, vienīgi 2015.</w:t>
      </w:r>
      <w:r w:rsidR="00D639AF">
        <w:rPr>
          <w:lang w:val="lv-LV"/>
        </w:rPr>
        <w:t> </w:t>
      </w:r>
      <w:r>
        <w:rPr>
          <w:lang w:val="lv-LV"/>
        </w:rPr>
        <w:t xml:space="preserve">gadā tas samazinājies no 35,4 līdz 34,5, tomēr tas joprojām ir viens no augstākajiem rādītājiem ES, līdz ar to būtiski uzlabojumi šajā jomā nav redzami. Novērtējot labklājības pieaugumu pēc iekšzemes kopprodukta uz vienu iedzīvotāju (pēc pirktspējas paritātes), </w:t>
      </w:r>
      <w:r w:rsidR="00D639AF">
        <w:rPr>
          <w:lang w:val="lv-LV"/>
        </w:rPr>
        <w:t>vērojams, ka,</w:t>
      </w:r>
      <w:r>
        <w:rPr>
          <w:lang w:val="lv-LV"/>
        </w:rPr>
        <w:t xml:space="preserve"> esošajai izaugsmes tendencei lineāri turpinoties, Latvijas ilgtspējīgas attīstības stratēģijas  mērķis 2030.</w:t>
      </w:r>
      <w:r w:rsidR="00D639AF">
        <w:rPr>
          <w:lang w:val="lv-LV"/>
        </w:rPr>
        <w:t> </w:t>
      </w:r>
      <w:r>
        <w:rPr>
          <w:lang w:val="lv-LV"/>
        </w:rPr>
        <w:t xml:space="preserve">gadā varētu tikt sasniegts. </w:t>
      </w:r>
    </w:p>
    <w:p w14:paraId="6D20CD86" w14:textId="60A081F7" w:rsidR="00EF6E23" w:rsidRDefault="00EF6E23" w:rsidP="00FA43DB">
      <w:pPr>
        <w:rPr>
          <w:lang w:val="lv-LV"/>
        </w:rPr>
      </w:pPr>
      <w:r>
        <w:rPr>
          <w:lang w:val="lv-LV"/>
        </w:rPr>
        <w:t>Divi būtiski indikatori, pēc kuriem tiek mērīta stratēģijas īstenošana, ir Tautas attīstības indekss un Globālās konkurētspējas indekss. Tautas attīstības indekss sastāv no trim komponentēm – sagaidāmā dzīves ilguma, izglītošanās sagaidā</w:t>
      </w:r>
      <w:r w:rsidR="002A2F88">
        <w:rPr>
          <w:lang w:val="lv-LV"/>
        </w:rPr>
        <w:t>mā</w:t>
      </w:r>
      <w:r>
        <w:rPr>
          <w:lang w:val="lv-LV"/>
        </w:rPr>
        <w:t xml:space="preserve"> un faktisk</w:t>
      </w:r>
      <w:r w:rsidR="002A2F88">
        <w:rPr>
          <w:lang w:val="lv-LV"/>
        </w:rPr>
        <w:t>ā</w:t>
      </w:r>
      <w:r>
        <w:rPr>
          <w:lang w:val="lv-LV"/>
        </w:rPr>
        <w:t xml:space="preserve"> vidēj</w:t>
      </w:r>
      <w:r w:rsidR="002A2F88">
        <w:rPr>
          <w:lang w:val="lv-LV"/>
        </w:rPr>
        <w:t>ā</w:t>
      </w:r>
      <w:r>
        <w:rPr>
          <w:lang w:val="lv-LV"/>
        </w:rPr>
        <w:t xml:space="preserve"> ilgum</w:t>
      </w:r>
      <w:r w:rsidR="002A2F88">
        <w:rPr>
          <w:lang w:val="lv-LV"/>
        </w:rPr>
        <w:t>a</w:t>
      </w:r>
      <w:r>
        <w:rPr>
          <w:lang w:val="lv-LV"/>
        </w:rPr>
        <w:t xml:space="preserve"> un nacionālā ienākuma uz vienu iedzīvotāju rādītāj</w:t>
      </w:r>
      <w:r w:rsidR="00FA43DB">
        <w:rPr>
          <w:lang w:val="lv-LV"/>
        </w:rPr>
        <w:t>a</w:t>
      </w:r>
      <w:r>
        <w:rPr>
          <w:lang w:val="lv-LV"/>
        </w:rPr>
        <w:t>. Šī indeksa rangu tabulā pēc 2015.</w:t>
      </w:r>
      <w:r w:rsidR="00FA43DB">
        <w:rPr>
          <w:lang w:val="lv-LV"/>
        </w:rPr>
        <w:t> </w:t>
      </w:r>
      <w:r>
        <w:rPr>
          <w:lang w:val="lv-LV"/>
        </w:rPr>
        <w:t xml:space="preserve">gada </w:t>
      </w:r>
      <w:r w:rsidR="00FA43DB">
        <w:rPr>
          <w:lang w:val="lv-LV"/>
        </w:rPr>
        <w:t>datiem</w:t>
      </w:r>
      <w:r>
        <w:rPr>
          <w:lang w:val="lv-LV"/>
        </w:rPr>
        <w:t xml:space="preserve"> Latvija atrodas 44.</w:t>
      </w:r>
      <w:r w:rsidR="00FA43DB">
        <w:rPr>
          <w:lang w:val="lv-LV"/>
        </w:rPr>
        <w:t> </w:t>
      </w:r>
      <w:r>
        <w:rPr>
          <w:lang w:val="lv-LV"/>
        </w:rPr>
        <w:t>vietā pasaulē starp ļoti augstu attīstītām valstīm, laikā no 2010.</w:t>
      </w:r>
      <w:r w:rsidR="00FA43DB">
        <w:rPr>
          <w:lang w:val="lv-LV"/>
        </w:rPr>
        <w:t> </w:t>
      </w:r>
      <w:r>
        <w:rPr>
          <w:lang w:val="lv-LV"/>
        </w:rPr>
        <w:t>gada līdz 2015.</w:t>
      </w:r>
      <w:r w:rsidR="00FA43DB">
        <w:rPr>
          <w:lang w:val="lv-LV"/>
        </w:rPr>
        <w:t> gadam u</w:t>
      </w:r>
      <w:r>
        <w:rPr>
          <w:lang w:val="lv-LV"/>
        </w:rPr>
        <w:t>zlabojot savu pozīciju par vienu vi</w:t>
      </w:r>
      <w:r w:rsidR="00FA43DB">
        <w:rPr>
          <w:lang w:val="lv-LV"/>
        </w:rPr>
        <w:t>etu.</w:t>
      </w:r>
      <w:r>
        <w:rPr>
          <w:lang w:val="lv-LV"/>
        </w:rPr>
        <w:t xml:space="preserve"> </w:t>
      </w:r>
      <w:r w:rsidR="00FA43DB">
        <w:rPr>
          <w:lang w:val="lv-LV"/>
        </w:rPr>
        <w:t>S</w:t>
      </w:r>
      <w:r>
        <w:rPr>
          <w:lang w:val="lv-LV"/>
        </w:rPr>
        <w:t>alīdzinājumam var minēt, ka Lietuva ieņem 37.</w:t>
      </w:r>
      <w:r w:rsidR="00FA43DB">
        <w:rPr>
          <w:lang w:val="lv-LV"/>
        </w:rPr>
        <w:t> </w:t>
      </w:r>
      <w:r>
        <w:rPr>
          <w:lang w:val="lv-LV"/>
        </w:rPr>
        <w:t>vietu, bet Igaunija 30.</w:t>
      </w:r>
      <w:r w:rsidR="00FA43DB">
        <w:rPr>
          <w:lang w:val="lv-LV"/>
        </w:rPr>
        <w:t> </w:t>
      </w:r>
      <w:r>
        <w:rPr>
          <w:lang w:val="lv-LV"/>
        </w:rPr>
        <w:t xml:space="preserve">vietu. </w:t>
      </w:r>
      <w:r w:rsidR="00FA43DB">
        <w:rPr>
          <w:lang w:val="lv-LV"/>
        </w:rPr>
        <w:t xml:space="preserve">Savukārt </w:t>
      </w:r>
      <w:r>
        <w:rPr>
          <w:lang w:val="lv-LV"/>
        </w:rPr>
        <w:t>Globālās konkurētspējas indeksa valstu rangā 2016.-2017.</w:t>
      </w:r>
      <w:r w:rsidR="00FA43DB" w:rsidRPr="00FA43DB">
        <w:rPr>
          <w:lang w:val="lv-LV"/>
        </w:rPr>
        <w:t> </w:t>
      </w:r>
      <w:r>
        <w:rPr>
          <w:lang w:val="lv-LV"/>
        </w:rPr>
        <w:t xml:space="preserve">gadam, kurā iekļautas 138 pasaules valstis, </w:t>
      </w:r>
      <w:r w:rsidR="00FA43DB">
        <w:rPr>
          <w:lang w:val="lv-LV"/>
        </w:rPr>
        <w:t>Latvija</w:t>
      </w:r>
      <w:r>
        <w:rPr>
          <w:lang w:val="lv-LV"/>
        </w:rPr>
        <w:t xml:space="preserve"> ieņem 49.</w:t>
      </w:r>
      <w:r w:rsidR="00FA43DB">
        <w:rPr>
          <w:lang w:val="lv-LV"/>
        </w:rPr>
        <w:t> </w:t>
      </w:r>
      <w:r>
        <w:rPr>
          <w:lang w:val="lv-LV"/>
        </w:rPr>
        <w:t>vietu, lai arī iepriekš bija 44.</w:t>
      </w:r>
      <w:r w:rsidR="00FA43DB">
        <w:rPr>
          <w:lang w:val="lv-LV"/>
        </w:rPr>
        <w:t> </w:t>
      </w:r>
      <w:r>
        <w:rPr>
          <w:lang w:val="lv-LV"/>
        </w:rPr>
        <w:t>vietā. Vājākie rādītāji šī indeksa kontekstā ir divos no šī indeksa pīlāriem - tirgus lielums un inovācijas, bet kā jomas ar negatīvu tendenci jāatzīmē darba tirgus funkcionēšanas efektivitāte un finanšu tirgu attīstība. Kā biznesu traucējošākie trīs faktori minēti nodokļu likmes, pārmērīga valsts birokrātija un nodokļu regulējums. Detalizēti vērtējot indeksa pīlāru sastāvā ietilpstošos rādītājus, redzams, ka viszemāk novērtēta tieslietu sistēmas efektivitāte biznesa strīdu risināšanai, mazākuma akcionāru aizsardzība, uzticēšanās politiķiem, autoceļu kvalitāte, nodokļu sistēmas ietekme uz vēlmi investēt un būt darba tirgū, valsts spēja piesaistīt un noturēt talantus, aizdevumu pieejamība, klasteru attīstība, pētnieku un inženieru pieejamība. Tomēr vienlaikus jāatzīmē, ka vairākas indeksa sadaļas un tajās iekļautie subjektīvie indikatori balstīti uz uzņēmumu vadītāju aptauju, kur Latvijas gadījumā indeksa aprēķini veikti</w:t>
      </w:r>
      <w:r w:rsidR="00FA43DB">
        <w:rPr>
          <w:lang w:val="lv-LV"/>
        </w:rPr>
        <w:t>,</w:t>
      </w:r>
      <w:r>
        <w:rPr>
          <w:lang w:val="lv-LV"/>
        </w:rPr>
        <w:t xml:space="preserve"> pamatojoties tikai uz 89 respondentu atbildēm, līdz ar to indeksa rādītāji nav vērtējami viennozīmīgi. Piemēram, inovācijas pīlārā seši no septiņiem indikatoriem balstīti uz aptaujas rezultātiem, finanšu tirgu attīstības pīlārā </w:t>
      </w:r>
      <w:r w:rsidR="006E261D">
        <w:rPr>
          <w:lang w:val="lv-LV"/>
        </w:rPr>
        <w:t xml:space="preserve">savukārt </w:t>
      </w:r>
      <w:r>
        <w:rPr>
          <w:lang w:val="lv-LV"/>
        </w:rPr>
        <w:t>septiņi no astoņiem indikatoriem balstīti uz aptaujas rezultātiem. Lai arī subjektīvie vērtējumi ir svarīgi un tie parāda biznesa vides noskaņojumu, tomēr šis indekss nevar tikt vērtēts kā vienīgais atskaites punkts kompleksa</w:t>
      </w:r>
      <w:r w:rsidR="006E261D">
        <w:rPr>
          <w:lang w:val="lv-LV"/>
        </w:rPr>
        <w:t>m</w:t>
      </w:r>
      <w:r>
        <w:rPr>
          <w:lang w:val="lv-LV"/>
        </w:rPr>
        <w:t xml:space="preserve"> konkurētspējas novērtē</w:t>
      </w:r>
      <w:r w:rsidR="006E261D">
        <w:rPr>
          <w:lang w:val="lv-LV"/>
        </w:rPr>
        <w:t>jumam</w:t>
      </w:r>
      <w:r>
        <w:rPr>
          <w:lang w:val="lv-LV"/>
        </w:rPr>
        <w:t>. Latvijas pozīcijas dinamika abu šo indeksu rangos šobrīd nav atbilstoša vēlamajai</w:t>
      </w:r>
      <w:r w:rsidR="006E261D">
        <w:rPr>
          <w:lang w:val="lv-LV"/>
        </w:rPr>
        <w:t xml:space="preserve"> tendencei, lai sasniegtu 2030. </w:t>
      </w:r>
      <w:r>
        <w:rPr>
          <w:lang w:val="lv-LV"/>
        </w:rPr>
        <w:t xml:space="preserve">gadam nospraustos mērķus, tādēļ būtu </w:t>
      </w:r>
      <w:r>
        <w:rPr>
          <w:lang w:val="lv-LV"/>
        </w:rPr>
        <w:lastRenderedPageBreak/>
        <w:t>nepieciešams akcentēt vājās vietas šo indeksu rādījumos, tai skaitā īpašu uzmanību pievēršot sagaidāmā dzīves ilguma un nacionālā ienākuma rādītājiem, jo uzlabojumi tajos ļautu sekmīgāk uzlabot dzīves kvalitāti Latvijā un Latvijas vietu Tautas attīs</w:t>
      </w:r>
      <w:r w:rsidR="006E261D">
        <w:rPr>
          <w:lang w:val="lv-LV"/>
        </w:rPr>
        <w:t>tības indeksā.</w:t>
      </w:r>
    </w:p>
    <w:p w14:paraId="1E797BAD" w14:textId="37288170" w:rsidR="00EF6E23" w:rsidRPr="00C40584" w:rsidRDefault="00EF6E23" w:rsidP="006E261D">
      <w:pPr>
        <w:rPr>
          <w:lang w:val="lv-LV"/>
        </w:rPr>
      </w:pPr>
      <w:r>
        <w:rPr>
          <w:lang w:val="lv-LV"/>
        </w:rPr>
        <w:t xml:space="preserve">Lai novērtētu </w:t>
      </w:r>
      <w:r w:rsidR="00A75AB3">
        <w:rPr>
          <w:lang w:val="lv-LV"/>
        </w:rPr>
        <w:t xml:space="preserve">LIAS2030 </w:t>
      </w:r>
      <w:r>
        <w:rPr>
          <w:lang w:val="lv-LV"/>
        </w:rPr>
        <w:t xml:space="preserve">īstenošanu, svarīgi izvērtēt arī tās prioritāšu īstenošanu un izvirzīto mērķu sasniegšanu. Vērtējot </w:t>
      </w:r>
      <w:r w:rsidRPr="006E261D">
        <w:rPr>
          <w:b/>
          <w:lang w:val="lv-LV"/>
        </w:rPr>
        <w:t>prioritāti “Kultūras telpas attīstība”</w:t>
      </w:r>
      <w:r>
        <w:rPr>
          <w:lang w:val="lv-LV"/>
        </w:rPr>
        <w:t xml:space="preserve">, jāsecina, ka tās izvirzīto mērķu sasniegšana kopumā vērtējama </w:t>
      </w:r>
      <w:r w:rsidR="006E261D" w:rsidRPr="006E261D">
        <w:rPr>
          <w:lang w:val="lv-LV"/>
        </w:rPr>
        <w:t xml:space="preserve">kā </w:t>
      </w:r>
      <w:r w:rsidRPr="006E261D">
        <w:rPr>
          <w:lang w:val="lv-LV"/>
        </w:rPr>
        <w:t>nevienmērīga, jo, salīdzinot situāciju ar 2014.</w:t>
      </w:r>
      <w:r w:rsidR="00890038">
        <w:rPr>
          <w:lang w:val="lv-LV"/>
        </w:rPr>
        <w:t> </w:t>
      </w:r>
      <w:r w:rsidRPr="006E261D">
        <w:rPr>
          <w:lang w:val="lv-LV"/>
        </w:rPr>
        <w:t>gadu, ir uzlabojušies iedzīvotāju piederības Latvijas</w:t>
      </w:r>
      <w:r>
        <w:rPr>
          <w:lang w:val="lv-LV"/>
        </w:rPr>
        <w:t xml:space="preserve"> valstij rādītājs, kā arī dalībnieku skaits amatiermākslas kolektīvos. Pēc Latvijā producēto filmu skaita pieauguma 2014.</w:t>
      </w:r>
      <w:r w:rsidR="00890038">
        <w:rPr>
          <w:lang w:val="lv-LV"/>
        </w:rPr>
        <w:t> </w:t>
      </w:r>
      <w:r>
        <w:rPr>
          <w:lang w:val="lv-LV"/>
        </w:rPr>
        <w:t>un 2015.</w:t>
      </w:r>
      <w:r w:rsidR="00890038">
        <w:rPr>
          <w:lang w:val="lv-LV"/>
        </w:rPr>
        <w:t> gadā</w:t>
      </w:r>
      <w:r>
        <w:rPr>
          <w:lang w:val="lv-LV"/>
        </w:rPr>
        <w:t>, 2016.</w:t>
      </w:r>
      <w:r w:rsidR="00890038">
        <w:rPr>
          <w:lang w:val="lv-LV"/>
        </w:rPr>
        <w:t> </w:t>
      </w:r>
      <w:r>
        <w:rPr>
          <w:lang w:val="lv-LV"/>
        </w:rPr>
        <w:t>gadā tika producētas tikai 42 filmas, kas ir tikpat</w:t>
      </w:r>
      <w:r w:rsidR="00890038">
        <w:rPr>
          <w:lang w:val="lv-LV"/>
        </w:rPr>
        <w:t>,</w:t>
      </w:r>
      <w:r>
        <w:rPr>
          <w:lang w:val="lv-LV"/>
        </w:rPr>
        <w:t xml:space="preserve"> cik 2009.</w:t>
      </w:r>
      <w:r w:rsidR="00890038">
        <w:rPr>
          <w:lang w:val="lv-LV"/>
        </w:rPr>
        <w:t> gadā.</w:t>
      </w:r>
      <w:r>
        <w:rPr>
          <w:lang w:val="lv-LV"/>
        </w:rPr>
        <w:t xml:space="preserve"> </w:t>
      </w:r>
      <w:r w:rsidR="00890038">
        <w:rPr>
          <w:lang w:val="lv-LV"/>
        </w:rPr>
        <w:t>V</w:t>
      </w:r>
      <w:r>
        <w:rPr>
          <w:lang w:val="lv-LV"/>
        </w:rPr>
        <w:t xml:space="preserve">ienlaikus samazinājums noticis pamatā uz īsmetrāžas filmu rēķina, tādēļ šīs izmaiņas nav vērtējamas viennozīmīgi. Lai arī filmu ražošana ir </w:t>
      </w:r>
      <w:r w:rsidR="002A2F88">
        <w:rPr>
          <w:lang w:val="lv-LV"/>
        </w:rPr>
        <w:t xml:space="preserve">kritiski svarīga sastāvdaļa </w:t>
      </w:r>
      <w:r>
        <w:rPr>
          <w:lang w:val="lv-LV"/>
        </w:rPr>
        <w:t>nacionālās identitātes saglabāšana</w:t>
      </w:r>
      <w:r w:rsidR="002A2F88">
        <w:rPr>
          <w:lang w:val="lv-LV"/>
        </w:rPr>
        <w:t>i</w:t>
      </w:r>
      <w:r>
        <w:rPr>
          <w:lang w:val="lv-LV"/>
        </w:rPr>
        <w:t>, vienlaikus ši</w:t>
      </w:r>
      <w:r w:rsidR="002A2F88">
        <w:rPr>
          <w:lang w:val="lv-LV"/>
        </w:rPr>
        <w:t>m</w:t>
      </w:r>
      <w:r>
        <w:rPr>
          <w:lang w:val="lv-LV"/>
        </w:rPr>
        <w:t xml:space="preserve"> indikatoram piemīt īstermiņa raksturs, tas raksturo aktivitāti tikai viena gada griezumā, nevis atspoguļo ilgtermiņa aktivitāti, kas akumulē iepriekšējo gadu ieguldījumu. Latviešu valodas oriģinālliteratūras izdošana </w:t>
      </w:r>
      <w:r w:rsidR="00890038">
        <w:rPr>
          <w:lang w:val="lv-LV"/>
        </w:rPr>
        <w:t xml:space="preserve">kopš </w:t>
      </w:r>
      <w:r>
        <w:rPr>
          <w:lang w:val="lv-LV"/>
        </w:rPr>
        <w:t>ekonomiskās krīzes laik</w:t>
      </w:r>
      <w:r w:rsidR="00890038">
        <w:rPr>
          <w:lang w:val="lv-LV"/>
        </w:rPr>
        <w:t>a</w:t>
      </w:r>
      <w:r>
        <w:rPr>
          <w:lang w:val="lv-LV"/>
        </w:rPr>
        <w:t xml:space="preserve"> ir sarukusi un katru gadu latviešu oriģinālliteratūras izdevumu skaits svārstās robežās no 1 100 līdz 1 200 izdevumiem, kas ir par aptuveni ceturto daļu mazāk nekā 2007.</w:t>
      </w:r>
      <w:r w:rsidR="00890038">
        <w:rPr>
          <w:lang w:val="lv-LV"/>
        </w:rPr>
        <w:t> </w:t>
      </w:r>
      <w:r>
        <w:rPr>
          <w:lang w:val="lv-LV"/>
        </w:rPr>
        <w:t>gadā, kad to skaits sasniedza 1522.  Vairs nav pieejami dati par radošo industriju eksporta īpatsvaru un iedzīvotāju latviešu valodas prasmi, ņemot vērā, ka Centrālā statistikas pārvalde šos datus vairs neapkopo un Tautas skaitīšanas ietvaros jautājums par valsts valodas prasmi vairs nav ticis ietverts. Jautājums par valsts valodas prasmi 2010.</w:t>
      </w:r>
      <w:r w:rsidR="00890038">
        <w:rPr>
          <w:lang w:val="lv-LV"/>
        </w:rPr>
        <w:t> </w:t>
      </w:r>
      <w:r>
        <w:rPr>
          <w:lang w:val="lv-LV"/>
        </w:rPr>
        <w:t xml:space="preserve">gada tautas skaitīšanā aizstāts ar jautājumu par mājās galvenokārt izmantoto saziņas valodu, kura 56,2 % gadījumu ir </w:t>
      </w:r>
      <w:r w:rsidR="00A75AB3">
        <w:rPr>
          <w:lang w:val="lv-LV"/>
        </w:rPr>
        <w:t>latviešu</w:t>
      </w:r>
      <w:r>
        <w:rPr>
          <w:lang w:val="lv-LV"/>
        </w:rPr>
        <w:t xml:space="preserve"> valoda, 33,8 % krievu valoda, bet 9,3% iedzīvotāju šo informāciju nav norādījuši. Lai gan šī jautājuma būtība atspoguļo valodas lietošanu, nevis tās prasmi, tomēr rezultāts arī norāda uz valsts valodas lomu sabiedrības komunikācijā un ikdienā.</w:t>
      </w:r>
    </w:p>
    <w:p w14:paraId="358A6833" w14:textId="0D4A9CBD" w:rsidR="00EF6E23" w:rsidRDefault="00EF6E23" w:rsidP="006E261D">
      <w:pPr>
        <w:rPr>
          <w:lang w:val="lv-LV"/>
        </w:rPr>
      </w:pPr>
      <w:r w:rsidRPr="002F0DE4">
        <w:rPr>
          <w:b/>
          <w:lang w:val="lv-LV"/>
        </w:rPr>
        <w:t>Cilvēkkapitāla attīstības prioritātes</w:t>
      </w:r>
      <w:r>
        <w:rPr>
          <w:lang w:val="lv-LV"/>
        </w:rPr>
        <w:t xml:space="preserve"> īstenošanas galvenie mērķi saistīti ar demogrāfijas rādītājiem, darba ražīguma un nabadzības riska rādītājiem. Nabadzības risks 2016.</w:t>
      </w:r>
      <w:r w:rsidR="002F0DE4">
        <w:rPr>
          <w:lang w:val="lv-LV"/>
        </w:rPr>
        <w:t> gadā bija 21,</w:t>
      </w:r>
      <w:r>
        <w:rPr>
          <w:lang w:val="lv-LV"/>
        </w:rPr>
        <w:t>8%, tas ir būtiski mazāk nekā 2008.</w:t>
      </w:r>
      <w:r w:rsidR="002F0DE4">
        <w:rPr>
          <w:lang w:val="lv-LV"/>
        </w:rPr>
        <w:t> </w:t>
      </w:r>
      <w:r>
        <w:rPr>
          <w:lang w:val="lv-LV"/>
        </w:rPr>
        <w:t>gada rādītājs (25,9%), tomēr kopš 2011.</w:t>
      </w:r>
      <w:r w:rsidR="002F0DE4">
        <w:rPr>
          <w:lang w:val="lv-LV"/>
        </w:rPr>
        <w:t> </w:t>
      </w:r>
      <w:r>
        <w:rPr>
          <w:lang w:val="lv-LV"/>
        </w:rPr>
        <w:t>gada tas mainījies ne</w:t>
      </w:r>
      <w:r w:rsidR="002F0DE4">
        <w:rPr>
          <w:lang w:val="lv-LV"/>
        </w:rPr>
        <w:t>nozīmīgi</w:t>
      </w:r>
      <w:r>
        <w:rPr>
          <w:lang w:val="lv-LV"/>
        </w:rPr>
        <w:t>. Darba ražīgums no 2010.</w:t>
      </w:r>
      <w:r w:rsidR="002F0DE4">
        <w:rPr>
          <w:lang w:val="lv-LV"/>
        </w:rPr>
        <w:t> </w:t>
      </w:r>
      <w:r>
        <w:rPr>
          <w:lang w:val="lv-LV"/>
        </w:rPr>
        <w:t>gada līdz 2016.</w:t>
      </w:r>
      <w:r w:rsidR="002F0DE4">
        <w:rPr>
          <w:lang w:val="lv-LV"/>
        </w:rPr>
        <w:t> </w:t>
      </w:r>
      <w:r>
        <w:rPr>
          <w:lang w:val="lv-LV"/>
        </w:rPr>
        <w:t>gadam pieaudzis par 17,7%, kas ir ievērojami labāks rezultāts, salīdzinot ar Lietuvu un Igauniju. Sieviešu vidējais paredzamais mūža ilgums 2015.</w:t>
      </w:r>
      <w:r w:rsidR="002F0DE4">
        <w:rPr>
          <w:lang w:val="lv-LV"/>
        </w:rPr>
        <w:t> </w:t>
      </w:r>
      <w:r>
        <w:rPr>
          <w:lang w:val="lv-LV"/>
        </w:rPr>
        <w:t xml:space="preserve">gadā bija 79,5 gadi, bet vīriešu </w:t>
      </w:r>
      <w:r w:rsidR="002F0DE4">
        <w:rPr>
          <w:lang w:val="lv-LV"/>
        </w:rPr>
        <w:t xml:space="preserve">- </w:t>
      </w:r>
      <w:r>
        <w:rPr>
          <w:lang w:val="lv-LV"/>
        </w:rPr>
        <w:t>69,7 gadi</w:t>
      </w:r>
      <w:r w:rsidR="002F0DE4">
        <w:rPr>
          <w:lang w:val="lv-LV"/>
        </w:rPr>
        <w:t>.</w:t>
      </w:r>
      <w:r>
        <w:rPr>
          <w:lang w:val="lv-LV"/>
        </w:rPr>
        <w:t xml:space="preserve"> </w:t>
      </w:r>
      <w:r w:rsidR="002F0DE4">
        <w:rPr>
          <w:lang w:val="lv-LV"/>
        </w:rPr>
        <w:t>A</w:t>
      </w:r>
      <w:r>
        <w:rPr>
          <w:lang w:val="lv-LV"/>
        </w:rPr>
        <w:t xml:space="preserve">bi šie rādītāji ir uzlabojušies, </w:t>
      </w:r>
      <w:r w:rsidR="002F0DE4">
        <w:rPr>
          <w:lang w:val="lv-LV"/>
        </w:rPr>
        <w:t xml:space="preserve">tomēr </w:t>
      </w:r>
      <w:r>
        <w:rPr>
          <w:lang w:val="lv-LV"/>
        </w:rPr>
        <w:t>vienlaikus paredzams, ka vīriešu paredzamā mūža ilguma mērķi sasniegt būs ievērojami grūtāk. 2015.</w:t>
      </w:r>
      <w:r w:rsidR="002F0DE4">
        <w:rPr>
          <w:lang w:val="lv-LV"/>
        </w:rPr>
        <w:t> </w:t>
      </w:r>
      <w:r>
        <w:rPr>
          <w:lang w:val="lv-LV"/>
        </w:rPr>
        <w:t>gadā summār</w:t>
      </w:r>
      <w:r w:rsidR="002F0DE4">
        <w:rPr>
          <w:lang w:val="lv-LV"/>
        </w:rPr>
        <w:t>ā</w:t>
      </w:r>
      <w:r>
        <w:rPr>
          <w:lang w:val="lv-LV"/>
        </w:rPr>
        <w:t xml:space="preserve"> dzimstības koeficient</w:t>
      </w:r>
      <w:r w:rsidR="002F0DE4">
        <w:rPr>
          <w:lang w:val="lv-LV"/>
        </w:rPr>
        <w:t>a</w:t>
      </w:r>
      <w:r>
        <w:rPr>
          <w:lang w:val="lv-LV"/>
        </w:rPr>
        <w:t xml:space="preserve"> rādītājs sasniedza 1,7, tādējādi, pateicoties arī demogrāfijas politikai, jau ir sasniegta mērķa vērtība 2030.</w:t>
      </w:r>
      <w:r w:rsidR="002F0DE4">
        <w:rPr>
          <w:lang w:val="lv-LV"/>
        </w:rPr>
        <w:t xml:space="preserve"> </w:t>
      </w:r>
      <w:r>
        <w:rPr>
          <w:lang w:val="lv-LV"/>
        </w:rPr>
        <w:t>gadam, kuru turpmākajos gados saglabāt vismaz tādā pašā līmenī tik un tā būs izaicinājums, ņemot vērā esošo un paredzamo dzimumu/vecumu struktūru sabiedrībā. Latvija noveco, jo vecuma demogrāfiskā atkarība 2016.</w:t>
      </w:r>
      <w:r w:rsidR="002F0DE4">
        <w:rPr>
          <w:lang w:val="lv-LV"/>
        </w:rPr>
        <w:t> </w:t>
      </w:r>
      <w:r>
        <w:rPr>
          <w:lang w:val="lv-LV"/>
        </w:rPr>
        <w:t>gadā jau sasniegusi 30,2%, kas norāda uz to, ka Latvijas ilgtspējīgas attīstības stratēģijas mērķis noturēt to zemāku par 30% noteikti netiks sasniegts, jo sabiedrības turpmāka novecošanās, neveicot kādus radikālus imigrācijas pasākumus, ir nenovēršama.</w:t>
      </w:r>
    </w:p>
    <w:p w14:paraId="19CC49E4" w14:textId="3FB42FD7" w:rsidR="00EF6E23" w:rsidRDefault="00E72EA3" w:rsidP="006E261D">
      <w:pPr>
        <w:rPr>
          <w:lang w:val="lv-LV"/>
        </w:rPr>
      </w:pPr>
      <w:r w:rsidRPr="00E72EA3">
        <w:rPr>
          <w:b/>
          <w:lang w:val="lv-LV"/>
        </w:rPr>
        <w:t>Prioritātē</w:t>
      </w:r>
      <w:r>
        <w:rPr>
          <w:lang w:val="lv-LV"/>
        </w:rPr>
        <w:t xml:space="preserve"> </w:t>
      </w:r>
      <w:r w:rsidRPr="00E72EA3">
        <w:rPr>
          <w:b/>
          <w:lang w:val="lv-LV"/>
        </w:rPr>
        <w:t>“Paradigmas maiņ</w:t>
      </w:r>
      <w:r>
        <w:rPr>
          <w:b/>
          <w:lang w:val="lv-LV"/>
        </w:rPr>
        <w:t>a</w:t>
      </w:r>
      <w:r w:rsidRPr="00E72EA3">
        <w:rPr>
          <w:b/>
          <w:lang w:val="lv-LV"/>
        </w:rPr>
        <w:t xml:space="preserve"> izglītībā</w:t>
      </w:r>
      <w:r>
        <w:rPr>
          <w:b/>
          <w:lang w:val="lv-LV"/>
        </w:rPr>
        <w:t>”</w:t>
      </w:r>
      <w:r>
        <w:rPr>
          <w:lang w:val="lv-LV"/>
        </w:rPr>
        <w:t xml:space="preserve"> n</w:t>
      </w:r>
      <w:r w:rsidR="00EF6E23">
        <w:rPr>
          <w:lang w:val="lv-LV"/>
        </w:rPr>
        <w:t>edaudz uzlabojas iedzīvotāju iesaistīšanās pieaugušo izglītībā, tomēr mērķa vērtība nav sasniegta un rādītāja tendence ir svārstīga, 2013.</w:t>
      </w:r>
      <w:r w:rsidR="00016F14">
        <w:rPr>
          <w:lang w:val="lv-LV"/>
        </w:rPr>
        <w:t> </w:t>
      </w:r>
      <w:r w:rsidR="00EF6E23">
        <w:rPr>
          <w:lang w:val="lv-LV"/>
        </w:rPr>
        <w:t>gadā ta</w:t>
      </w:r>
      <w:r w:rsidR="00016F14">
        <w:rPr>
          <w:lang w:val="lv-LV"/>
        </w:rPr>
        <w:t>i</w:t>
      </w:r>
      <w:r w:rsidR="00EF6E23">
        <w:rPr>
          <w:lang w:val="lv-LV"/>
        </w:rPr>
        <w:t xml:space="preserve"> samazinoties un 2016.</w:t>
      </w:r>
      <w:r w:rsidR="00016F14">
        <w:rPr>
          <w:lang w:val="lv-LV"/>
        </w:rPr>
        <w:t> </w:t>
      </w:r>
      <w:r w:rsidR="00EF6E23">
        <w:rPr>
          <w:lang w:val="lv-LV"/>
        </w:rPr>
        <w:t>gadā atgriežoties 2012.</w:t>
      </w:r>
      <w:r w:rsidR="00016F14">
        <w:rPr>
          <w:lang w:val="lv-LV"/>
        </w:rPr>
        <w:t> </w:t>
      </w:r>
      <w:r w:rsidR="00EF6E23">
        <w:rPr>
          <w:lang w:val="lv-LV"/>
        </w:rPr>
        <w:t>gada līmenī (7,3%). 2015.</w:t>
      </w:r>
      <w:r w:rsidR="00016F14">
        <w:rPr>
          <w:lang w:val="lv-LV"/>
        </w:rPr>
        <w:t> </w:t>
      </w:r>
      <w:r w:rsidR="00EF6E23">
        <w:rPr>
          <w:lang w:val="lv-LV"/>
        </w:rPr>
        <w:t>gadā 86,6% bērnu četru gadu vecumā bija nodrošināta vieta pirmsskolas izglītības iestādē, kas ir par 10% vairāk nekā 2007.</w:t>
      </w:r>
      <w:r w:rsidR="00016F14">
        <w:rPr>
          <w:lang w:val="lv-LV"/>
        </w:rPr>
        <w:t> </w:t>
      </w:r>
      <w:r w:rsidR="00EF6E23">
        <w:rPr>
          <w:lang w:val="lv-LV"/>
        </w:rPr>
        <w:t>gadā, tādējādi virzība uz šī mērķa izpildi vērtējama pozitīvi. To nodrošinājusi arī pašvaldību aktīva rīcība pirmsskolas izglītības pieejamības uzlabošanā un arī šim mērķim nodrošinātais valsts atbalsts. Jauniešu īpatsvars, kas neiegūst vidējo izglītību, 2016.</w:t>
      </w:r>
      <w:r w:rsidR="00016F14">
        <w:rPr>
          <w:lang w:val="lv-LV"/>
        </w:rPr>
        <w:t> </w:t>
      </w:r>
      <w:r w:rsidR="00EF6E23">
        <w:rPr>
          <w:lang w:val="lv-LV"/>
        </w:rPr>
        <w:t xml:space="preserve">gadā bija 10%, kas pēdējo divu gadu laikā nedaudz pasliktinājies, </w:t>
      </w:r>
      <w:r w:rsidR="00016F14">
        <w:rPr>
          <w:lang w:val="lv-LV"/>
        </w:rPr>
        <w:t xml:space="preserve">taču </w:t>
      </w:r>
      <w:r w:rsidR="00EF6E23">
        <w:rPr>
          <w:lang w:val="lv-LV"/>
        </w:rPr>
        <w:t>vienlaikus tas ir ievērojami uzlabojies kopš 2007.</w:t>
      </w:r>
      <w:r w:rsidR="00016F14">
        <w:rPr>
          <w:lang w:val="lv-LV"/>
        </w:rPr>
        <w:t> </w:t>
      </w:r>
      <w:r w:rsidR="00EF6E23">
        <w:rPr>
          <w:lang w:val="lv-LV"/>
        </w:rPr>
        <w:t xml:space="preserve">gada un </w:t>
      </w:r>
      <w:r w:rsidR="00EF6E23">
        <w:rPr>
          <w:lang w:val="lv-LV"/>
        </w:rPr>
        <w:lastRenderedPageBreak/>
        <w:t xml:space="preserve">jau sasniedzis plānoto mērķa vērtību. Ārvalstu studentu īpatsvars </w:t>
      </w:r>
      <w:r w:rsidR="00016F14">
        <w:rPr>
          <w:lang w:val="lv-LV"/>
        </w:rPr>
        <w:t xml:space="preserve">turpretim </w:t>
      </w:r>
      <w:r w:rsidR="00EF6E23">
        <w:rPr>
          <w:lang w:val="lv-LV"/>
        </w:rPr>
        <w:t>2013.-2014. studiju gadā sasniedza 5%, tomēr nav pieejami jaunāki dati par ārvalstu studentu skaitu, kā arī jāatzīmē, ka pieaugot ārvalstu studentu skaitam, vienlaikus būtiski ir samazinājies Latvijas studējošo iedzīvotāju skaits un līdz ar to arī studentu kopskaits.</w:t>
      </w:r>
      <w:r w:rsidR="00016F14">
        <w:rPr>
          <w:lang w:val="lv-LV"/>
        </w:rPr>
        <w:t xml:space="preserve"> Pozitīvi vērtējams, ka </w:t>
      </w:r>
      <w:r w:rsidR="00EF6E23">
        <w:rPr>
          <w:lang w:val="lv-LV"/>
        </w:rPr>
        <w:t>ir sasniegts mērķis attiecībā uz iedzīvotāju ar augstāko izglītību īpatsvar</w:t>
      </w:r>
      <w:r w:rsidR="00016F14">
        <w:rPr>
          <w:lang w:val="lv-LV"/>
        </w:rPr>
        <w:t>s</w:t>
      </w:r>
      <w:r w:rsidR="00EF6E23">
        <w:rPr>
          <w:lang w:val="lv-LV"/>
        </w:rPr>
        <w:t xml:space="preserve"> vecum</w:t>
      </w:r>
      <w:r w:rsidR="00016F14">
        <w:rPr>
          <w:lang w:val="lv-LV"/>
        </w:rPr>
        <w:t>a</w:t>
      </w:r>
      <w:r w:rsidR="00EF6E23">
        <w:rPr>
          <w:lang w:val="lv-LV"/>
        </w:rPr>
        <w:t xml:space="preserve"> grupā no 30 līdz 34 gadiem. </w:t>
      </w:r>
    </w:p>
    <w:p w14:paraId="4D3B6FBE" w14:textId="034E3D63" w:rsidR="00EF6E23" w:rsidRDefault="00E72EA3" w:rsidP="006E261D">
      <w:pPr>
        <w:rPr>
          <w:lang w:val="lv-LV"/>
        </w:rPr>
      </w:pPr>
      <w:r>
        <w:rPr>
          <w:lang w:val="lv-LV"/>
        </w:rPr>
        <w:t xml:space="preserve">Attiecībā uz </w:t>
      </w:r>
      <w:r w:rsidRPr="00E72EA3">
        <w:rPr>
          <w:b/>
          <w:lang w:val="lv-LV"/>
        </w:rPr>
        <w:t>prioritāti “Inovatīva un ekoefektīva ekonomika”</w:t>
      </w:r>
      <w:r>
        <w:rPr>
          <w:lang w:val="lv-LV"/>
        </w:rPr>
        <w:t xml:space="preserve"> </w:t>
      </w:r>
      <w:r w:rsidR="00EF6E23">
        <w:rPr>
          <w:lang w:val="lv-LV"/>
        </w:rPr>
        <w:t>Latvijas ārējās tirdzniecības bilance kopš 2013.</w:t>
      </w:r>
      <w:r w:rsidR="00016F14">
        <w:rPr>
          <w:lang w:val="lv-LV"/>
        </w:rPr>
        <w:t> </w:t>
      </w:r>
      <w:r w:rsidR="00EF6E23">
        <w:rPr>
          <w:lang w:val="lv-LV"/>
        </w:rPr>
        <w:t>gada ir pakāpeniski uzlabojusies, vienlaikus tā joprojām ir negatīva un nedaudz virs 2 miljardiem eiro gadā, kas liek secināt, ka Latvijas uzņēmēju konkurētspēja un darba ražīgums tautsaimniecībā pieaug</w:t>
      </w:r>
      <w:r w:rsidR="00B67B4E">
        <w:rPr>
          <w:lang w:val="lv-LV"/>
        </w:rPr>
        <w:t>.</w:t>
      </w:r>
      <w:r w:rsidR="00EF6E23">
        <w:rPr>
          <w:lang w:val="lv-LV"/>
        </w:rPr>
        <w:t xml:space="preserve"> </w:t>
      </w:r>
      <w:r w:rsidR="00B67B4E">
        <w:rPr>
          <w:lang w:val="lv-LV"/>
        </w:rPr>
        <w:t>V</w:t>
      </w:r>
      <w:r w:rsidR="00EF6E23">
        <w:rPr>
          <w:lang w:val="lv-LV"/>
        </w:rPr>
        <w:t xml:space="preserve">ienlaikus mērķa sasniegšana </w:t>
      </w:r>
      <w:r w:rsidR="00B67B4E">
        <w:rPr>
          <w:lang w:val="lv-LV"/>
        </w:rPr>
        <w:t xml:space="preserve">šajā jomā </w:t>
      </w:r>
      <w:r w:rsidR="00EF6E23">
        <w:rPr>
          <w:lang w:val="lv-LV"/>
        </w:rPr>
        <w:t xml:space="preserve">būs atkarīga gan no tautsaimniecības spējas kāpināt konkurētspēju, gan no iedzīvotāju patēriņa un ar to saistīto ieradumu izmaiņām. Izdevumi pētniecībai un attīstībai pēc </w:t>
      </w:r>
      <w:r w:rsidR="00A75AB3">
        <w:rPr>
          <w:lang w:val="lv-LV"/>
        </w:rPr>
        <w:t>CSP</w:t>
      </w:r>
      <w:r w:rsidR="00EF6E23">
        <w:rPr>
          <w:lang w:val="lv-LV"/>
        </w:rPr>
        <w:t xml:space="preserve"> datiem 2016.</w:t>
      </w:r>
      <w:r w:rsidR="00B67B4E">
        <w:rPr>
          <w:lang w:val="lv-LV"/>
        </w:rPr>
        <w:t> </w:t>
      </w:r>
      <w:r w:rsidR="00EF6E23">
        <w:rPr>
          <w:lang w:val="lv-LV"/>
        </w:rPr>
        <w:t>gadā sastādīja 0,44% no IKP, kas ir mazāk nekā 2008.</w:t>
      </w:r>
      <w:r w:rsidR="00B67B4E">
        <w:rPr>
          <w:lang w:val="lv-LV"/>
        </w:rPr>
        <w:t> gadā.</w:t>
      </w:r>
      <w:r w:rsidR="00EF6E23">
        <w:rPr>
          <w:lang w:val="lv-LV"/>
        </w:rPr>
        <w:t xml:space="preserve"> </w:t>
      </w:r>
      <w:r w:rsidR="00B67B4E">
        <w:rPr>
          <w:lang w:val="lv-LV"/>
        </w:rPr>
        <w:t>Š</w:t>
      </w:r>
      <w:r w:rsidR="00EF6E23">
        <w:rPr>
          <w:lang w:val="lv-LV"/>
        </w:rPr>
        <w:t>ī mērķa neizpilde ir ievērojama un tās sagaidāmā ietekme uz tautsaimniecības izaugsmes potenciālu un tā realizāciju ļoti būtiska. Vienlaikus kā pozitīva tendence jāatzīmē augsto tehnoloģiju eksporta īpatsvara pieaugums laikā no 2013.</w:t>
      </w:r>
      <w:r w:rsidR="00B67B4E">
        <w:rPr>
          <w:lang w:val="lv-LV"/>
        </w:rPr>
        <w:t> </w:t>
      </w:r>
      <w:r w:rsidR="00EF6E23">
        <w:rPr>
          <w:lang w:val="lv-LV"/>
        </w:rPr>
        <w:t>gada līdz 2015.</w:t>
      </w:r>
      <w:r w:rsidR="00B67B4E">
        <w:rPr>
          <w:lang w:val="lv-LV"/>
        </w:rPr>
        <w:t> </w:t>
      </w:r>
      <w:r w:rsidR="00EF6E23">
        <w:rPr>
          <w:lang w:val="lv-LV"/>
        </w:rPr>
        <w:t>gadam.</w:t>
      </w:r>
    </w:p>
    <w:p w14:paraId="7C3AA389" w14:textId="5642F317" w:rsidR="00EF6E23" w:rsidRDefault="00EF6E23" w:rsidP="006E261D">
      <w:pPr>
        <w:rPr>
          <w:lang w:val="lv-LV"/>
        </w:rPr>
      </w:pPr>
      <w:r>
        <w:rPr>
          <w:lang w:val="lv-LV"/>
        </w:rPr>
        <w:t>Enerģētikas nozarē jāatzīmē, ka, pateicoties arī</w:t>
      </w:r>
      <w:r w:rsidR="00B67B4E">
        <w:rPr>
          <w:lang w:val="lv-LV"/>
        </w:rPr>
        <w:t xml:space="preserve"> ievērojamam valsts atbalstam, </w:t>
      </w:r>
      <w:r>
        <w:rPr>
          <w:lang w:val="lv-LV"/>
        </w:rPr>
        <w:t>pieaudzis no atjaunojamiem resursiem saražotās enerģijas daudzums enerģijas gala patēriņā</w:t>
      </w:r>
      <w:r w:rsidR="00B67B4E">
        <w:rPr>
          <w:lang w:val="lv-LV"/>
        </w:rPr>
        <w:t>.</w:t>
      </w:r>
      <w:r>
        <w:rPr>
          <w:lang w:val="lv-LV"/>
        </w:rPr>
        <w:t xml:space="preserve"> </w:t>
      </w:r>
      <w:r w:rsidR="00B67B4E">
        <w:rPr>
          <w:lang w:val="lv-LV"/>
        </w:rPr>
        <w:t>V</w:t>
      </w:r>
      <w:r>
        <w:rPr>
          <w:lang w:val="lv-LV"/>
        </w:rPr>
        <w:t xml:space="preserve">ienlaikus tas ir radījis negatīvu ietekmi uz elektroenerģijas cenām patērētājiem, tai skaitā mazinot uzņēmumu konkurētspēju. </w:t>
      </w:r>
      <w:r w:rsidR="00B67B4E">
        <w:rPr>
          <w:lang w:val="lv-LV"/>
        </w:rPr>
        <w:t>Tomēr</w:t>
      </w:r>
      <w:r>
        <w:rPr>
          <w:lang w:val="lv-LV"/>
        </w:rPr>
        <w:t xml:space="preserve"> pozitīva iezīme ir</w:t>
      </w:r>
      <w:r w:rsidR="002A2F88">
        <w:rPr>
          <w:lang w:val="lv-LV"/>
        </w:rPr>
        <w:t xml:space="preserve"> tā</w:t>
      </w:r>
      <w:r>
        <w:rPr>
          <w:lang w:val="lv-LV"/>
        </w:rPr>
        <w:t>, ka energointensitāte tautsaimniecībā samazinās un</w:t>
      </w:r>
      <w:r w:rsidR="00B67B4E">
        <w:rPr>
          <w:lang w:val="lv-LV"/>
        </w:rPr>
        <w:t>,</w:t>
      </w:r>
      <w:r>
        <w:rPr>
          <w:lang w:val="lv-LV"/>
        </w:rPr>
        <w:t xml:space="preserve"> līdzšinējai tendencei turpinoties</w:t>
      </w:r>
      <w:r w:rsidR="00B67B4E">
        <w:rPr>
          <w:lang w:val="lv-LV"/>
        </w:rPr>
        <w:t>,</w:t>
      </w:r>
      <w:r>
        <w:rPr>
          <w:lang w:val="lv-LV"/>
        </w:rPr>
        <w:t xml:space="preserve"> stratēģijas mērķis šajā jomā var tikt sasniegts.</w:t>
      </w:r>
    </w:p>
    <w:p w14:paraId="70A0C4F7" w14:textId="39177C8B" w:rsidR="00EF6E23" w:rsidRDefault="00E72EA3" w:rsidP="006E261D">
      <w:pPr>
        <w:rPr>
          <w:lang w:val="lv-LV"/>
        </w:rPr>
      </w:pPr>
      <w:r w:rsidRPr="00E72EA3">
        <w:rPr>
          <w:b/>
          <w:lang w:val="lv-LV"/>
        </w:rPr>
        <w:t>Prioritātē “Daba kā nākotnes kapitāls”</w:t>
      </w:r>
      <w:r>
        <w:rPr>
          <w:lang w:val="lv-LV"/>
        </w:rPr>
        <w:t xml:space="preserve"> d</w:t>
      </w:r>
      <w:r w:rsidR="00EF6E23">
        <w:rPr>
          <w:lang w:val="lv-LV"/>
        </w:rPr>
        <w:t>abas resursu produktivitāte pēdējo divu gadu laikā nedaudz samazinājusies, kas liecina par nepietiekamu efektivitāti šo resursu izmantošanā vai arī “griestu sasniegšanu” spējā tos pārvērst pievienotajā vērtībā. Bioloģiskās lauksaimniecības platību īpatsvars pēdējo četru gadu laikā praktiski nav mainījies, vienlaikus pieaudzis izmantoto lauksaimniecības zemju īpatsvars no visām lauksaimniecības zemēm. Kopš 2012</w:t>
      </w:r>
      <w:r w:rsidR="00B67B4E">
        <w:rPr>
          <w:lang w:val="lv-LV"/>
        </w:rPr>
        <w:t> </w:t>
      </w:r>
      <w:r w:rsidR="00EF6E23">
        <w:rPr>
          <w:lang w:val="lv-LV"/>
        </w:rPr>
        <w:t>.gada kopumā būtiski uzlabojušies pārstrādāto atkritumu īpatsvara no savāktajiem sadzīves atkritumiem rādītāji, tomēr kopš 2015.</w:t>
      </w:r>
      <w:r w:rsidR="00415AB7">
        <w:rPr>
          <w:lang w:val="lv-LV"/>
        </w:rPr>
        <w:t> </w:t>
      </w:r>
      <w:r w:rsidR="00EF6E23">
        <w:rPr>
          <w:lang w:val="lv-LV"/>
        </w:rPr>
        <w:t xml:space="preserve">gada vērojama </w:t>
      </w:r>
      <w:r w:rsidR="00734FA3">
        <w:rPr>
          <w:lang w:val="lv-LV"/>
        </w:rPr>
        <w:t>šo rādītāju</w:t>
      </w:r>
      <w:r w:rsidR="00EF6E23">
        <w:rPr>
          <w:lang w:val="lv-LV"/>
        </w:rPr>
        <w:t xml:space="preserve"> lejupslīde. Latvija uzrāda ievērojamu uzlabojumu Lauku putnu indeksa rādītājā, 2013.gadā sasniedzot stratēģijas mērķa vērtību. Mežainuma rādītājs </w:t>
      </w:r>
      <w:r w:rsidR="00415AB7">
        <w:rPr>
          <w:lang w:val="lv-LV"/>
        </w:rPr>
        <w:t xml:space="preserve">savukārt </w:t>
      </w:r>
      <w:r w:rsidR="00EF6E23">
        <w:rPr>
          <w:lang w:val="lv-LV"/>
        </w:rPr>
        <w:t xml:space="preserve">ir praktiski nemainīgs, </w:t>
      </w:r>
      <w:r w:rsidR="00415AB7">
        <w:rPr>
          <w:lang w:val="lv-LV"/>
        </w:rPr>
        <w:t>taču</w:t>
      </w:r>
      <w:r w:rsidR="00EF6E23">
        <w:rPr>
          <w:lang w:val="lv-LV"/>
        </w:rPr>
        <w:t xml:space="preserve"> tas neļauj spriest par meža apsaimniekošanas ilgtspēju, bet tikai secināt, ka Latvijas tradicionālā mozaīkveida ainava varētu tikt sekmīgi saglabāta.</w:t>
      </w:r>
    </w:p>
    <w:p w14:paraId="62B11DDB" w14:textId="5A7687E2" w:rsidR="00EF6E23" w:rsidRDefault="00EF6E23" w:rsidP="006E261D">
      <w:pPr>
        <w:rPr>
          <w:lang w:val="lv-LV"/>
        </w:rPr>
      </w:pPr>
      <w:r w:rsidRPr="00415AB7">
        <w:rPr>
          <w:b/>
          <w:lang w:val="lv-LV"/>
        </w:rPr>
        <w:t>Prioritātes “Telpiskās attīstības perspektīva”</w:t>
      </w:r>
      <w:r>
        <w:rPr>
          <w:lang w:val="lv-LV"/>
        </w:rPr>
        <w:t xml:space="preserve"> kontekstā kā būtiskākās attīstības tendences jāatzīmē tas, ka lauku iedzīvotāju/pilsētu iedzīvotāju at</w:t>
      </w:r>
      <w:r w:rsidR="00415AB7">
        <w:rPr>
          <w:lang w:val="lv-LV"/>
        </w:rPr>
        <w:t>tiecība nav būtiski mainījusies. V</w:t>
      </w:r>
      <w:r>
        <w:rPr>
          <w:lang w:val="lv-LV"/>
        </w:rPr>
        <w:t>ienlaikus šeit jāņem vērā, ka šis rādītājs tiek aprēķināts, pamatojoties uz datiem par deklarēto dzīvesvietu, kā arī tas, ka virknei pilsētas tipa apdzīvotu vietu nav pilsētas statusa. 2016.</w:t>
      </w:r>
      <w:r w:rsidR="00415AB7">
        <w:rPr>
          <w:lang w:val="lv-LV"/>
        </w:rPr>
        <w:t> </w:t>
      </w:r>
      <w:r>
        <w:rPr>
          <w:lang w:val="lv-LV"/>
        </w:rPr>
        <w:t>gadā 21% no valsts vietējiem autoceļiem bija ar melno segumu, bet no valsts reģionālajiem autoceļiem tādi bija 84,3%, līdz ar to būtiskākais uzlabojums panākts attiec</w:t>
      </w:r>
      <w:r w:rsidR="00415AB7">
        <w:rPr>
          <w:lang w:val="lv-LV"/>
        </w:rPr>
        <w:t>ībā uz reģionālajiem autoceļiem.</w:t>
      </w:r>
      <w:r>
        <w:rPr>
          <w:lang w:val="lv-LV"/>
        </w:rPr>
        <w:t xml:space="preserve"> </w:t>
      </w:r>
      <w:r w:rsidR="00415AB7">
        <w:rPr>
          <w:lang w:val="lv-LV"/>
        </w:rPr>
        <w:t>V</w:t>
      </w:r>
      <w:r>
        <w:rPr>
          <w:lang w:val="lv-LV"/>
        </w:rPr>
        <w:t xml:space="preserve">ienlaikus jāņem vērā, ka nozīmīga daļa reģionālo autoceļu neatkarīgi no seguma veida ir sliktā vai ļoti sliktā stāvoklī. </w:t>
      </w:r>
      <w:r w:rsidR="00415AB7">
        <w:rPr>
          <w:lang w:val="lv-LV"/>
        </w:rPr>
        <w:t>Tāpat p</w:t>
      </w:r>
      <w:r>
        <w:rPr>
          <w:lang w:val="lv-LV"/>
        </w:rPr>
        <w:t>ieaug Rīgas plānošanas reģiona iedzīvotāju īpatsvars, kas 2017.</w:t>
      </w:r>
      <w:r w:rsidR="00415AB7">
        <w:rPr>
          <w:lang w:val="lv-LV"/>
        </w:rPr>
        <w:t> </w:t>
      </w:r>
      <w:r>
        <w:rPr>
          <w:lang w:val="lv-LV"/>
        </w:rPr>
        <w:t>gada sākumā</w:t>
      </w:r>
      <w:r w:rsidR="00DE445F">
        <w:rPr>
          <w:lang w:val="lv-LV"/>
        </w:rPr>
        <w:t xml:space="preserve"> sasniedzis 51,6% procentus un</w:t>
      </w:r>
      <w:r>
        <w:rPr>
          <w:lang w:val="lv-LV"/>
        </w:rPr>
        <w:t xml:space="preserve"> liecina par reģionālās politikas nepietiekamu efektivitāti. Ņemot vērā ģeopolitisko situāciju un Krievijas Federācijas un ES savstarpēji noteikto sankciju režīmu, pēdējo gadu laikā samazinājies ostu apkalpoto kravu apgrozījums. Latvijas starptautiskās un iekšējās sasniedzamības kontekstā jānorāda, ka uzlabojušies pasažieru skaita rādītāji starptautiskajā lidostā Rīgā un Rīgas ostā, vienlaikus pasažierkilometru skaits dzelzceļa transportā samazinājies līdz 590 miljoniem pasažierkilometru 2015.</w:t>
      </w:r>
      <w:r w:rsidR="00DE445F">
        <w:rPr>
          <w:lang w:val="lv-LV"/>
        </w:rPr>
        <w:t> </w:t>
      </w:r>
      <w:r>
        <w:rPr>
          <w:lang w:val="lv-LV"/>
        </w:rPr>
        <w:t xml:space="preserve">gadā, kas </w:t>
      </w:r>
      <w:r w:rsidR="00DE445F">
        <w:rPr>
          <w:lang w:val="lv-LV"/>
        </w:rPr>
        <w:t xml:space="preserve">ir diametrāli pretēja tendence </w:t>
      </w:r>
      <w:r>
        <w:rPr>
          <w:lang w:val="lv-LV"/>
        </w:rPr>
        <w:t xml:space="preserve">stratēģijā definētajam mērķim. Kopumā secināms, ka dažādu apstākļu ietekmē telpiskās attīstības </w:t>
      </w:r>
      <w:r>
        <w:rPr>
          <w:lang w:val="lv-LV"/>
        </w:rPr>
        <w:lastRenderedPageBreak/>
        <w:t>perspektīvas mērķu īstenošana tikai daļēji atbilst mērķu uzstādījumiem, tādēļ vērtējamas iespējas pārskatīt valsts apdzīvojuma struktūras mērķus un administratīvi teritoriālo struktūru.</w:t>
      </w:r>
    </w:p>
    <w:p w14:paraId="3FD34A94" w14:textId="1DF6DDF4" w:rsidR="00EF6E23" w:rsidRDefault="00EF6E23" w:rsidP="006E261D">
      <w:pPr>
        <w:rPr>
          <w:lang w:val="lv-LV"/>
        </w:rPr>
      </w:pPr>
      <w:r>
        <w:rPr>
          <w:lang w:val="lv-LV"/>
        </w:rPr>
        <w:t>Pārvaldes efektivitātes uzlabošanā Latvija kopumā bijusi sekmīga, jo 2015.</w:t>
      </w:r>
      <w:r w:rsidR="00DE445F">
        <w:rPr>
          <w:lang w:val="lv-LV"/>
        </w:rPr>
        <w:t> </w:t>
      </w:r>
      <w:r>
        <w:rPr>
          <w:lang w:val="lv-LV"/>
        </w:rPr>
        <w:t>gadā Pasaules bankas izstrādātā pārvaldes efektivitātes indeks</w:t>
      </w:r>
      <w:r w:rsidR="00DE445F">
        <w:rPr>
          <w:lang w:val="lv-LV"/>
        </w:rPr>
        <w:t>ā</w:t>
      </w:r>
      <w:r>
        <w:rPr>
          <w:lang w:val="lv-LV"/>
        </w:rPr>
        <w:t>, kurš ietver neatkarīgu institūciju novērtējumu par publisko pakalpojumu kvalitāti, valsts pārvaldes darba kvalitāti un neatkarību no politiska spiediena, vērtība sasniegusi 83,65% salīdzinājumā ar 70,1% 2008.</w:t>
      </w:r>
      <w:r w:rsidR="00DE445F">
        <w:rPr>
          <w:lang w:val="lv-LV"/>
        </w:rPr>
        <w:t> gadā. V</w:t>
      </w:r>
      <w:r>
        <w:rPr>
          <w:lang w:val="lv-LV"/>
        </w:rPr>
        <w:t>ienlaikus 2016.</w:t>
      </w:r>
      <w:r w:rsidR="00DE445F">
        <w:rPr>
          <w:lang w:val="lv-LV"/>
        </w:rPr>
        <w:t> </w:t>
      </w:r>
      <w:r>
        <w:rPr>
          <w:lang w:val="lv-LV"/>
        </w:rPr>
        <w:t>gadā šī indeksa rādītājs samazinājies līdz 78,85% un Latvija ieņem piecdesmito vietu starp indeksa aprēķinā iekļautajām 214 valstīm/teritorijām. Sabiedrības ieinteresētību lēmumu pieņemšanas procesos raksturo tās līdzdalība vēlēšanās – 2017.</w:t>
      </w:r>
      <w:r w:rsidR="00DE445F">
        <w:rPr>
          <w:lang w:val="lv-LV"/>
        </w:rPr>
        <w:t> </w:t>
      </w:r>
      <w:r>
        <w:rPr>
          <w:lang w:val="lv-LV"/>
        </w:rPr>
        <w:t>gada pašvaldību vēlēšanās nobalsoja 50,39% balsstiesīgo iedzīvotāju, bet 2013.</w:t>
      </w:r>
      <w:r w:rsidR="00DE445F">
        <w:rPr>
          <w:lang w:val="lv-LV"/>
        </w:rPr>
        <w:t> </w:t>
      </w:r>
      <w:r>
        <w:rPr>
          <w:lang w:val="lv-LV"/>
        </w:rPr>
        <w:t>gada pašvaldību vēlēšanās 45,99% balsstiesīgo iedzīvotāju. 2014.</w:t>
      </w:r>
      <w:r w:rsidR="00DE445F">
        <w:rPr>
          <w:lang w:val="lv-LV"/>
        </w:rPr>
        <w:t> </w:t>
      </w:r>
      <w:r>
        <w:rPr>
          <w:lang w:val="lv-LV"/>
        </w:rPr>
        <w:t>gadā 12.</w:t>
      </w:r>
      <w:r w:rsidR="00DE445F">
        <w:rPr>
          <w:lang w:val="lv-LV"/>
        </w:rPr>
        <w:t> </w:t>
      </w:r>
      <w:r>
        <w:rPr>
          <w:lang w:val="lv-LV"/>
        </w:rPr>
        <w:t>Saeimas vēlēšanās piedalījās 58,85% balsstiesīgo iedzīvotāju, bet 2010.</w:t>
      </w:r>
      <w:r w:rsidR="00DE445F">
        <w:rPr>
          <w:lang w:val="lv-LV"/>
        </w:rPr>
        <w:t> gadā 11. </w:t>
      </w:r>
      <w:r>
        <w:rPr>
          <w:lang w:val="lv-LV"/>
        </w:rPr>
        <w:t>Saeimas vēlēšanās 59,45% balsstiesīgo iedzīvotāju. Tādējādi secināms, ka iedzīvotāju aktivitāte vēlēšanās nav</w:t>
      </w:r>
      <w:r w:rsidR="00DE445F">
        <w:rPr>
          <w:lang w:val="lv-LV"/>
        </w:rPr>
        <w:t xml:space="preserve"> augsta, bet pietiekami stabila.</w:t>
      </w:r>
      <w:r>
        <w:rPr>
          <w:lang w:val="lv-LV"/>
        </w:rPr>
        <w:t xml:space="preserve"> </w:t>
      </w:r>
      <w:r w:rsidR="00DE445F">
        <w:rPr>
          <w:lang w:val="lv-LV"/>
        </w:rPr>
        <w:t>V</w:t>
      </w:r>
      <w:r>
        <w:rPr>
          <w:lang w:val="lv-LV"/>
        </w:rPr>
        <w:t>ienlaikus kā nozīmīga problēma atzīmējam</w:t>
      </w:r>
      <w:r w:rsidR="007B5D90">
        <w:rPr>
          <w:lang w:val="lv-LV"/>
        </w:rPr>
        <w:t>s</w:t>
      </w:r>
      <w:r>
        <w:rPr>
          <w:lang w:val="lv-LV"/>
        </w:rPr>
        <w:t xml:space="preserve"> tas, ka atbilstoši sabiedriskās domas aptaujām ilgstoši ir ļoti zemi sabiedrības uzticēšanās rādītāji </w:t>
      </w:r>
      <w:r w:rsidR="00D85E82">
        <w:rPr>
          <w:lang w:val="lv-LV"/>
        </w:rPr>
        <w:t>valdībai</w:t>
      </w:r>
      <w:r>
        <w:rPr>
          <w:lang w:val="lv-LV"/>
        </w:rPr>
        <w:t xml:space="preserve"> un Saeimai.</w:t>
      </w:r>
    </w:p>
    <w:p w14:paraId="27E0D873" w14:textId="32D6919B" w:rsidR="00EF6E23" w:rsidRDefault="007B5D90" w:rsidP="006E261D">
      <w:pPr>
        <w:rPr>
          <w:lang w:val="lv-LV"/>
        </w:rPr>
      </w:pPr>
      <w:r>
        <w:rPr>
          <w:lang w:val="lv-LV"/>
        </w:rPr>
        <w:t>2015. </w:t>
      </w:r>
      <w:r w:rsidR="00EF6E23" w:rsidRPr="00111AFE">
        <w:rPr>
          <w:lang w:val="lv-LV"/>
        </w:rPr>
        <w:t xml:space="preserve">gadā ANO Ģenerālajā asamblejā, </w:t>
      </w:r>
      <w:r w:rsidR="00D85E82" w:rsidRPr="00111AFE">
        <w:rPr>
          <w:lang w:val="lv-LV"/>
        </w:rPr>
        <w:t xml:space="preserve">piedaloties </w:t>
      </w:r>
      <w:r w:rsidR="00EF6E23" w:rsidRPr="00111AFE">
        <w:rPr>
          <w:lang w:val="lv-LV"/>
        </w:rPr>
        <w:t>valsts prezidentam R</w:t>
      </w:r>
      <w:r>
        <w:rPr>
          <w:lang w:val="lv-LV"/>
        </w:rPr>
        <w:t>aimondam</w:t>
      </w:r>
      <w:r w:rsidR="00EF6E23" w:rsidRPr="00111AFE">
        <w:rPr>
          <w:lang w:val="lv-LV"/>
        </w:rPr>
        <w:t xml:space="preserve"> Vējonim, </w:t>
      </w:r>
      <w:r w:rsidR="00EF6E23">
        <w:rPr>
          <w:lang w:val="lv-LV"/>
        </w:rPr>
        <w:t>tika pieņemta rezolūcija</w:t>
      </w:r>
      <w:r w:rsidR="00EF6E23" w:rsidRPr="00111AFE">
        <w:rPr>
          <w:lang w:val="lv-LV"/>
        </w:rPr>
        <w:t xml:space="preserve"> </w:t>
      </w:r>
      <w:r w:rsidR="00EF6E23" w:rsidRPr="00111AFE">
        <w:rPr>
          <w:i/>
          <w:lang w:val="lv-LV"/>
        </w:rPr>
        <w:t>Dienaskārtība 2030</w:t>
      </w:r>
      <w:r w:rsidR="00EF6E23" w:rsidRPr="00111AFE">
        <w:rPr>
          <w:lang w:val="lv-LV"/>
        </w:rPr>
        <w:t>. Tā nosaka 17 Ilgtspējīgas attīstības mērķus (IAM) un 169 apakšmērķus nabadzības mazināšanai un ilgtspējīgai attīstībai</w:t>
      </w:r>
      <w:r w:rsidRPr="007B5D90">
        <w:rPr>
          <w:lang w:val="lv-LV"/>
        </w:rPr>
        <w:t xml:space="preserve"> </w:t>
      </w:r>
      <w:r>
        <w:rPr>
          <w:lang w:val="lv-LV"/>
        </w:rPr>
        <w:t>pasaulē</w:t>
      </w:r>
      <w:r w:rsidR="00EF6E23">
        <w:rPr>
          <w:lang w:val="lv-LV"/>
        </w:rPr>
        <w:t xml:space="preserve">. </w:t>
      </w:r>
      <w:r w:rsidR="00EF6E23" w:rsidRPr="00111AFE">
        <w:rPr>
          <w:lang w:val="lv-LV"/>
        </w:rPr>
        <w:t>IAM ir aktuāli visām valstīm un sasniedzami tikai kopīgiem spēkiem, valst</w:t>
      </w:r>
      <w:r>
        <w:rPr>
          <w:lang w:val="lv-LV"/>
        </w:rPr>
        <w:t>īm</w:t>
      </w:r>
      <w:r w:rsidR="00EF6E23" w:rsidRPr="00111AFE">
        <w:rPr>
          <w:lang w:val="lv-LV"/>
        </w:rPr>
        <w:t xml:space="preserve"> koncentrēj</w:t>
      </w:r>
      <w:r>
        <w:rPr>
          <w:lang w:val="lv-LV"/>
        </w:rPr>
        <w:t>otie</w:t>
      </w:r>
      <w:r w:rsidR="00EF6E23" w:rsidRPr="00111AFE">
        <w:rPr>
          <w:lang w:val="lv-LV"/>
        </w:rPr>
        <w:t xml:space="preserve">s uz prioritāriem mērķiem </w:t>
      </w:r>
      <w:r w:rsidR="00EF6E23">
        <w:rPr>
          <w:lang w:val="lv-LV"/>
        </w:rPr>
        <w:t xml:space="preserve">savā </w:t>
      </w:r>
      <w:r w:rsidR="00EF6E23" w:rsidRPr="00111AFE">
        <w:rPr>
          <w:lang w:val="lv-LV"/>
        </w:rPr>
        <w:t>nacionāl</w:t>
      </w:r>
      <w:r w:rsidR="00EF6E23">
        <w:rPr>
          <w:lang w:val="lv-LV"/>
        </w:rPr>
        <w:t>ajā</w:t>
      </w:r>
      <w:r w:rsidR="00EF6E23" w:rsidRPr="00111AFE">
        <w:rPr>
          <w:lang w:val="lv-LV"/>
        </w:rPr>
        <w:t xml:space="preserve"> līmenī.  Latvija</w:t>
      </w:r>
      <w:r w:rsidR="00EF6E23">
        <w:rPr>
          <w:lang w:val="lv-LV"/>
        </w:rPr>
        <w:t>i</w:t>
      </w:r>
      <w:r w:rsidR="00EF6E23" w:rsidRPr="00111AFE">
        <w:rPr>
          <w:lang w:val="lv-LV"/>
        </w:rPr>
        <w:t xml:space="preserve"> </w:t>
      </w:r>
      <w:r w:rsidR="00EF6E23">
        <w:rPr>
          <w:lang w:val="lv-LV"/>
        </w:rPr>
        <w:t>jā</w:t>
      </w:r>
      <w:r w:rsidR="00EF6E23" w:rsidRPr="00111AFE">
        <w:rPr>
          <w:lang w:val="lv-LV"/>
        </w:rPr>
        <w:t>integrē IAM Latvijas plānošanas sistēmā, kas ir iekļaujoša, nodrošina valsts saskaņotu rīcību, plānošanas dokumentu hierarhiju un sasaista plānošanu ar budžetu. Latvijas ilgtspējīgas attīstības stratēģija līdz 2030. gadam ir ilgtspējas plānošanas dokuments, kas tapis ar lielu sabiedrības iesaisti</w:t>
      </w:r>
      <w:r w:rsidR="002A4352">
        <w:rPr>
          <w:lang w:val="lv-LV"/>
        </w:rPr>
        <w:t xml:space="preserve"> un</w:t>
      </w:r>
      <w:r w:rsidR="00EF6E23">
        <w:rPr>
          <w:lang w:val="lv-LV"/>
        </w:rPr>
        <w:t xml:space="preserve"> jau nosaka Latvijas </w:t>
      </w:r>
      <w:r w:rsidR="002A4352">
        <w:rPr>
          <w:lang w:val="lv-LV"/>
        </w:rPr>
        <w:t xml:space="preserve">ilgtspējīgas attīstības </w:t>
      </w:r>
      <w:r w:rsidR="00EF6E23">
        <w:rPr>
          <w:lang w:val="lv-LV"/>
        </w:rPr>
        <w:t xml:space="preserve">mērķus. </w:t>
      </w:r>
    </w:p>
    <w:p w14:paraId="77DC6E98" w14:textId="5230DA52" w:rsidR="00EF6E23" w:rsidRDefault="00EF6E23" w:rsidP="006E261D">
      <w:pPr>
        <w:rPr>
          <w:shd w:val="clear" w:color="auto" w:fill="FFFFFF" w:themeFill="background1"/>
          <w:lang w:val="lv-LV"/>
        </w:rPr>
      </w:pPr>
      <w:r w:rsidRPr="00584784">
        <w:rPr>
          <w:lang w:val="lv-LV"/>
        </w:rPr>
        <w:t>Latvijai jau šobrīd ir politika 16 IAM</w:t>
      </w:r>
      <w:r>
        <w:rPr>
          <w:b/>
          <w:lang w:val="lv-LV"/>
        </w:rPr>
        <w:t xml:space="preserve"> </w:t>
      </w:r>
      <w:r w:rsidRPr="00584784">
        <w:rPr>
          <w:lang w:val="lv-LV"/>
        </w:rPr>
        <w:t>mērķu sasniegšanai</w:t>
      </w:r>
      <w:r>
        <w:rPr>
          <w:lang w:val="lv-LV"/>
        </w:rPr>
        <w:t>. Mērķis par ienākumu nevienlīdzības samazināšanu saskan ar Latvijas vidējā termiņa makromērķi, savukārt 11. mērķi uzrunā trešā prioritāte NAP2020 – Izaugsm</w:t>
      </w:r>
      <w:r w:rsidR="00734FA3">
        <w:rPr>
          <w:lang w:val="lv-LV"/>
        </w:rPr>
        <w:t>i</w:t>
      </w:r>
      <w:r>
        <w:rPr>
          <w:lang w:val="lv-LV"/>
        </w:rPr>
        <w:t xml:space="preserve"> atb</w:t>
      </w:r>
      <w:r w:rsidR="00734FA3">
        <w:rPr>
          <w:lang w:val="lv-LV"/>
        </w:rPr>
        <w:t>a</w:t>
      </w:r>
      <w:r>
        <w:rPr>
          <w:lang w:val="lv-LV"/>
        </w:rPr>
        <w:t>lstošas teritorijas. NAP2020 ir arī atsevišķi rīcības virzieni, kas saskan ar 3. (veselības), 4.(izglītības), un 7. (enerģētikas) mērķi. Taču</w:t>
      </w:r>
      <w:r w:rsidRPr="00111AFE">
        <w:rPr>
          <w:lang w:val="lv-LV"/>
        </w:rPr>
        <w:t xml:space="preserve">, ņemot vērā </w:t>
      </w:r>
      <w:r>
        <w:rPr>
          <w:lang w:val="lv-LV"/>
        </w:rPr>
        <w:t xml:space="preserve">IAM </w:t>
      </w:r>
      <w:r w:rsidRPr="00111AFE">
        <w:rPr>
          <w:lang w:val="lv-LV"/>
        </w:rPr>
        <w:t xml:space="preserve">plašo dabu, analīze veikta </w:t>
      </w:r>
      <w:r w:rsidRPr="00712CDE">
        <w:rPr>
          <w:shd w:val="clear" w:color="auto" w:fill="FFFFFF" w:themeFill="background1"/>
          <w:lang w:val="lv-LV"/>
        </w:rPr>
        <w:t xml:space="preserve">par 169 </w:t>
      </w:r>
      <w:r w:rsidR="002A4352">
        <w:rPr>
          <w:shd w:val="clear" w:color="auto" w:fill="FFFFFF" w:themeFill="background1"/>
          <w:lang w:val="lv-LV"/>
        </w:rPr>
        <w:t xml:space="preserve">IAM </w:t>
      </w:r>
      <w:r w:rsidRPr="00712CDE">
        <w:rPr>
          <w:shd w:val="clear" w:color="auto" w:fill="FFFFFF" w:themeFill="background1"/>
          <w:lang w:val="lv-LV"/>
        </w:rPr>
        <w:t>apakšmērķiem, lai saprastu</w:t>
      </w:r>
      <w:r>
        <w:rPr>
          <w:shd w:val="clear" w:color="auto" w:fill="FFFFFF" w:themeFill="background1"/>
          <w:lang w:val="lv-LV"/>
        </w:rPr>
        <w:t>,</w:t>
      </w:r>
      <w:r w:rsidRPr="00712CDE">
        <w:rPr>
          <w:shd w:val="clear" w:color="auto" w:fill="FFFFFF" w:themeFill="background1"/>
          <w:lang w:val="lv-LV"/>
        </w:rPr>
        <w:t xml:space="preserve"> vai valsts politika ir vērsta uz ANO </w:t>
      </w:r>
      <w:r w:rsidRPr="003C2212">
        <w:rPr>
          <w:shd w:val="clear" w:color="auto" w:fill="FFFFFF" w:themeFill="background1"/>
          <w:lang w:val="lv-LV"/>
        </w:rPr>
        <w:t xml:space="preserve">mērķu sasniegšanu pēc būtības un uzsāktu diskusiju par to, vai </w:t>
      </w:r>
      <w:r w:rsidR="002A4352">
        <w:rPr>
          <w:shd w:val="clear" w:color="auto" w:fill="FFFFFF" w:themeFill="background1"/>
          <w:lang w:val="lv-LV"/>
        </w:rPr>
        <w:t xml:space="preserve">un kādā līmenī </w:t>
      </w:r>
      <w:r w:rsidRPr="003C2212">
        <w:rPr>
          <w:shd w:val="clear" w:color="auto" w:fill="FFFFFF" w:themeFill="background1"/>
          <w:lang w:val="lv-LV"/>
        </w:rPr>
        <w:t xml:space="preserve">valsts </w:t>
      </w:r>
      <w:r>
        <w:rPr>
          <w:shd w:val="clear" w:color="auto" w:fill="FFFFFF" w:themeFill="background1"/>
          <w:lang w:val="lv-LV"/>
        </w:rPr>
        <w:t xml:space="preserve">attīstības </w:t>
      </w:r>
      <w:r w:rsidRPr="003C2212">
        <w:rPr>
          <w:shd w:val="clear" w:color="auto" w:fill="FFFFFF" w:themeFill="background1"/>
          <w:lang w:val="lv-LV"/>
        </w:rPr>
        <w:t>prioritātes ir papildināmas.</w:t>
      </w:r>
    </w:p>
    <w:p w14:paraId="5E8BAD9C" w14:textId="2F94F54F" w:rsidR="00EF6E23" w:rsidRDefault="00EF6E23" w:rsidP="006E261D">
      <w:pPr>
        <w:rPr>
          <w:lang w:val="lv-LV"/>
        </w:rPr>
      </w:pPr>
      <w:r w:rsidRPr="00111AFE">
        <w:rPr>
          <w:lang w:val="lv-LV"/>
        </w:rPr>
        <w:t>Latvija 2030 un Stratēģija ES2020 ietvaros valsts uzrauga nabadzības risku mazināšanu kopumā, kamēr NAP2020 konkrēti uzsver nabadzības risku mazināšanu strādājošiem un ģimenēm ar bērniem</w:t>
      </w:r>
      <w:r>
        <w:rPr>
          <w:lang w:val="lv-LV"/>
        </w:rPr>
        <w:t xml:space="preserve">. </w:t>
      </w:r>
      <w:r w:rsidRPr="00111AFE">
        <w:rPr>
          <w:lang w:val="lv-LV"/>
        </w:rPr>
        <w:t xml:space="preserve">Lai risinātu </w:t>
      </w:r>
      <w:r>
        <w:rPr>
          <w:lang w:val="lv-LV"/>
        </w:rPr>
        <w:t>nabadzības riska mazināšanas jautājumu</w:t>
      </w:r>
      <w:r w:rsidRPr="00111AFE">
        <w:rPr>
          <w:lang w:val="lv-LV"/>
        </w:rPr>
        <w:t xml:space="preserve">, kā arī daļēji risinātu iespēju nevienlīdzību, </w:t>
      </w:r>
      <w:r w:rsidR="00D85E82">
        <w:rPr>
          <w:lang w:val="lv-LV"/>
        </w:rPr>
        <w:t>LM</w:t>
      </w:r>
      <w:r w:rsidRPr="00111AFE">
        <w:rPr>
          <w:lang w:val="lv-LV"/>
        </w:rPr>
        <w:t xml:space="preserve"> ir izstrādājusi Koncepciju par minimālo ienākumu līmeni, </w:t>
      </w:r>
      <w:r w:rsidR="00604B9F">
        <w:rPr>
          <w:lang w:val="lv-LV"/>
        </w:rPr>
        <w:t>taču</w:t>
      </w:r>
      <w:r w:rsidRPr="00111AFE">
        <w:rPr>
          <w:lang w:val="lv-LV"/>
        </w:rPr>
        <w:t xml:space="preserve"> plāns sistēmas ieviešanai un pilnveidošanai</w:t>
      </w:r>
      <w:r w:rsidR="00604B9F" w:rsidRPr="00604B9F">
        <w:rPr>
          <w:lang w:val="lv-LV"/>
        </w:rPr>
        <w:t xml:space="preserve"> </w:t>
      </w:r>
      <w:r w:rsidR="00604B9F" w:rsidRPr="00111AFE">
        <w:rPr>
          <w:lang w:val="lv-LV"/>
        </w:rPr>
        <w:t xml:space="preserve">šobrīd </w:t>
      </w:r>
      <w:r w:rsidR="00D85E82">
        <w:rPr>
          <w:lang w:val="lv-LV"/>
        </w:rPr>
        <w:t>MK</w:t>
      </w:r>
      <w:r w:rsidR="00604B9F">
        <w:rPr>
          <w:lang w:val="lv-LV"/>
        </w:rPr>
        <w:t>vēl nav apstiprināts</w:t>
      </w:r>
      <w:r>
        <w:rPr>
          <w:lang w:val="lv-LV"/>
        </w:rPr>
        <w:t>.</w:t>
      </w:r>
    </w:p>
    <w:p w14:paraId="2F902532" w14:textId="4158EFB3" w:rsidR="00EF6E23" w:rsidRDefault="00EF6E23" w:rsidP="006E261D">
      <w:pPr>
        <w:rPr>
          <w:lang w:val="lv-LV"/>
        </w:rPr>
      </w:pPr>
      <w:r w:rsidRPr="00111AFE">
        <w:rPr>
          <w:lang w:val="lv-LV"/>
        </w:rPr>
        <w:t>Nepietiekama un nekaitīga uztura jautājumi šobrīd tiek risināti ar Eiropas Atbalsta fonda vistrūcīgākajām personām, skolu apgādes programm</w:t>
      </w:r>
      <w:r w:rsidR="00604B9F">
        <w:rPr>
          <w:lang w:val="lv-LV"/>
        </w:rPr>
        <w:t>u</w:t>
      </w:r>
      <w:r w:rsidRPr="00111AFE">
        <w:rPr>
          <w:lang w:val="lv-LV"/>
        </w:rPr>
        <w:t xml:space="preserve"> un sabiedrības veselības </w:t>
      </w:r>
      <w:r w:rsidR="00604B9F">
        <w:rPr>
          <w:lang w:val="lv-LV"/>
        </w:rPr>
        <w:t>iniciatīvu palīdzību</w:t>
      </w:r>
      <w:r w:rsidRPr="00111AFE">
        <w:rPr>
          <w:lang w:val="lv-LV"/>
        </w:rPr>
        <w:t>, un Latvijas gadījum</w:t>
      </w:r>
      <w:r w:rsidR="00604B9F">
        <w:rPr>
          <w:lang w:val="lv-LV"/>
        </w:rPr>
        <w:t>ā</w:t>
      </w:r>
      <w:r w:rsidRPr="00111AFE">
        <w:rPr>
          <w:lang w:val="lv-LV"/>
        </w:rPr>
        <w:t xml:space="preserve"> tie skatāmi nabadzība</w:t>
      </w:r>
      <w:r w:rsidR="00604B9F">
        <w:rPr>
          <w:lang w:val="lv-LV"/>
        </w:rPr>
        <w:t>s</w:t>
      </w:r>
      <w:r w:rsidRPr="00111AFE">
        <w:rPr>
          <w:lang w:val="lv-LV"/>
        </w:rPr>
        <w:t xml:space="preserve"> un veselības mērķu ietvaros. Lauksaimniecības ilgtspējai ANO iesaka divkāršot lauksaimniecības produktivitāti un m</w:t>
      </w:r>
      <w:r>
        <w:rPr>
          <w:lang w:val="lv-LV"/>
        </w:rPr>
        <w:t xml:space="preserve">azo pārtikas ražotāju ienākumus, </w:t>
      </w:r>
      <w:r w:rsidRPr="00111AFE">
        <w:rPr>
          <w:lang w:val="lv-LV"/>
        </w:rPr>
        <w:t xml:space="preserve">kā arī nodrošināt ilgtspējīgas pārtikas ražošanas sistēmas un īstenot noturīgu </w:t>
      </w:r>
      <w:r w:rsidRPr="00604B9F">
        <w:rPr>
          <w:i/>
          <w:lang w:val="lv-LV"/>
        </w:rPr>
        <w:t>(resilient)</w:t>
      </w:r>
      <w:r w:rsidRPr="00111AFE">
        <w:rPr>
          <w:lang w:val="lv-LV"/>
        </w:rPr>
        <w:t xml:space="preserve"> lauksaimniecības praksi, kas palielina produktivitāti un ražošanu, palīdz saglabāt ekosistēmas, nostiprina spēju pielāgoties klimata pārmaiņām un pakāpeniski uzlabo zemes un augsnes kvalitāti.</w:t>
      </w:r>
      <w:r>
        <w:rPr>
          <w:lang w:val="lv-LV"/>
        </w:rPr>
        <w:t xml:space="preserve"> </w:t>
      </w:r>
      <w:r w:rsidRPr="00C30C3A">
        <w:rPr>
          <w:lang w:val="lv-LV"/>
        </w:rPr>
        <w:t xml:space="preserve">Šobrīd Latvijā </w:t>
      </w:r>
      <w:r>
        <w:rPr>
          <w:lang w:val="lv-LV"/>
        </w:rPr>
        <w:t xml:space="preserve">veiktie publisko resursu </w:t>
      </w:r>
      <w:r w:rsidRPr="00C30C3A">
        <w:rPr>
          <w:lang w:val="lv-LV"/>
        </w:rPr>
        <w:t>ieguldījumi</w:t>
      </w:r>
      <w:r w:rsidRPr="00C30C3A" w:rsidDel="00DE136E">
        <w:rPr>
          <w:lang w:val="lv-LV"/>
        </w:rPr>
        <w:t xml:space="preserve"> </w:t>
      </w:r>
      <w:r w:rsidRPr="00C30C3A">
        <w:rPr>
          <w:lang w:val="lv-LV"/>
        </w:rPr>
        <w:t xml:space="preserve">attiecībā uz mazo saimniecību produktivitātes un ienākumu kāpināšanu nav bijuši noteikti </w:t>
      </w:r>
      <w:r>
        <w:rPr>
          <w:lang w:val="lv-LV"/>
        </w:rPr>
        <w:t>kā augstākā prioritāte</w:t>
      </w:r>
      <w:r w:rsidR="00534F7F">
        <w:rPr>
          <w:lang w:val="lv-LV"/>
        </w:rPr>
        <w:t xml:space="preserve">. </w:t>
      </w:r>
      <w:r w:rsidR="00534F7F">
        <w:rPr>
          <w:lang w:val="lv-LV"/>
        </w:rPr>
        <w:lastRenderedPageBreak/>
        <w:t>Tāpat n</w:t>
      </w:r>
      <w:r w:rsidRPr="00111AFE">
        <w:rPr>
          <w:lang w:val="lv-LV"/>
        </w:rPr>
        <w:t>av noteikti bāzes dati</w:t>
      </w:r>
      <w:r>
        <w:rPr>
          <w:lang w:val="lv-LV"/>
        </w:rPr>
        <w:t xml:space="preserve"> par rādītājiem, kas sasniedzami efektīvas zemes izmantošanas scenārijā dažādos L</w:t>
      </w:r>
      <w:r w:rsidR="00534F7F">
        <w:rPr>
          <w:lang w:val="lv-LV"/>
        </w:rPr>
        <w:t>atvijas</w:t>
      </w:r>
      <w:r>
        <w:rPr>
          <w:lang w:val="lv-LV"/>
        </w:rPr>
        <w:t xml:space="preserve"> reģionos</w:t>
      </w:r>
      <w:r w:rsidRPr="00111AFE">
        <w:rPr>
          <w:lang w:val="lv-LV"/>
        </w:rPr>
        <w:t xml:space="preserve"> un nav </w:t>
      </w:r>
      <w:r>
        <w:rPr>
          <w:lang w:val="lv-LV"/>
        </w:rPr>
        <w:t>noteiktas sasniedzamās vērtības nodarbinātībā</w:t>
      </w:r>
      <w:r w:rsidRPr="00111AFE">
        <w:rPr>
          <w:lang w:val="lv-LV"/>
        </w:rPr>
        <w:t>,</w:t>
      </w:r>
      <w:r>
        <w:rPr>
          <w:lang w:val="lv-LV"/>
        </w:rPr>
        <w:t xml:space="preserve"> ievērojot pieejamos dabas resursus, to izmantošanas pakāpi un potenciālu, kā arī iegūtās produkcijas pārstrādes iespējas.</w:t>
      </w:r>
      <w:r w:rsidRPr="00111AFE">
        <w:rPr>
          <w:lang w:val="lv-LV"/>
        </w:rPr>
        <w:t xml:space="preserve">  </w:t>
      </w:r>
    </w:p>
    <w:p w14:paraId="47EFBBBE" w14:textId="2326F7F1" w:rsidR="00EF6E23" w:rsidRDefault="00EF6E23" w:rsidP="00534F7F">
      <w:pPr>
        <w:rPr>
          <w:lang w:val="lv-LV"/>
        </w:rPr>
      </w:pPr>
      <w:r w:rsidRPr="00111AFE">
        <w:rPr>
          <w:lang w:val="lv-LV"/>
        </w:rPr>
        <w:t xml:space="preserve">Sabiedrības veselības pamatnostādnes 2014.–2020.gadam ir vērstas uz </w:t>
      </w:r>
      <w:r w:rsidR="00534F7F">
        <w:rPr>
          <w:lang w:val="lv-LV"/>
        </w:rPr>
        <w:t xml:space="preserve">vairāku IAM </w:t>
      </w:r>
      <w:r w:rsidRPr="00111AFE">
        <w:rPr>
          <w:lang w:val="lv-LV"/>
        </w:rPr>
        <w:t>apakšmērķu sasniegšanu, un valdība ir noteikusi veselības aprūp</w:t>
      </w:r>
      <w:r w:rsidR="00534F7F">
        <w:rPr>
          <w:lang w:val="lv-LV"/>
        </w:rPr>
        <w:t>i</w:t>
      </w:r>
      <w:r w:rsidRPr="00111AFE">
        <w:rPr>
          <w:lang w:val="lv-LV"/>
        </w:rPr>
        <w:t xml:space="preserve"> par prioritāti 2018.</w:t>
      </w:r>
      <w:r w:rsidR="00534F7F">
        <w:rPr>
          <w:lang w:val="lv-LV"/>
        </w:rPr>
        <w:t> </w:t>
      </w:r>
      <w:r w:rsidRPr="00111AFE">
        <w:rPr>
          <w:lang w:val="lv-LV"/>
        </w:rPr>
        <w:t>-2021.</w:t>
      </w:r>
      <w:r w:rsidR="00534F7F">
        <w:rPr>
          <w:lang w:val="lv-LV"/>
        </w:rPr>
        <w:t> </w:t>
      </w:r>
      <w:r w:rsidRPr="00111AFE">
        <w:rPr>
          <w:lang w:val="lv-LV"/>
        </w:rPr>
        <w:t xml:space="preserve">gada budžeta ietvarā. Gan </w:t>
      </w:r>
      <w:r w:rsidR="00D85E82">
        <w:rPr>
          <w:lang w:val="lv-LV"/>
        </w:rPr>
        <w:t>VM</w:t>
      </w:r>
      <w:r w:rsidRPr="00111AFE">
        <w:rPr>
          <w:lang w:val="lv-LV"/>
        </w:rPr>
        <w:t xml:space="preserve">, gan </w:t>
      </w:r>
      <w:r w:rsidR="00D85E82">
        <w:rPr>
          <w:lang w:val="lv-LV"/>
        </w:rPr>
        <w:t>IeM</w:t>
      </w:r>
      <w:r w:rsidRPr="00111AFE">
        <w:rPr>
          <w:lang w:val="lv-LV"/>
        </w:rPr>
        <w:t xml:space="preserve"> ierosina nākamajām periodam atsevišķi izstrādāt politikas dokumentu vielu, tostarp narkotisko vielu un alkohola, pārmērīgas lietošanas novēršanai un ārstēšanai</w:t>
      </w:r>
      <w:r>
        <w:rPr>
          <w:lang w:val="lv-LV"/>
        </w:rPr>
        <w:t xml:space="preserve"> (3.5 </w:t>
      </w:r>
      <w:r w:rsidRPr="00111AFE">
        <w:rPr>
          <w:lang w:val="lv-LV"/>
        </w:rPr>
        <w:t>apakšmērķis).</w:t>
      </w:r>
      <w:r>
        <w:rPr>
          <w:lang w:val="lv-LV"/>
        </w:rPr>
        <w:t xml:space="preserve"> </w:t>
      </w:r>
      <w:r w:rsidR="004C2494">
        <w:rPr>
          <w:lang w:val="lv-LV"/>
        </w:rPr>
        <w:t>Attiecībā uz apakšmērķi</w:t>
      </w:r>
      <w:r w:rsidRPr="00111AFE">
        <w:rPr>
          <w:lang w:val="lv-LV"/>
        </w:rPr>
        <w:t xml:space="preserve"> 3.7. </w:t>
      </w:r>
      <w:r w:rsidRPr="00111AFE">
        <w:rPr>
          <w:i/>
          <w:lang w:val="lv-LV"/>
        </w:rPr>
        <w:t>Līdz 2030. gadam nodrošināt vispārēju piekļuvi seksuālās un reproduktīvās veselības aprūpes pakalpojumiem, tostarp ģimenes plānošanas, informēšanas un izglītošanas nolūkos, un iekļaut reproduktīvās veselības veicināšanu v</w:t>
      </w:r>
      <w:r w:rsidR="004C2494">
        <w:rPr>
          <w:i/>
          <w:lang w:val="lv-LV"/>
        </w:rPr>
        <w:t>alstu stratēģijās un programmās</w:t>
      </w:r>
      <w:r w:rsidRPr="00111AFE">
        <w:rPr>
          <w:i/>
          <w:lang w:val="lv-LV"/>
        </w:rPr>
        <w:t xml:space="preserve"> </w:t>
      </w:r>
      <w:r w:rsidRPr="00C30C3A">
        <w:rPr>
          <w:lang w:val="lv-LV"/>
        </w:rPr>
        <w:t>jākonstatē, ka</w:t>
      </w:r>
      <w:r>
        <w:rPr>
          <w:lang w:val="lv-LV"/>
        </w:rPr>
        <w:t>,</w:t>
      </w:r>
      <w:r w:rsidRPr="00C30C3A">
        <w:rPr>
          <w:lang w:val="lv-LV"/>
        </w:rPr>
        <w:t xml:space="preserve"> </w:t>
      </w:r>
      <w:r w:rsidRPr="00111AFE">
        <w:rPr>
          <w:lang w:val="lv-LV"/>
        </w:rPr>
        <w:t>lai gan Latvijas veselības politika ir vērsta uz mā</w:t>
      </w:r>
      <w:r w:rsidR="004C2494">
        <w:rPr>
          <w:lang w:val="lv-LV"/>
        </w:rPr>
        <w:t>tes</w:t>
      </w:r>
      <w:r w:rsidRPr="00111AFE">
        <w:rPr>
          <w:lang w:val="lv-LV"/>
        </w:rPr>
        <w:t xml:space="preserve"> reproduktīvo veselību, sistemātiski netiek risināta šī apakšmērķa īstenošana pirms grūtniecības iestāšanās.</w:t>
      </w:r>
    </w:p>
    <w:p w14:paraId="168EE504" w14:textId="3D60E94C" w:rsidR="00EF6E23" w:rsidRPr="00111AFE" w:rsidRDefault="00EF6E23" w:rsidP="00534F7F">
      <w:pPr>
        <w:rPr>
          <w:lang w:val="lv-LV"/>
        </w:rPr>
      </w:pPr>
      <w:r w:rsidRPr="00111AFE">
        <w:rPr>
          <w:lang w:val="lv-LV"/>
        </w:rPr>
        <w:t>Lai gan valdība regulāri tiek informēta par ANO Pekinas Rīcības platformas dzimumu līdztiesīb</w:t>
      </w:r>
      <w:r w:rsidR="004C2494">
        <w:rPr>
          <w:lang w:val="lv-LV"/>
        </w:rPr>
        <w:t>a</w:t>
      </w:r>
      <w:r w:rsidRPr="00111AFE">
        <w:rPr>
          <w:lang w:val="lv-LV"/>
        </w:rPr>
        <w:t xml:space="preserve">s īstenošanu Latvijā, kā arī dzimumu līdztiesība ir horizontāls cilvēktiesību jautājums ikkatrā politikā, un Latvija paredz 8% no oficiālās attīstības palīdzības virzīt </w:t>
      </w:r>
      <w:r w:rsidR="004C2494">
        <w:rPr>
          <w:lang w:val="lv-LV"/>
        </w:rPr>
        <w:t>atbalstam</w:t>
      </w:r>
      <w:r w:rsidRPr="00111AFE">
        <w:rPr>
          <w:lang w:val="lv-LV"/>
        </w:rPr>
        <w:t xml:space="preserve"> dzimumu līdztiesības stiprināšanai</w:t>
      </w:r>
      <w:r w:rsidR="004C2494" w:rsidRPr="004C2494">
        <w:rPr>
          <w:lang w:val="lv-LV"/>
        </w:rPr>
        <w:t xml:space="preserve"> </w:t>
      </w:r>
      <w:r w:rsidR="004C2494" w:rsidRPr="00111AFE">
        <w:rPr>
          <w:lang w:val="lv-LV"/>
        </w:rPr>
        <w:t>citā</w:t>
      </w:r>
      <w:r w:rsidR="004C2494">
        <w:rPr>
          <w:lang w:val="lv-LV"/>
        </w:rPr>
        <w:t>s</w:t>
      </w:r>
      <w:r w:rsidR="004C2494" w:rsidRPr="00111AFE">
        <w:rPr>
          <w:lang w:val="lv-LV"/>
        </w:rPr>
        <w:t xml:space="preserve"> valstī</w:t>
      </w:r>
      <w:r w:rsidR="004C2494">
        <w:rPr>
          <w:lang w:val="lv-LV"/>
        </w:rPr>
        <w:t>s</w:t>
      </w:r>
      <w:r w:rsidRPr="00111AFE">
        <w:rPr>
          <w:lang w:val="lv-LV"/>
        </w:rPr>
        <w:t>, šis ir vienīgais ilgtspēj</w:t>
      </w:r>
      <w:r>
        <w:rPr>
          <w:lang w:val="lv-LV"/>
        </w:rPr>
        <w:t>īgas attīstības mērķis, kura īstenošanai</w:t>
      </w:r>
      <w:r w:rsidRPr="00111AFE">
        <w:rPr>
          <w:lang w:val="lv-LV"/>
        </w:rPr>
        <w:t xml:space="preserve"> Latvijā </w:t>
      </w:r>
      <w:r>
        <w:rPr>
          <w:lang w:val="lv-LV"/>
        </w:rPr>
        <w:t>nav esošas</w:t>
      </w:r>
      <w:r w:rsidRPr="00111AFE">
        <w:rPr>
          <w:lang w:val="lv-LV"/>
        </w:rPr>
        <w:t xml:space="preserve"> politikas. Politikas esamība ir aktuāla, jo valstī </w:t>
      </w:r>
      <w:r>
        <w:rPr>
          <w:lang w:val="lv-LV"/>
        </w:rPr>
        <w:t>pastāv</w:t>
      </w:r>
      <w:r w:rsidRPr="00111AFE">
        <w:rPr>
          <w:lang w:val="lv-LV"/>
        </w:rPr>
        <w:t xml:space="preserve"> segregācija darba tirg</w:t>
      </w:r>
      <w:r w:rsidR="004C2494">
        <w:rPr>
          <w:lang w:val="lv-LV"/>
        </w:rPr>
        <w:t>ū</w:t>
      </w:r>
      <w:r w:rsidRPr="00111AFE">
        <w:rPr>
          <w:lang w:val="lv-LV"/>
        </w:rPr>
        <w:t xml:space="preserve"> un izglītībā, kā arī </w:t>
      </w:r>
      <w:r>
        <w:rPr>
          <w:lang w:val="lv-LV"/>
        </w:rPr>
        <w:t xml:space="preserve">pastāv nelabvēlīgi </w:t>
      </w:r>
      <w:r w:rsidRPr="00111AFE">
        <w:rPr>
          <w:lang w:val="lv-LV"/>
        </w:rPr>
        <w:t xml:space="preserve">vardarbības pret sievietēm rādītāji. </w:t>
      </w:r>
    </w:p>
    <w:p w14:paraId="02F47CBC" w14:textId="4F8F2CF4" w:rsidR="00EF6E23" w:rsidRPr="00111AFE" w:rsidRDefault="00EF6E23" w:rsidP="00534F7F">
      <w:pPr>
        <w:rPr>
          <w:lang w:val="lv-LV"/>
        </w:rPr>
      </w:pPr>
      <w:r w:rsidRPr="00111AFE">
        <w:rPr>
          <w:lang w:val="lv-LV"/>
        </w:rPr>
        <w:t xml:space="preserve">Ņemot vērā dzimstību, sabiedrības novecošanos un augstos nodarbinātības </w:t>
      </w:r>
      <w:r w:rsidR="004C2494">
        <w:rPr>
          <w:lang w:val="lv-LV"/>
        </w:rPr>
        <w:t>rādītājus</w:t>
      </w:r>
      <w:r w:rsidRPr="00111AFE">
        <w:rPr>
          <w:lang w:val="lv-LV"/>
        </w:rPr>
        <w:t>, aktualizējas “sendviča paaudzes” dilemmas (vidējā paaudze strādā, aprūpē gan bērnus</w:t>
      </w:r>
      <w:r w:rsidR="00DB6FF6">
        <w:rPr>
          <w:lang w:val="lv-LV"/>
        </w:rPr>
        <w:t>,</w:t>
      </w:r>
      <w:r w:rsidRPr="00111AFE">
        <w:rPr>
          <w:lang w:val="lv-LV"/>
        </w:rPr>
        <w:t xml:space="preserve"> gan savus vecākus), </w:t>
      </w:r>
      <w:r w:rsidR="00DB6FF6">
        <w:rPr>
          <w:lang w:val="lv-LV"/>
        </w:rPr>
        <w:t xml:space="preserve">tāpat </w:t>
      </w:r>
      <w:r>
        <w:rPr>
          <w:lang w:val="lv-LV"/>
        </w:rPr>
        <w:t>aktualizējams</w:t>
      </w:r>
      <w:r w:rsidRPr="00111AFE">
        <w:rPr>
          <w:lang w:val="lv-LV"/>
        </w:rPr>
        <w:t xml:space="preserve"> 5.4</w:t>
      </w:r>
      <w:r w:rsidR="00DB6FF6">
        <w:rPr>
          <w:lang w:val="lv-LV"/>
        </w:rPr>
        <w:t>.</w:t>
      </w:r>
      <w:r w:rsidRPr="00111AFE">
        <w:rPr>
          <w:lang w:val="lv-LV"/>
        </w:rPr>
        <w:t xml:space="preserve"> apakšmērķi</w:t>
      </w:r>
      <w:r>
        <w:rPr>
          <w:lang w:val="lv-LV"/>
        </w:rPr>
        <w:t>s</w:t>
      </w:r>
      <w:r w:rsidRPr="00111AFE">
        <w:rPr>
          <w:lang w:val="lv-LV"/>
        </w:rPr>
        <w:t xml:space="preserve"> - atzīt un novērtēt bezmaksas aprūpi un mājsaimniecības darbus. Pirmais solis </w:t>
      </w:r>
      <w:r w:rsidR="00DB6FF6">
        <w:rPr>
          <w:lang w:val="lv-LV"/>
        </w:rPr>
        <w:t xml:space="preserve">šajā virzienā </w:t>
      </w:r>
      <w:r>
        <w:rPr>
          <w:lang w:val="lv-LV"/>
        </w:rPr>
        <w:t>būtu</w:t>
      </w:r>
      <w:r w:rsidRPr="00111AFE">
        <w:rPr>
          <w:lang w:val="lv-LV"/>
        </w:rPr>
        <w:t xml:space="preserve"> radīt izmaiņas statistikas uzskaitē par nodarbinātību. </w:t>
      </w:r>
    </w:p>
    <w:p w14:paraId="5EEF847E" w14:textId="13FF58C2" w:rsidR="00EF6E23" w:rsidRDefault="00EF6E23" w:rsidP="00534F7F">
      <w:pPr>
        <w:rPr>
          <w:lang w:val="lv-LV"/>
        </w:rPr>
      </w:pPr>
      <w:r w:rsidRPr="00111AFE">
        <w:rPr>
          <w:lang w:val="lv-LV"/>
        </w:rPr>
        <w:t>Infrastruktūra mobilitātei</w:t>
      </w:r>
      <w:r>
        <w:rPr>
          <w:lang w:val="lv-LV"/>
        </w:rPr>
        <w:t xml:space="preserve"> un</w:t>
      </w:r>
      <w:r w:rsidRPr="00111AFE">
        <w:rPr>
          <w:lang w:val="lv-LV"/>
        </w:rPr>
        <w:t xml:space="preserve"> inovācij</w:t>
      </w:r>
      <w:r>
        <w:rPr>
          <w:lang w:val="lv-LV"/>
        </w:rPr>
        <w:t>u sekmēšana</w:t>
      </w:r>
      <w:r w:rsidRPr="00111AFE">
        <w:rPr>
          <w:lang w:val="lv-LV"/>
        </w:rPr>
        <w:t xml:space="preserve"> ir t</w:t>
      </w:r>
      <w:r>
        <w:rPr>
          <w:lang w:val="lv-LV"/>
        </w:rPr>
        <w:t>ā</w:t>
      </w:r>
      <w:r w:rsidRPr="00111AFE">
        <w:rPr>
          <w:lang w:val="lv-LV"/>
        </w:rPr>
        <w:t>s NAP2020 prioritātes, kuru nozīme visdrīzāk nemainīsies līdz 2030.</w:t>
      </w:r>
      <w:r w:rsidR="00DB6FF6">
        <w:rPr>
          <w:lang w:val="lv-LV"/>
        </w:rPr>
        <w:t> </w:t>
      </w:r>
      <w:r w:rsidRPr="00111AFE">
        <w:rPr>
          <w:lang w:val="lv-LV"/>
        </w:rPr>
        <w:t>gadam, taču</w:t>
      </w:r>
      <w:r>
        <w:rPr>
          <w:lang w:val="lv-LV"/>
        </w:rPr>
        <w:t xml:space="preserve"> attiecībā u</w:t>
      </w:r>
      <w:r w:rsidR="00DB6FF6">
        <w:rPr>
          <w:lang w:val="lv-LV"/>
        </w:rPr>
        <w:t>z ilgtspējīgu industrializāciju</w:t>
      </w:r>
      <w:r w:rsidRPr="00111AFE">
        <w:rPr>
          <w:lang w:val="lv-LV"/>
        </w:rPr>
        <w:t xml:space="preserve"> IAM </w:t>
      </w:r>
      <w:r>
        <w:rPr>
          <w:lang w:val="lv-LV"/>
        </w:rPr>
        <w:t>paredz p</w:t>
      </w:r>
      <w:r w:rsidRPr="0023640B">
        <w:rPr>
          <w:lang w:val="lv-LV"/>
        </w:rPr>
        <w:t>alielināt maz</w:t>
      </w:r>
      <w:r>
        <w:rPr>
          <w:lang w:val="lv-LV"/>
        </w:rPr>
        <w:t xml:space="preserve">o rūpniecības un citu uzņēmumu </w:t>
      </w:r>
      <w:r w:rsidRPr="0023640B">
        <w:rPr>
          <w:lang w:val="lv-LV"/>
        </w:rPr>
        <w:t>piekļuvi finanšu</w:t>
      </w:r>
      <w:r w:rsidR="00734FA3">
        <w:rPr>
          <w:lang w:val="lv-LV"/>
        </w:rPr>
        <w:t xml:space="preserve"> pakalpojumiem, tostarp pieejamie</w:t>
      </w:r>
      <w:r w:rsidRPr="0023640B">
        <w:rPr>
          <w:lang w:val="lv-LV"/>
        </w:rPr>
        <w:t>m kredīt</w:t>
      </w:r>
      <w:r w:rsidR="00734FA3">
        <w:rPr>
          <w:lang w:val="lv-LV"/>
        </w:rPr>
        <w:t>ie</w:t>
      </w:r>
      <w:r w:rsidRPr="0023640B">
        <w:rPr>
          <w:lang w:val="lv-LV"/>
        </w:rPr>
        <w:t>m, un šādu uzņēmumu integrāciju pievienotās vērtības veidošanas ķēdēs un tirgos</w:t>
      </w:r>
      <w:r>
        <w:rPr>
          <w:lang w:val="lv-LV"/>
        </w:rPr>
        <w:t xml:space="preserve">. </w:t>
      </w:r>
      <w:r w:rsidRPr="00111AFE">
        <w:rPr>
          <w:lang w:val="lv-LV"/>
        </w:rPr>
        <w:t>Ne Nacionālās industriālās politikas pamatnostādnēs 2014.-2020.gadam, ne</w:t>
      </w:r>
      <w:r>
        <w:rPr>
          <w:lang w:val="lv-LV"/>
        </w:rPr>
        <w:t xml:space="preserve"> </w:t>
      </w:r>
      <w:r w:rsidRPr="00111AFE">
        <w:rPr>
          <w:lang w:val="lv-LV"/>
        </w:rPr>
        <w:t>Latvijas preču un pakalpojumu eksporta veicināšanas un ārvalstu investīciju piesaistes pamatnostādnēs 2013.-2019</w:t>
      </w:r>
      <w:r w:rsidR="00DB6FF6">
        <w:rPr>
          <w:lang w:val="lv-LV"/>
        </w:rPr>
        <w:t> </w:t>
      </w:r>
      <w:r w:rsidRPr="00111AFE">
        <w:rPr>
          <w:lang w:val="lv-LV"/>
        </w:rPr>
        <w:t xml:space="preserve">.gadam nav </w:t>
      </w:r>
      <w:r w:rsidR="00DB6FF6">
        <w:rPr>
          <w:lang w:val="lv-LV"/>
        </w:rPr>
        <w:t xml:space="preserve">identificējami </w:t>
      </w:r>
      <w:r>
        <w:rPr>
          <w:lang w:val="lv-LV"/>
        </w:rPr>
        <w:t xml:space="preserve">šim </w:t>
      </w:r>
      <w:r w:rsidRPr="00111AFE">
        <w:rPr>
          <w:lang w:val="lv-LV"/>
        </w:rPr>
        <w:t>mērķi</w:t>
      </w:r>
      <w:r w:rsidR="00734FA3">
        <w:rPr>
          <w:lang w:val="lv-LV"/>
        </w:rPr>
        <w:t>m atbilstoši politikas mērķi</w:t>
      </w:r>
      <w:r>
        <w:rPr>
          <w:lang w:val="lv-LV"/>
        </w:rPr>
        <w:t>.</w:t>
      </w:r>
    </w:p>
    <w:p w14:paraId="64002045" w14:textId="725CC669" w:rsidR="00EF6E23" w:rsidRDefault="00EF6E23" w:rsidP="00DB6FF6">
      <w:pPr>
        <w:rPr>
          <w:lang w:val="lv-LV"/>
        </w:rPr>
      </w:pPr>
      <w:r>
        <w:rPr>
          <w:lang w:val="lv-LV"/>
        </w:rPr>
        <w:t xml:space="preserve">Nevienlīdzības samazināšana valstu iekšienē ir vērsta uz </w:t>
      </w:r>
      <w:r w:rsidRPr="00321272">
        <w:rPr>
          <w:i/>
          <w:lang w:val="lv-LV"/>
        </w:rPr>
        <w:t>ienākumu</w:t>
      </w:r>
      <w:r>
        <w:rPr>
          <w:lang w:val="lv-LV"/>
        </w:rPr>
        <w:t xml:space="preserve"> nevienlīdzības mazināšanu, kas ir viens no trim NAP2020 makromērķiem. Savukārt IAM tiek uzsvērta </w:t>
      </w:r>
      <w:r w:rsidRPr="00321272">
        <w:rPr>
          <w:i/>
          <w:lang w:val="lv-LV"/>
        </w:rPr>
        <w:t>iespēju</w:t>
      </w:r>
      <w:r>
        <w:rPr>
          <w:lang w:val="lv-LV"/>
        </w:rPr>
        <w:t xml:space="preserve"> nevienlīdzības ma</w:t>
      </w:r>
      <w:r w:rsidR="00F13025">
        <w:rPr>
          <w:lang w:val="lv-LV"/>
        </w:rPr>
        <w:t>zināšana, kas skar izglītības,</w:t>
      </w:r>
      <w:r>
        <w:rPr>
          <w:lang w:val="lv-LV"/>
        </w:rPr>
        <w:t xml:space="preserve"> veselības un citu resursu pie</w:t>
      </w:r>
      <w:r w:rsidR="00F13025">
        <w:rPr>
          <w:lang w:val="lv-LV"/>
        </w:rPr>
        <w:t xml:space="preserve">ejamību. Nevienlīdzības </w:t>
      </w:r>
      <w:r>
        <w:rPr>
          <w:lang w:val="lv-LV"/>
        </w:rPr>
        <w:t xml:space="preserve">mazināšana starp </w:t>
      </w:r>
      <w:r w:rsidR="00D85E82">
        <w:rPr>
          <w:lang w:val="lv-LV"/>
        </w:rPr>
        <w:t>ES</w:t>
      </w:r>
      <w:r>
        <w:rPr>
          <w:lang w:val="lv-LV"/>
        </w:rPr>
        <w:t xml:space="preserve"> valstīm saistīta ar Latvijas iedzīvotāju emigrāciju no Latvijas un ES Kohēzijas politikas n</w:t>
      </w:r>
      <w:r w:rsidR="00F13025">
        <w:rPr>
          <w:lang w:val="lv-LV"/>
        </w:rPr>
        <w:t xml:space="preserve">epieciešamību. Nevienlīdzības </w:t>
      </w:r>
      <w:r>
        <w:rPr>
          <w:lang w:val="lv-LV"/>
        </w:rPr>
        <w:t xml:space="preserve">mazināšanas prioritāte kopīgā </w:t>
      </w:r>
      <w:r w:rsidR="00D85E82">
        <w:rPr>
          <w:lang w:val="lv-LV"/>
        </w:rPr>
        <w:t>ES</w:t>
      </w:r>
      <w:r>
        <w:rPr>
          <w:lang w:val="lv-LV"/>
        </w:rPr>
        <w:t xml:space="preserve"> ārpolitikā attiecībā uz citiem pasaules reģioniem ietekmē imigrācijas plūsmas uz Eiropu. Lai globalizācijas laikmetā noturētu resursus Latvijā un mazinātu nevienlīdzību starp Latvijas iedzīvotājiem, </w:t>
      </w:r>
      <w:r w:rsidRPr="00111AFE">
        <w:rPr>
          <w:lang w:val="lv-LV"/>
        </w:rPr>
        <w:t>Finanšu ministrija</w:t>
      </w:r>
      <w:r>
        <w:rPr>
          <w:lang w:val="lv-LV"/>
        </w:rPr>
        <w:t>s priekšlikums ir</w:t>
      </w:r>
      <w:r w:rsidRPr="00111AFE">
        <w:rPr>
          <w:lang w:val="lv-LV"/>
        </w:rPr>
        <w:t xml:space="preserve"> </w:t>
      </w:r>
      <w:r>
        <w:rPr>
          <w:lang w:val="lv-LV"/>
        </w:rPr>
        <w:t>finanšu sektora attīstību kā prioritāti iekļaut NAP2021+</w:t>
      </w:r>
      <w:r w:rsidRPr="00111AFE">
        <w:rPr>
          <w:lang w:val="lv-LV"/>
        </w:rPr>
        <w:t xml:space="preserve">: </w:t>
      </w:r>
      <w:r w:rsidRPr="00111AFE">
        <w:rPr>
          <w:i/>
          <w:lang w:val="lv-LV"/>
        </w:rPr>
        <w:t xml:space="preserve">Attīstīt stabilu, drošu un starptautiski konkurētspējīgu finanšu sektoru ar inovatīvu finanšu pakalpojumu pieejamību, kas nodrošina ilgtspējīgu Latvijas tautsaimniecības izaugsmi un Latvijas kā reģionālā finanšu pakalpojumu centra pozīcijas nostiprināšanu, </w:t>
      </w:r>
      <w:r w:rsidR="00734FA3" w:rsidRPr="00734FA3">
        <w:rPr>
          <w:lang w:val="lv-LV"/>
        </w:rPr>
        <w:t>realizējot to,</w:t>
      </w:r>
      <w:r w:rsidR="00734FA3">
        <w:rPr>
          <w:i/>
          <w:lang w:val="lv-LV"/>
        </w:rPr>
        <w:t xml:space="preserve"> </w:t>
      </w:r>
      <w:r w:rsidRPr="00111AFE">
        <w:rPr>
          <w:lang w:val="lv-LV"/>
        </w:rPr>
        <w:t>piemēram</w:t>
      </w:r>
      <w:r w:rsidR="00F13025">
        <w:rPr>
          <w:lang w:val="lv-LV"/>
        </w:rPr>
        <w:t>,</w:t>
      </w:r>
      <w:r w:rsidRPr="00111AFE">
        <w:rPr>
          <w:lang w:val="lv-LV"/>
        </w:rPr>
        <w:t xml:space="preserve"> </w:t>
      </w:r>
      <w:r>
        <w:rPr>
          <w:lang w:val="lv-LV"/>
        </w:rPr>
        <w:t xml:space="preserve">ar </w:t>
      </w:r>
      <w:r w:rsidRPr="00111AFE">
        <w:rPr>
          <w:lang w:val="lv-LV"/>
        </w:rPr>
        <w:t>kreditēšanas tempa palielināšanu rezidentu mājsaimniecībām un uzņēmumiem, nodrošinot finansējuma pieejamību maziem un vidējiem komersantiem</w:t>
      </w:r>
      <w:r w:rsidR="00734FA3">
        <w:rPr>
          <w:lang w:val="lv-LV"/>
        </w:rPr>
        <w:t xml:space="preserve"> un</w:t>
      </w:r>
      <w:r w:rsidRPr="00111AFE">
        <w:rPr>
          <w:lang w:val="lv-LV"/>
        </w:rPr>
        <w:t xml:space="preserve"> paplašinot brīvprātīgo apdrošināšanas pakalpojumu veidu izmantošanu Latvij</w:t>
      </w:r>
      <w:r>
        <w:rPr>
          <w:lang w:val="lv-LV"/>
        </w:rPr>
        <w:t xml:space="preserve">ā. </w:t>
      </w:r>
    </w:p>
    <w:p w14:paraId="73E2E043" w14:textId="72535B71" w:rsidR="00EF6E23" w:rsidRDefault="00EF6E23" w:rsidP="00DB6FF6">
      <w:pPr>
        <w:rPr>
          <w:lang w:val="lv-LV"/>
        </w:rPr>
      </w:pPr>
      <w:r>
        <w:rPr>
          <w:lang w:val="lv-LV"/>
        </w:rPr>
        <w:t>Latvijai noteikti ir aktuāls</w:t>
      </w:r>
      <w:r w:rsidRPr="00111AFE">
        <w:rPr>
          <w:lang w:val="lv-LV"/>
        </w:rPr>
        <w:t xml:space="preserve"> 11.1 apakšmērķi</w:t>
      </w:r>
      <w:r>
        <w:rPr>
          <w:lang w:val="lv-LV"/>
        </w:rPr>
        <w:t xml:space="preserve">s </w:t>
      </w:r>
      <w:r w:rsidR="00D85E82">
        <w:rPr>
          <w:lang w:val="lv-LV"/>
        </w:rPr>
        <w:t>l</w:t>
      </w:r>
      <w:r w:rsidRPr="00111AFE">
        <w:rPr>
          <w:i/>
          <w:lang w:val="lv-LV"/>
        </w:rPr>
        <w:t xml:space="preserve">īdz 2030. gadam nodrošināt visiem piekļuvi pienācīgiem un drošiem mājokļiem un pamatpakalpojumiem par pieejamu cenu un </w:t>
      </w:r>
      <w:r w:rsidRPr="00111AFE">
        <w:rPr>
          <w:i/>
          <w:lang w:val="lv-LV"/>
        </w:rPr>
        <w:lastRenderedPageBreak/>
        <w:t>sakārtot graustus</w:t>
      </w:r>
      <w:r>
        <w:rPr>
          <w:i/>
          <w:lang w:val="lv-LV"/>
        </w:rPr>
        <w:t>.</w:t>
      </w:r>
      <w:r w:rsidRPr="00111AFE">
        <w:rPr>
          <w:lang w:val="lv-LV"/>
        </w:rPr>
        <w:t xml:space="preserve"> </w:t>
      </w:r>
      <w:r w:rsidR="00D85E82">
        <w:rPr>
          <w:lang w:val="lv-LV"/>
        </w:rPr>
        <w:t>EM</w:t>
      </w:r>
      <w:r w:rsidRPr="00111AFE">
        <w:rPr>
          <w:lang w:val="lv-LV"/>
        </w:rPr>
        <w:t xml:space="preserve"> mājokļu politikas pamatnostādnes plāno izstrādāt jau 2018.</w:t>
      </w:r>
      <w:r w:rsidR="00F13025">
        <w:rPr>
          <w:lang w:val="lv-LV"/>
        </w:rPr>
        <w:t> </w:t>
      </w:r>
      <w:r w:rsidRPr="00111AFE">
        <w:rPr>
          <w:lang w:val="lv-LV"/>
        </w:rPr>
        <w:t>g</w:t>
      </w:r>
      <w:r w:rsidR="00F13025">
        <w:rPr>
          <w:lang w:val="lv-LV"/>
        </w:rPr>
        <w:t>ada</w:t>
      </w:r>
      <w:r w:rsidRPr="00111AFE">
        <w:rPr>
          <w:lang w:val="lv-LV"/>
        </w:rPr>
        <w:t xml:space="preserve"> otrā pusē</w:t>
      </w:r>
      <w:r>
        <w:rPr>
          <w:lang w:val="lv-LV"/>
        </w:rPr>
        <w:t>.</w:t>
      </w:r>
      <w:r w:rsidRPr="00111AFE">
        <w:rPr>
          <w:lang w:val="lv-LV"/>
        </w:rPr>
        <w:t xml:space="preserve"> </w:t>
      </w:r>
      <w:r w:rsidR="00F13025">
        <w:rPr>
          <w:lang w:val="lv-LV"/>
        </w:rPr>
        <w:t>Šajā kontekstā s</w:t>
      </w:r>
      <w:r>
        <w:rPr>
          <w:lang w:val="lv-LV"/>
        </w:rPr>
        <w:t xml:space="preserve">varīgi </w:t>
      </w:r>
      <w:r w:rsidR="00F13025">
        <w:rPr>
          <w:lang w:val="lv-LV"/>
        </w:rPr>
        <w:t xml:space="preserve">ir </w:t>
      </w:r>
      <w:r>
        <w:rPr>
          <w:lang w:val="lv-LV"/>
        </w:rPr>
        <w:t>novērtēt esošo mājokļu fondu un tā ilgtspēju, sekmēt īres mājokļu pieejamību un to tirgu</w:t>
      </w:r>
      <w:r w:rsidR="007044A7">
        <w:rPr>
          <w:lang w:val="lv-LV"/>
        </w:rPr>
        <w:t>s attīstību, kā arī atzīt mājokli kā indivīda resursu (īpašumu</w:t>
      </w:r>
      <w:r>
        <w:rPr>
          <w:lang w:val="lv-LV"/>
        </w:rPr>
        <w:t>), kas citu starpā stiprina piederības sajūtu Latvijai</w:t>
      </w:r>
      <w:r w:rsidRPr="00111AFE">
        <w:rPr>
          <w:lang w:val="lv-LV"/>
        </w:rPr>
        <w:t xml:space="preserve">. </w:t>
      </w:r>
    </w:p>
    <w:p w14:paraId="7AA0A6B0" w14:textId="329242AA" w:rsidR="00EF6E23" w:rsidRDefault="00EF6E23" w:rsidP="00DB6FF6">
      <w:pPr>
        <w:rPr>
          <w:lang w:val="lv-LV"/>
        </w:rPr>
      </w:pPr>
      <w:r>
        <w:rPr>
          <w:lang w:val="lv-LV"/>
        </w:rPr>
        <w:t xml:space="preserve">IAM 12. mērķis </w:t>
      </w:r>
      <w:r w:rsidRPr="00111AFE">
        <w:rPr>
          <w:lang w:val="lv-LV"/>
        </w:rPr>
        <w:t xml:space="preserve">nosaka </w:t>
      </w:r>
      <w:r>
        <w:rPr>
          <w:lang w:val="lv-LV"/>
        </w:rPr>
        <w:t>pāreju</w:t>
      </w:r>
      <w:r w:rsidRPr="00111AFE">
        <w:rPr>
          <w:lang w:val="lv-LV"/>
        </w:rPr>
        <w:t xml:space="preserve"> no izaugsmes</w:t>
      </w:r>
      <w:r>
        <w:rPr>
          <w:lang w:val="lv-LV"/>
        </w:rPr>
        <w:t xml:space="preserve"> ekonomik</w:t>
      </w:r>
      <w:r w:rsidR="007044A7">
        <w:rPr>
          <w:lang w:val="lv-LV"/>
        </w:rPr>
        <w:t>as</w:t>
      </w:r>
      <w:r w:rsidRPr="00111AFE">
        <w:rPr>
          <w:lang w:val="lv-LV"/>
        </w:rPr>
        <w:t xml:space="preserve"> </w:t>
      </w:r>
      <w:r>
        <w:rPr>
          <w:lang w:val="lv-LV"/>
        </w:rPr>
        <w:t>uz aprites ekonomiku</w:t>
      </w:r>
      <w:r w:rsidRPr="00111AFE">
        <w:rPr>
          <w:lang w:val="lv-LV"/>
        </w:rPr>
        <w:t xml:space="preserve">. </w:t>
      </w:r>
      <w:r>
        <w:rPr>
          <w:lang w:val="lv-LV"/>
        </w:rPr>
        <w:t>2015.</w:t>
      </w:r>
      <w:r w:rsidR="007044A7">
        <w:rPr>
          <w:lang w:val="lv-LV"/>
        </w:rPr>
        <w:t> </w:t>
      </w:r>
      <w:r>
        <w:rPr>
          <w:lang w:val="lv-LV"/>
        </w:rPr>
        <w:t>g</w:t>
      </w:r>
      <w:r w:rsidR="007044A7">
        <w:rPr>
          <w:lang w:val="lv-LV"/>
        </w:rPr>
        <w:t>adā</w:t>
      </w:r>
      <w:r>
        <w:rPr>
          <w:lang w:val="lv-LV"/>
        </w:rPr>
        <w:t xml:space="preserve"> Eiropas Komisija </w:t>
      </w:r>
      <w:r w:rsidRPr="007971BF">
        <w:rPr>
          <w:lang w:val="lv-LV"/>
        </w:rPr>
        <w:t>apstiprināja</w:t>
      </w:r>
      <w:r w:rsidRPr="007971BF">
        <w:rPr>
          <w:i/>
          <w:lang w:val="lv-LV"/>
        </w:rPr>
        <w:t xml:space="preserve"> ES rīcības plānu pārejai uz aprites ekonomiku</w:t>
      </w:r>
      <w:r>
        <w:rPr>
          <w:lang w:val="lv-LV"/>
        </w:rPr>
        <w:t xml:space="preserve">, kas paredz izmaiņas produktu dizainā, ražošanas procesos un patērētāju paradumos, kā arī </w:t>
      </w:r>
      <w:r w:rsidR="00734FA3">
        <w:rPr>
          <w:lang w:val="lv-LV"/>
        </w:rPr>
        <w:t xml:space="preserve">paredz </w:t>
      </w:r>
      <w:r>
        <w:rPr>
          <w:lang w:val="lv-LV"/>
        </w:rPr>
        <w:t>atkritumus uzskatīt par resursiem un stiprināt inovāciju.</w:t>
      </w:r>
      <w:r>
        <w:rPr>
          <w:rStyle w:val="FootnoteReference"/>
          <w:rFonts w:ascii="Times New Roman" w:hAnsi="Times New Roman" w:cs="Times New Roman"/>
          <w:sz w:val="24"/>
          <w:lang w:val="lv-LV"/>
        </w:rPr>
        <w:footnoteReference w:id="80"/>
      </w:r>
      <w:r>
        <w:rPr>
          <w:lang w:val="lv-LV"/>
        </w:rPr>
        <w:t xml:space="preserve"> Izaicināmi saskatāmi plastikas</w:t>
      </w:r>
      <w:r w:rsidR="00734FA3">
        <w:rPr>
          <w:lang w:val="lv-LV"/>
        </w:rPr>
        <w:t xml:space="preserve"> pārstrādē</w:t>
      </w:r>
      <w:r>
        <w:rPr>
          <w:lang w:val="lv-LV"/>
        </w:rPr>
        <w:t>, pārtikas vērtību ķēdēs, ce</w:t>
      </w:r>
      <w:r w:rsidR="007044A7">
        <w:rPr>
          <w:lang w:val="lv-LV"/>
        </w:rPr>
        <w:t>ltņu demontēšanā, bio-produktos</w:t>
      </w:r>
      <w:r>
        <w:rPr>
          <w:lang w:val="lv-LV"/>
        </w:rPr>
        <w:t xml:space="preserve"> u</w:t>
      </w:r>
      <w:r w:rsidR="007044A7">
        <w:rPr>
          <w:lang w:val="lv-LV"/>
        </w:rPr>
        <w:t>.</w:t>
      </w:r>
      <w:r>
        <w:rPr>
          <w:lang w:val="lv-LV"/>
        </w:rPr>
        <w:t xml:space="preserve">c. </w:t>
      </w:r>
      <w:r w:rsidR="00D85E82">
        <w:rPr>
          <w:lang w:val="lv-LV"/>
        </w:rPr>
        <w:t>LIAS2030</w:t>
      </w:r>
      <w:r>
        <w:rPr>
          <w:lang w:val="lv-LV"/>
        </w:rPr>
        <w:t xml:space="preserve"> un </w:t>
      </w:r>
      <w:r w:rsidRPr="00111AFE">
        <w:rPr>
          <w:lang w:val="lv-LV"/>
        </w:rPr>
        <w:t xml:space="preserve">NAP2020 nerada konceptuālu ietvaru </w:t>
      </w:r>
      <w:r>
        <w:rPr>
          <w:lang w:val="lv-LV"/>
        </w:rPr>
        <w:t xml:space="preserve">aprites ekonomikas </w:t>
      </w:r>
      <w:r w:rsidRPr="00111AFE">
        <w:rPr>
          <w:lang w:val="lv-LV"/>
        </w:rPr>
        <w:t>modelim.</w:t>
      </w:r>
      <w:r>
        <w:rPr>
          <w:lang w:val="lv-LV"/>
        </w:rPr>
        <w:t xml:space="preserve"> Latvijas rīcībpolitikā n</w:t>
      </w:r>
      <w:r w:rsidRPr="00111AFE">
        <w:rPr>
          <w:lang w:val="lv-LV"/>
        </w:rPr>
        <w:t>av</w:t>
      </w:r>
      <w:r>
        <w:rPr>
          <w:lang w:val="lv-LV"/>
        </w:rPr>
        <w:t xml:space="preserve"> apzināts</w:t>
      </w:r>
      <w:r w:rsidRPr="00111AFE">
        <w:rPr>
          <w:lang w:val="lv-LV"/>
        </w:rPr>
        <w:t xml:space="preserve"> rādītāju</w:t>
      </w:r>
      <w:r>
        <w:rPr>
          <w:lang w:val="lv-LV"/>
        </w:rPr>
        <w:t xml:space="preserve"> kopums</w:t>
      </w:r>
      <w:r w:rsidRPr="00111AFE">
        <w:rPr>
          <w:lang w:val="lv-LV"/>
        </w:rPr>
        <w:t xml:space="preserve">, kas liecinātu par ilgtspējīgu </w:t>
      </w:r>
      <w:r>
        <w:rPr>
          <w:lang w:val="lv-LV"/>
        </w:rPr>
        <w:t>patēriņu un ražošanas modeļu ieviešanas apmēru un kvalitāti</w:t>
      </w:r>
      <w:r w:rsidRPr="00111AFE">
        <w:rPr>
          <w:lang w:val="lv-LV"/>
        </w:rPr>
        <w:t xml:space="preserve"> (12.1</w:t>
      </w:r>
      <w:r w:rsidR="007044A7">
        <w:rPr>
          <w:lang w:val="lv-LV"/>
        </w:rPr>
        <w:t xml:space="preserve"> apakšmērķis</w:t>
      </w:r>
      <w:r w:rsidRPr="00111AFE">
        <w:rPr>
          <w:lang w:val="lv-LV"/>
        </w:rPr>
        <w:t xml:space="preserve">). </w:t>
      </w:r>
      <w:r>
        <w:rPr>
          <w:lang w:val="lv-LV"/>
        </w:rPr>
        <w:t>V</w:t>
      </w:r>
      <w:r w:rsidR="00D85E82">
        <w:rPr>
          <w:lang w:val="lv-LV"/>
        </w:rPr>
        <w:t>irkne</w:t>
      </w:r>
      <w:r>
        <w:rPr>
          <w:lang w:val="lv-LV"/>
        </w:rPr>
        <w:t xml:space="preserve"> pamatnostādnes, kā arī Lauku attīstības plāns būtu saistāmi ar aprites ekonomikas modeļa ieviešanu. </w:t>
      </w:r>
      <w:r w:rsidRPr="00111AFE">
        <w:rPr>
          <w:lang w:val="lv-LV"/>
        </w:rPr>
        <w:t>Šobrīd būtu lietderīgi apsvērt iespējas, kā nodrošināt aprites ekonomikas modeļa ieviešanu, kurā produktu un materiālu vērtību uztur iespējami ilgi, bet atkritumu radīšanu un primāro resursu izmantošanu samazina, veicinot industriālo simbiozi un samazinot izmaksas, šo pieeju kā vadmotīvu izmantojot nāk</w:t>
      </w:r>
      <w:r w:rsidR="007044A7">
        <w:rPr>
          <w:lang w:val="lv-LV"/>
        </w:rPr>
        <w:t>am</w:t>
      </w:r>
      <w:r>
        <w:rPr>
          <w:lang w:val="lv-LV"/>
        </w:rPr>
        <w:t>ā</w:t>
      </w:r>
      <w:r w:rsidRPr="00111AFE">
        <w:rPr>
          <w:lang w:val="lv-LV"/>
        </w:rPr>
        <w:t xml:space="preserve"> perioda (no 2021.gada) attīstības plā</w:t>
      </w:r>
      <w:r w:rsidR="007044A7">
        <w:rPr>
          <w:lang w:val="lv-LV"/>
        </w:rPr>
        <w:t>nošanas dokumentu sagatavošanā.</w:t>
      </w:r>
    </w:p>
    <w:p w14:paraId="0027A993" w14:textId="78709261" w:rsidR="00EF6E23" w:rsidRDefault="00EF6E23" w:rsidP="00DB6FF6">
      <w:pPr>
        <w:rPr>
          <w:lang w:val="lv-LV"/>
        </w:rPr>
      </w:pPr>
      <w:r w:rsidRPr="00111AFE">
        <w:rPr>
          <w:lang w:val="lv-LV"/>
        </w:rPr>
        <w:t xml:space="preserve">Lai sasniegtu </w:t>
      </w:r>
      <w:r>
        <w:rPr>
          <w:lang w:val="lv-LV"/>
        </w:rPr>
        <w:t xml:space="preserve">klimata pārmaiņu ietekmes novēršanas un mazināšanas </w:t>
      </w:r>
      <w:r w:rsidRPr="00111AFE">
        <w:rPr>
          <w:lang w:val="lv-LV"/>
        </w:rPr>
        <w:t>mērķus, VARAM</w:t>
      </w:r>
      <w:r>
        <w:rPr>
          <w:lang w:val="lv-LV"/>
        </w:rPr>
        <w:t xml:space="preserve"> </w:t>
      </w:r>
      <w:r w:rsidRPr="00111AFE">
        <w:rPr>
          <w:lang w:val="lv-LV"/>
        </w:rPr>
        <w:t>ir izstrādājusi Oglekļa mazietilpīgas attīstības stratēģijas 2050.</w:t>
      </w:r>
      <w:r w:rsidR="007044A7">
        <w:rPr>
          <w:lang w:val="lv-LV"/>
        </w:rPr>
        <w:t> </w:t>
      </w:r>
      <w:r w:rsidRPr="00111AFE">
        <w:rPr>
          <w:lang w:val="lv-LV"/>
        </w:rPr>
        <w:t>gadam projektu ar mērķi samazināt Latvijas siltum</w:t>
      </w:r>
      <w:r>
        <w:rPr>
          <w:lang w:val="lv-LV"/>
        </w:rPr>
        <w:t>nīcefekta gāzu emisijas, kā arī</w:t>
      </w:r>
      <w:r w:rsidRPr="00111AFE">
        <w:rPr>
          <w:lang w:val="lv-LV"/>
        </w:rPr>
        <w:t xml:space="preserve"> Latvijas pielāgošanās klimata pārmaiņām stratēģijas 2030.</w:t>
      </w:r>
      <w:r w:rsidR="00BF5D2B">
        <w:rPr>
          <w:lang w:val="lv-LV"/>
        </w:rPr>
        <w:t> </w:t>
      </w:r>
      <w:r w:rsidRPr="00111AFE">
        <w:rPr>
          <w:lang w:val="lv-LV"/>
        </w:rPr>
        <w:t>gadam projektu, kas vērsts uz klimata pārmaiņu negatīvās ietekmes/risku mazināšanu un klimata pārmaiņu priekšrocību izmantošanu.</w:t>
      </w:r>
    </w:p>
    <w:p w14:paraId="0CA114CB" w14:textId="2E611A38" w:rsidR="00EF6E23" w:rsidRDefault="00EF6E23" w:rsidP="00DB6FF6">
      <w:pPr>
        <w:rPr>
          <w:lang w:val="lv-LV"/>
        </w:rPr>
      </w:pPr>
      <w:r>
        <w:rPr>
          <w:lang w:val="lv-LV"/>
        </w:rPr>
        <w:t>Attiecībā uz IAM 15.</w:t>
      </w:r>
      <w:r w:rsidR="00BF5D2B">
        <w:rPr>
          <w:lang w:val="lv-LV"/>
        </w:rPr>
        <w:t> </w:t>
      </w:r>
      <w:r>
        <w:rPr>
          <w:lang w:val="lv-LV"/>
        </w:rPr>
        <w:t>mērķi jāatzīmē, ka s</w:t>
      </w:r>
      <w:r w:rsidRPr="00111AFE">
        <w:rPr>
          <w:lang w:val="lv-LV"/>
        </w:rPr>
        <w:t>auszemes ekosistēm</w:t>
      </w:r>
      <w:r>
        <w:rPr>
          <w:lang w:val="lv-LV"/>
        </w:rPr>
        <w:t>as ilgtspēju</w:t>
      </w:r>
      <w:r w:rsidRPr="00111AFE">
        <w:rPr>
          <w:lang w:val="lv-LV"/>
        </w:rPr>
        <w:t xml:space="preserve"> regulē starptautiski līgumi, konvencijas</w:t>
      </w:r>
      <w:r>
        <w:rPr>
          <w:lang w:val="lv-LV"/>
        </w:rPr>
        <w:t xml:space="preserve"> un</w:t>
      </w:r>
      <w:r w:rsidRPr="00111AFE">
        <w:rPr>
          <w:lang w:val="lv-LV"/>
        </w:rPr>
        <w:t xml:space="preserve"> Vides politika</w:t>
      </w:r>
      <w:r>
        <w:rPr>
          <w:lang w:val="lv-LV"/>
        </w:rPr>
        <w:t xml:space="preserve">s pamatnostādnes 2014-2020 (VPP), </w:t>
      </w:r>
      <w:r w:rsidRPr="00C825F5">
        <w:rPr>
          <w:lang w:val="lv-LV"/>
        </w:rPr>
        <w:t>Meža un saistīto nozaru attīstības pamatnostādnes</w:t>
      </w:r>
      <w:r>
        <w:rPr>
          <w:lang w:val="lv-LV"/>
        </w:rPr>
        <w:t xml:space="preserve"> </w:t>
      </w:r>
      <w:r w:rsidRPr="00C825F5">
        <w:rPr>
          <w:lang w:val="lv-LV"/>
        </w:rPr>
        <w:t>2015 -2020</w:t>
      </w:r>
      <w:r w:rsidRPr="00111AFE">
        <w:rPr>
          <w:lang w:val="lv-LV"/>
        </w:rPr>
        <w:t>.</w:t>
      </w:r>
      <w:r w:rsidR="00BF5D2B">
        <w:rPr>
          <w:lang w:val="lv-LV"/>
        </w:rPr>
        <w:t> gadam.</w:t>
      </w:r>
      <w:r w:rsidRPr="00111AFE">
        <w:rPr>
          <w:lang w:val="lv-LV"/>
        </w:rPr>
        <w:t xml:space="preserve">  Attiecībā uz bioloģiskās daudzveidības saglabāšanu (15.4</w:t>
      </w:r>
      <w:r w:rsidR="00BF5D2B">
        <w:rPr>
          <w:lang w:val="lv-LV"/>
        </w:rPr>
        <w:t>.apakšmērķis</w:t>
      </w:r>
      <w:r w:rsidRPr="00111AFE">
        <w:rPr>
          <w:lang w:val="lv-LV"/>
        </w:rPr>
        <w:t>)</w:t>
      </w:r>
      <w:r>
        <w:rPr>
          <w:lang w:val="lv-LV"/>
        </w:rPr>
        <w:t>,</w:t>
      </w:r>
      <w:r w:rsidRPr="00111AFE">
        <w:rPr>
          <w:lang w:val="lv-LV"/>
        </w:rPr>
        <w:t xml:space="preserve"> VPP uzstādīts mērķis “Apsaimniekošanas pasākumu plānošana un ieviešana, saskaņojot dabas aizsardzības un sociāli ekonomiskās intereses”, kura</w:t>
      </w:r>
      <w:r w:rsidR="00BF5D2B">
        <w:rPr>
          <w:lang w:val="lv-LV"/>
        </w:rPr>
        <w:t>m</w:t>
      </w:r>
      <w:r w:rsidRPr="00111AFE">
        <w:rPr>
          <w:lang w:val="lv-LV"/>
        </w:rPr>
        <w:t xml:space="preserve"> </w:t>
      </w:r>
      <w:r>
        <w:rPr>
          <w:lang w:val="lv-LV"/>
        </w:rPr>
        <w:t xml:space="preserve">nepieciešams formulēt sasniedzamos </w:t>
      </w:r>
      <w:r w:rsidRPr="00111AFE">
        <w:rPr>
          <w:lang w:val="lv-LV"/>
        </w:rPr>
        <w:t>rādītāj</w:t>
      </w:r>
      <w:r>
        <w:rPr>
          <w:lang w:val="lv-LV"/>
        </w:rPr>
        <w:t>u</w:t>
      </w:r>
      <w:r w:rsidRPr="00111AFE">
        <w:rPr>
          <w:lang w:val="lv-LV"/>
        </w:rPr>
        <w:t xml:space="preserve">s, </w:t>
      </w:r>
      <w:r>
        <w:rPr>
          <w:lang w:val="lv-LV"/>
        </w:rPr>
        <w:t>lai radītu</w:t>
      </w:r>
      <w:r w:rsidRPr="00111AFE">
        <w:rPr>
          <w:lang w:val="lv-LV"/>
        </w:rPr>
        <w:t xml:space="preserve"> priekšstatu par gaidāmo sniegumu.  Zemes izmantošanas, zemes degradācijas jautājumi skar arī citu jomu politikas – teritoriālās attīstības plānošanu, lauku att</w:t>
      </w:r>
      <w:r>
        <w:rPr>
          <w:lang w:val="lv-LV"/>
        </w:rPr>
        <w:t xml:space="preserve">īstības politiku, meža politiku, meliorācijas sistēmu apsaimniekošanu, apsverama iespēja </w:t>
      </w:r>
      <w:r w:rsidRPr="00111AFE">
        <w:rPr>
          <w:lang w:val="lv-LV"/>
        </w:rPr>
        <w:t xml:space="preserve">tuvākajos gados izstrādāt jaunu </w:t>
      </w:r>
      <w:r w:rsidR="00D12086">
        <w:rPr>
          <w:lang w:val="lv-LV"/>
        </w:rPr>
        <w:t>politikas plānošanas dokumentu</w:t>
      </w:r>
      <w:r w:rsidRPr="00111AFE">
        <w:rPr>
          <w:lang w:val="lv-LV"/>
        </w:rPr>
        <w:t>, kurā varētu iekļaut visus ar bioloģisko daudzveidību</w:t>
      </w:r>
      <w:r w:rsidR="00D12086">
        <w:rPr>
          <w:lang w:val="lv-LV"/>
        </w:rPr>
        <w:t xml:space="preserve"> saistītos</w:t>
      </w:r>
      <w:r w:rsidRPr="00111AFE">
        <w:rPr>
          <w:lang w:val="lv-LV"/>
        </w:rPr>
        <w:t xml:space="preserve"> aktuālos jautājumus</w:t>
      </w:r>
      <w:r>
        <w:rPr>
          <w:lang w:val="lv-LV"/>
        </w:rPr>
        <w:t>.</w:t>
      </w:r>
    </w:p>
    <w:p w14:paraId="1AA75F8E" w14:textId="069C3BCB" w:rsidR="00EF6E23" w:rsidRDefault="00EF6E23" w:rsidP="00DB6FF6">
      <w:pPr>
        <w:rPr>
          <w:lang w:val="lv-LV"/>
        </w:rPr>
      </w:pPr>
      <w:r w:rsidRPr="00111AFE">
        <w:rPr>
          <w:lang w:val="lv-LV"/>
        </w:rPr>
        <w:t>ANO 16.</w:t>
      </w:r>
      <w:r w:rsidR="00BF5D2B">
        <w:rPr>
          <w:lang w:val="lv-LV"/>
        </w:rPr>
        <w:t> </w:t>
      </w:r>
      <w:r w:rsidRPr="00111AFE">
        <w:rPr>
          <w:lang w:val="lv-LV"/>
        </w:rPr>
        <w:t>mērķis ietver vairākus</w:t>
      </w:r>
      <w:r>
        <w:rPr>
          <w:lang w:val="lv-LV"/>
        </w:rPr>
        <w:t>,</w:t>
      </w:r>
      <w:r w:rsidRPr="00111AFE">
        <w:rPr>
          <w:lang w:val="lv-LV"/>
        </w:rPr>
        <w:t xml:space="preserve"> ļoti dažādus apakšmērķus</w:t>
      </w:r>
      <w:r>
        <w:rPr>
          <w:lang w:val="lv-LV"/>
        </w:rPr>
        <w:t>, kurus no valsts puses NAP2020 ietvarā</w:t>
      </w:r>
      <w:r w:rsidRPr="006B58B4">
        <w:rPr>
          <w:lang w:val="lv-LV"/>
        </w:rPr>
        <w:t xml:space="preserve"> </w:t>
      </w:r>
      <w:r>
        <w:rPr>
          <w:lang w:val="lv-LV"/>
        </w:rPr>
        <w:t xml:space="preserve">risina nozaru ministrijas, </w:t>
      </w:r>
      <w:r w:rsidR="00D85E82">
        <w:rPr>
          <w:lang w:val="lv-LV"/>
        </w:rPr>
        <w:t>VK</w:t>
      </w:r>
      <w:r>
        <w:rPr>
          <w:lang w:val="lv-LV"/>
        </w:rPr>
        <w:t xml:space="preserve"> un KNAB</w:t>
      </w:r>
      <w:r w:rsidRPr="00111AFE">
        <w:rPr>
          <w:lang w:val="lv-LV"/>
        </w:rPr>
        <w:t>. Mērķi, kuriem pastiprināti pievēršama uzmanība</w:t>
      </w:r>
      <w:r>
        <w:rPr>
          <w:lang w:val="lv-LV"/>
        </w:rPr>
        <w:t>,</w:t>
      </w:r>
      <w:r w:rsidRPr="00111AFE">
        <w:rPr>
          <w:lang w:val="lv-LV"/>
        </w:rPr>
        <w:t xml:space="preserve"> ir vardarbības mazināšana (16.1</w:t>
      </w:r>
      <w:r w:rsidR="00BF5D2B">
        <w:rPr>
          <w:lang w:val="lv-LV"/>
        </w:rPr>
        <w:t>.apakšmērķis</w:t>
      </w:r>
      <w:r w:rsidRPr="00111AFE">
        <w:rPr>
          <w:lang w:val="lv-LV"/>
        </w:rPr>
        <w:t>, skat</w:t>
      </w:r>
      <w:r w:rsidR="00BF5D2B">
        <w:rPr>
          <w:lang w:val="lv-LV"/>
        </w:rPr>
        <w:t>.</w:t>
      </w:r>
      <w:r w:rsidRPr="00111AFE">
        <w:rPr>
          <w:lang w:val="lv-LV"/>
        </w:rPr>
        <w:t xml:space="preserve"> arī 5.</w:t>
      </w:r>
      <w:r w:rsidR="00BF5D2B">
        <w:rPr>
          <w:lang w:val="lv-LV"/>
        </w:rPr>
        <w:t> </w:t>
      </w:r>
      <w:r w:rsidRPr="00111AFE">
        <w:rPr>
          <w:lang w:val="lv-LV"/>
        </w:rPr>
        <w:t>mērķi), vienlīdzīgas piekļuves taisnīgai tiesai nodrošināšana</w:t>
      </w:r>
      <w:r w:rsidR="00D12086">
        <w:rPr>
          <w:lang w:val="lv-LV"/>
        </w:rPr>
        <w:t xml:space="preserve"> un</w:t>
      </w:r>
      <w:r>
        <w:rPr>
          <w:lang w:val="lv-LV"/>
        </w:rPr>
        <w:t>, iespējams, arī valsts pārvaldes institūciju sadarbības koordinācija.</w:t>
      </w:r>
    </w:p>
    <w:p w14:paraId="22098818" w14:textId="22E6BE2F" w:rsidR="00EF6E23" w:rsidRDefault="00EF6E23" w:rsidP="00DB6FF6">
      <w:pPr>
        <w:rPr>
          <w:lang w:val="lv-LV"/>
        </w:rPr>
      </w:pPr>
      <w:r w:rsidRPr="00111AFE">
        <w:rPr>
          <w:lang w:val="lv-LV"/>
        </w:rPr>
        <w:t>17.</w:t>
      </w:r>
      <w:r w:rsidR="00BF5D2B">
        <w:rPr>
          <w:lang w:val="lv-LV"/>
        </w:rPr>
        <w:t> </w:t>
      </w:r>
      <w:r w:rsidRPr="00111AFE">
        <w:rPr>
          <w:lang w:val="lv-LV"/>
        </w:rPr>
        <w:t>mērķis</w:t>
      </w:r>
      <w:r>
        <w:rPr>
          <w:lang w:val="lv-LV"/>
        </w:rPr>
        <w:t xml:space="preserve"> </w:t>
      </w:r>
      <w:r w:rsidR="00D12086">
        <w:rPr>
          <w:lang w:val="lv-LV"/>
        </w:rPr>
        <w:t>(</w:t>
      </w:r>
      <w:r>
        <w:rPr>
          <w:lang w:val="lv-LV"/>
        </w:rPr>
        <w:t>starptautiskās saistības un prakse</w:t>
      </w:r>
      <w:r w:rsidR="00D12086">
        <w:rPr>
          <w:lang w:val="lv-LV"/>
        </w:rPr>
        <w:t>)</w:t>
      </w:r>
      <w:r>
        <w:rPr>
          <w:lang w:val="lv-LV"/>
        </w:rPr>
        <w:t xml:space="preserve"> </w:t>
      </w:r>
      <w:r w:rsidRPr="00111AFE">
        <w:rPr>
          <w:lang w:val="lv-LV"/>
        </w:rPr>
        <w:t>nosaka pienākumu valstīm ar augstiem attīstības rādītājiem palīdzēt citām valstīm nodrošināt savu attīstību.</w:t>
      </w:r>
      <w:r>
        <w:rPr>
          <w:lang w:val="lv-LV"/>
        </w:rPr>
        <w:t xml:space="preserve"> </w:t>
      </w:r>
      <w:r w:rsidR="00D85E82">
        <w:rPr>
          <w:lang w:val="lv-LV"/>
        </w:rPr>
        <w:t>ES</w:t>
      </w:r>
      <w:r>
        <w:rPr>
          <w:lang w:val="lv-LV"/>
        </w:rPr>
        <w:t xml:space="preserve"> no dalībvalstīm dots mandāts uzlabot pasaules </w:t>
      </w:r>
      <w:r w:rsidRPr="00B224F5">
        <w:rPr>
          <w:lang w:val="lv-LV"/>
        </w:rPr>
        <w:t>tirdzniecības sistēmu</w:t>
      </w:r>
      <w:r w:rsidR="00BF5D2B">
        <w:rPr>
          <w:lang w:val="lv-LV"/>
        </w:rPr>
        <w:t>,</w:t>
      </w:r>
      <w:r>
        <w:rPr>
          <w:lang w:val="lv-LV"/>
        </w:rPr>
        <w:t xml:space="preserve"> nodrošināt </w:t>
      </w:r>
      <w:r w:rsidRPr="00B224F5">
        <w:rPr>
          <w:lang w:val="lv-LV"/>
        </w:rPr>
        <w:t>vismazāk attīstītajām valstīm piekļuvi tirgum</w:t>
      </w:r>
      <w:r>
        <w:rPr>
          <w:lang w:val="lv-LV"/>
        </w:rPr>
        <w:t xml:space="preserve"> (</w:t>
      </w:r>
      <w:r w:rsidRPr="00B224F5">
        <w:rPr>
          <w:lang w:val="lv-LV"/>
        </w:rPr>
        <w:t>17.12</w:t>
      </w:r>
      <w:r w:rsidR="00BF5D2B">
        <w:rPr>
          <w:lang w:val="lv-LV"/>
        </w:rPr>
        <w:t>. apakšmērķis</w:t>
      </w:r>
      <w:r>
        <w:rPr>
          <w:lang w:val="lv-LV"/>
        </w:rPr>
        <w:t>), veicināt globālo makroekonomikas stabilitāti (</w:t>
      </w:r>
      <w:r w:rsidRPr="00B224F5">
        <w:rPr>
          <w:lang w:val="lv-LV"/>
        </w:rPr>
        <w:t>17.1</w:t>
      </w:r>
      <w:r>
        <w:rPr>
          <w:lang w:val="lv-LV"/>
        </w:rPr>
        <w:t>3</w:t>
      </w:r>
      <w:r w:rsidR="00BF5D2B">
        <w:rPr>
          <w:lang w:val="lv-LV"/>
        </w:rPr>
        <w:t>. apakšmērķis</w:t>
      </w:r>
      <w:r>
        <w:rPr>
          <w:lang w:val="lv-LV"/>
        </w:rPr>
        <w:t>), ar daud</w:t>
      </w:r>
      <w:r w:rsidR="00BF5D2B">
        <w:rPr>
          <w:lang w:val="lv-LV"/>
        </w:rPr>
        <w:t>zpusējo attīstības sadarbību un</w:t>
      </w:r>
      <w:r>
        <w:rPr>
          <w:lang w:val="lv-LV"/>
        </w:rPr>
        <w:t xml:space="preserve"> citādi veidot partnerību ar valstīm citos reģionos, lai veicinātu to ilgtspējīgu attīstību. Latvija esošā plānošanas periodā ar divpusējo attīstības sadarbību atbalsta citas valstis 24 Ilgtspējīgu attīstības apakšmērķu īstenošanai.</w:t>
      </w:r>
      <w:r w:rsidRPr="00111AFE">
        <w:rPr>
          <w:lang w:val="lv-LV"/>
        </w:rPr>
        <w:t xml:space="preserve"> </w:t>
      </w:r>
      <w:r>
        <w:rPr>
          <w:lang w:val="lv-LV"/>
        </w:rPr>
        <w:t xml:space="preserve"> </w:t>
      </w:r>
      <w:r w:rsidRPr="00111AFE">
        <w:rPr>
          <w:lang w:val="lv-LV"/>
        </w:rPr>
        <w:t>Arī Latvija ir to valsts saimē, kura apņemas zināmu īpatsvaru no IKP veltīt oficiālajai attīstības palīdzībai</w:t>
      </w:r>
      <w:r>
        <w:rPr>
          <w:lang w:val="lv-LV"/>
        </w:rPr>
        <w:t>.</w:t>
      </w:r>
    </w:p>
    <w:p w14:paraId="3C327D7F" w14:textId="78053C49" w:rsidR="00A65E2A" w:rsidRDefault="00A65E2A">
      <w:pPr>
        <w:spacing w:before="0" w:after="0"/>
        <w:jc w:val="left"/>
        <w:rPr>
          <w:lang w:val="lv-LV"/>
        </w:rPr>
      </w:pPr>
      <w:r>
        <w:rPr>
          <w:lang w:val="lv-LV"/>
        </w:rPr>
        <w:br w:type="page"/>
      </w:r>
    </w:p>
    <w:p w14:paraId="2055F0B5" w14:textId="6F8AD5A1" w:rsidR="00AA471B" w:rsidRPr="00A65E2A" w:rsidRDefault="00A65E2A" w:rsidP="00A65E2A">
      <w:pPr>
        <w:pStyle w:val="Heading1"/>
        <w:rPr>
          <w:lang w:val="lv-LV"/>
        </w:rPr>
      </w:pPr>
      <w:bookmarkStart w:id="75" w:name="_Toc498690650"/>
      <w:bookmarkStart w:id="76" w:name="_Toc499025324"/>
      <w:r w:rsidRPr="00D87E57">
        <w:rPr>
          <w:lang w:val="lv-LV"/>
        </w:rPr>
        <w:lastRenderedPageBreak/>
        <w:t>5. Latvijas konkurētspējas novērtējums</w:t>
      </w:r>
      <w:bookmarkEnd w:id="75"/>
      <w:bookmarkEnd w:id="76"/>
    </w:p>
    <w:p w14:paraId="4CCB8B74" w14:textId="77777777" w:rsidR="00D87E57" w:rsidRPr="00F17E86" w:rsidRDefault="00D87E57" w:rsidP="00D87E57">
      <w:pPr>
        <w:spacing w:before="60" w:after="60"/>
        <w:ind w:firstLine="426"/>
        <w:rPr>
          <w:rFonts w:cs="Times New Roman"/>
          <w:sz w:val="2"/>
          <w:lang w:val="lv-LV"/>
        </w:rPr>
      </w:pPr>
    </w:p>
    <w:p w14:paraId="37B1B79C" w14:textId="77777777" w:rsidR="00D87E57" w:rsidRPr="00F17E86" w:rsidRDefault="00D87E57" w:rsidP="00D87E57">
      <w:pPr>
        <w:spacing w:before="60" w:after="60"/>
        <w:ind w:firstLine="426"/>
        <w:rPr>
          <w:rFonts w:cs="Times New Roman"/>
          <w:sz w:val="2"/>
          <w:lang w:val="lv-LV"/>
        </w:rPr>
      </w:pPr>
    </w:p>
    <w:p w14:paraId="37DDA6AD" w14:textId="77777777" w:rsidR="00D87E57" w:rsidRPr="00F17E86" w:rsidRDefault="00D87E57" w:rsidP="00D87E57">
      <w:pPr>
        <w:spacing w:before="60" w:after="60"/>
        <w:rPr>
          <w:rFonts w:cs="Times New Roman"/>
          <w:b/>
          <w:lang w:val="lv-LV"/>
        </w:rPr>
      </w:pPr>
      <w:r w:rsidRPr="00F17E86">
        <w:rPr>
          <w:rFonts w:cs="Times New Roman"/>
          <w:b/>
          <w:lang w:val="lv-LV"/>
        </w:rPr>
        <w:t xml:space="preserve">Latvijas konkurētspēja – status quo </w:t>
      </w:r>
    </w:p>
    <w:p w14:paraId="4D500DDE" w14:textId="77777777" w:rsidR="00D87E57" w:rsidRPr="00F17E86" w:rsidRDefault="00D87E57" w:rsidP="00D87E57">
      <w:pPr>
        <w:spacing w:before="60" w:after="60"/>
        <w:rPr>
          <w:rFonts w:cs="Times New Roman"/>
        </w:rPr>
      </w:pPr>
      <w:r w:rsidRPr="00A05830">
        <w:rPr>
          <w:rFonts w:cs="Times New Roman"/>
          <w:lang w:val="lv-LV"/>
        </w:rPr>
        <w:t xml:space="preserve">No 2013. līdz 2016. gadam IKP pieauga vidēji gadā par 2%. 2017. gadā izaugsme ir kļuvusi straujāka – situācijas uzlabošanās ārējā vidē, intensīvāka ES struktūrfondu apgūšana, kreditēšanas pieaugums un darba samaksas pieaugums ir paātrinājis izaugsmes tempu līdz 4%. </w:t>
      </w:r>
      <w:r w:rsidRPr="00F17E86">
        <w:rPr>
          <w:rFonts w:cs="Times New Roman"/>
        </w:rPr>
        <w:t>Strauji attīstītās apstrādes rūpniecība, stabili aug eksports un privātais patēriņš, atsākušas augt investīcijas.</w:t>
      </w:r>
    </w:p>
    <w:p w14:paraId="1330E162" w14:textId="77777777" w:rsidR="00D87E57" w:rsidRPr="00F17E86" w:rsidRDefault="00D87E57" w:rsidP="00D87E57">
      <w:pPr>
        <w:spacing w:before="60" w:after="60"/>
        <w:rPr>
          <w:rFonts w:cs="Times New Roman"/>
        </w:rPr>
      </w:pPr>
      <w:r w:rsidRPr="00F17E86">
        <w:rPr>
          <w:rFonts w:cs="Times New Roman"/>
        </w:rPr>
        <w:t>Globālā ekonomika un attiecīgi arī reģionālā un nacionālā ekonomika šobrīd atrodas izaugsmes trajektorijā. Saskaņā ar dažādām prognozēm – izaugsmes trajektorijas saglabāšanās ir gaidāma vēl tuvākos 3-5 gadus, kas iezīmē pozitīvu perspektīvu, vērojot tautsaimniecības attīstības rādītājus un tendences.</w:t>
      </w:r>
    </w:p>
    <w:p w14:paraId="55431703" w14:textId="77777777" w:rsidR="00D87E57" w:rsidRPr="00F17E86" w:rsidRDefault="00D87E57" w:rsidP="00D87E57">
      <w:pPr>
        <w:spacing w:before="60" w:after="60"/>
        <w:rPr>
          <w:rFonts w:cs="Times New Roman"/>
          <w:sz w:val="12"/>
          <w:szCs w:val="12"/>
        </w:rPr>
      </w:pPr>
    </w:p>
    <w:p w14:paraId="09D6A097" w14:textId="77777777" w:rsidR="00D87E57" w:rsidRPr="00F17E86" w:rsidRDefault="00D87E57" w:rsidP="00D87E57">
      <w:pPr>
        <w:spacing w:before="60" w:after="60"/>
        <w:ind w:firstLine="426"/>
        <w:jc w:val="right"/>
        <w:rPr>
          <w:rFonts w:cs="Times New Roman"/>
          <w:b/>
        </w:rPr>
      </w:pPr>
      <w:r w:rsidRPr="00F17E86">
        <w:rPr>
          <w:rFonts w:cs="Times New Roman"/>
          <w:b/>
        </w:rPr>
        <w:t>1.attēls. Ekonomika aug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1703"/>
        <w:gridCol w:w="1703"/>
        <w:gridCol w:w="1703"/>
        <w:gridCol w:w="1703"/>
      </w:tblGrid>
      <w:tr w:rsidR="00D87E57" w:rsidRPr="00F17E86" w14:paraId="3F5E338A" w14:textId="77777777" w:rsidTr="0047559B">
        <w:tc>
          <w:tcPr>
            <w:tcW w:w="1000" w:type="pct"/>
            <w:tcBorders>
              <w:top w:val="single" w:sz="4" w:space="0" w:color="auto"/>
            </w:tcBorders>
            <w:vAlign w:val="center"/>
          </w:tcPr>
          <w:p w14:paraId="09DB73CF" w14:textId="77777777" w:rsidR="00D87E57" w:rsidRPr="00F17E86" w:rsidRDefault="00D87E57" w:rsidP="0047559B">
            <w:pPr>
              <w:jc w:val="center"/>
              <w:rPr>
                <w:rFonts w:cs="Times New Roman"/>
                <w:sz w:val="20"/>
              </w:rPr>
            </w:pPr>
            <w:r w:rsidRPr="00F17E86">
              <w:rPr>
                <w:rFonts w:cs="Times New Roman"/>
                <w:sz w:val="20"/>
              </w:rPr>
              <w:t>Ekonomikas izaugsme paātrinās</w:t>
            </w:r>
          </w:p>
        </w:tc>
        <w:tc>
          <w:tcPr>
            <w:tcW w:w="1000" w:type="pct"/>
            <w:tcBorders>
              <w:top w:val="single" w:sz="4" w:space="0" w:color="auto"/>
            </w:tcBorders>
            <w:vAlign w:val="center"/>
          </w:tcPr>
          <w:p w14:paraId="42F69375" w14:textId="77777777" w:rsidR="00D87E57" w:rsidRPr="00F17E86" w:rsidRDefault="00D87E57" w:rsidP="0047559B">
            <w:pPr>
              <w:jc w:val="center"/>
              <w:rPr>
                <w:rFonts w:cs="Times New Roman"/>
                <w:sz w:val="20"/>
              </w:rPr>
            </w:pPr>
            <w:r w:rsidRPr="00F17E86">
              <w:rPr>
                <w:rFonts w:cs="Times New Roman"/>
                <w:sz w:val="20"/>
              </w:rPr>
              <w:t>Strauji attīstās apstrādes rūpniecība</w:t>
            </w:r>
          </w:p>
        </w:tc>
        <w:tc>
          <w:tcPr>
            <w:tcW w:w="1000" w:type="pct"/>
            <w:tcBorders>
              <w:top w:val="single" w:sz="4" w:space="0" w:color="auto"/>
            </w:tcBorders>
            <w:vAlign w:val="center"/>
          </w:tcPr>
          <w:p w14:paraId="0883BF62" w14:textId="77777777" w:rsidR="00D87E57" w:rsidRPr="00F17E86" w:rsidRDefault="00D87E57" w:rsidP="0047559B">
            <w:pPr>
              <w:jc w:val="center"/>
              <w:rPr>
                <w:rFonts w:cs="Times New Roman"/>
                <w:sz w:val="20"/>
              </w:rPr>
            </w:pPr>
            <w:r w:rsidRPr="00F17E86">
              <w:rPr>
                <w:rFonts w:cs="Times New Roman"/>
                <w:sz w:val="20"/>
              </w:rPr>
              <w:t>Stabili aug</w:t>
            </w:r>
          </w:p>
          <w:p w14:paraId="4151B7D7" w14:textId="77777777" w:rsidR="00D87E57" w:rsidRPr="00F17E86" w:rsidRDefault="00D87E57" w:rsidP="0047559B">
            <w:pPr>
              <w:jc w:val="center"/>
              <w:rPr>
                <w:rFonts w:cs="Times New Roman"/>
                <w:sz w:val="20"/>
              </w:rPr>
            </w:pPr>
            <w:r w:rsidRPr="00F17E86">
              <w:rPr>
                <w:rFonts w:cs="Times New Roman"/>
                <w:sz w:val="20"/>
              </w:rPr>
              <w:t>eksports</w:t>
            </w:r>
          </w:p>
        </w:tc>
        <w:tc>
          <w:tcPr>
            <w:tcW w:w="1000" w:type="pct"/>
            <w:tcBorders>
              <w:top w:val="single" w:sz="4" w:space="0" w:color="auto"/>
            </w:tcBorders>
            <w:vAlign w:val="center"/>
          </w:tcPr>
          <w:p w14:paraId="77069782" w14:textId="77777777" w:rsidR="00D87E57" w:rsidRPr="00F17E86" w:rsidRDefault="00D87E57" w:rsidP="0047559B">
            <w:pPr>
              <w:jc w:val="center"/>
              <w:rPr>
                <w:rFonts w:cs="Times New Roman"/>
                <w:sz w:val="20"/>
              </w:rPr>
            </w:pPr>
            <w:r w:rsidRPr="00F17E86">
              <w:rPr>
                <w:rFonts w:cs="Times New Roman"/>
                <w:sz w:val="20"/>
              </w:rPr>
              <w:t>Investīcijas atsākušas augt</w:t>
            </w:r>
          </w:p>
        </w:tc>
        <w:tc>
          <w:tcPr>
            <w:tcW w:w="1000" w:type="pct"/>
            <w:tcBorders>
              <w:top w:val="single" w:sz="4" w:space="0" w:color="auto"/>
            </w:tcBorders>
            <w:vAlign w:val="center"/>
          </w:tcPr>
          <w:p w14:paraId="52EF3F5A" w14:textId="77777777" w:rsidR="00D87E57" w:rsidRPr="00F17E86" w:rsidRDefault="00D87E57" w:rsidP="0047559B">
            <w:pPr>
              <w:jc w:val="center"/>
              <w:rPr>
                <w:rFonts w:cs="Times New Roman"/>
                <w:sz w:val="20"/>
              </w:rPr>
            </w:pPr>
            <w:r w:rsidRPr="00F17E86">
              <w:rPr>
                <w:rFonts w:cs="Times New Roman"/>
                <w:sz w:val="20"/>
              </w:rPr>
              <w:t xml:space="preserve">Palielinās privātais </w:t>
            </w:r>
            <w:r w:rsidRPr="00F17E86">
              <w:rPr>
                <w:rFonts w:cs="Times New Roman"/>
                <w:sz w:val="20"/>
              </w:rPr>
              <w:br/>
              <w:t>patēriņš</w:t>
            </w:r>
          </w:p>
        </w:tc>
      </w:tr>
      <w:tr w:rsidR="00D87E57" w:rsidRPr="00F17E86" w14:paraId="0476F7ED" w14:textId="77777777" w:rsidTr="0047559B">
        <w:tc>
          <w:tcPr>
            <w:tcW w:w="1000" w:type="pct"/>
          </w:tcPr>
          <w:p w14:paraId="1BEC18CA" w14:textId="77777777" w:rsidR="00D87E57" w:rsidRPr="00F17E86" w:rsidRDefault="00D87E57" w:rsidP="0047559B">
            <w:pPr>
              <w:ind w:left="-120" w:right="-132"/>
              <w:jc w:val="center"/>
              <w:rPr>
                <w:rFonts w:cs="Times New Roman"/>
                <w:b/>
                <w:sz w:val="24"/>
              </w:rPr>
            </w:pPr>
            <w:r w:rsidRPr="00F17E86">
              <w:rPr>
                <w:rFonts w:cs="Times New Roman"/>
                <w:b/>
                <w:sz w:val="24"/>
              </w:rPr>
              <w:t>+4%</w:t>
            </w:r>
          </w:p>
        </w:tc>
        <w:tc>
          <w:tcPr>
            <w:tcW w:w="1000" w:type="pct"/>
          </w:tcPr>
          <w:p w14:paraId="4B7FC730" w14:textId="77777777" w:rsidR="00D87E57" w:rsidRPr="00F17E86" w:rsidRDefault="00D87E57" w:rsidP="0047559B">
            <w:pPr>
              <w:ind w:left="-120" w:right="-132"/>
              <w:jc w:val="center"/>
              <w:rPr>
                <w:rFonts w:cs="Times New Roman"/>
                <w:b/>
                <w:sz w:val="24"/>
              </w:rPr>
            </w:pPr>
            <w:r w:rsidRPr="00F17E86">
              <w:rPr>
                <w:rFonts w:cs="Times New Roman"/>
                <w:b/>
                <w:sz w:val="24"/>
              </w:rPr>
              <w:t>+8,5%</w:t>
            </w:r>
          </w:p>
        </w:tc>
        <w:tc>
          <w:tcPr>
            <w:tcW w:w="1000" w:type="pct"/>
          </w:tcPr>
          <w:p w14:paraId="0009530F" w14:textId="77777777" w:rsidR="00D87E57" w:rsidRPr="00F17E86" w:rsidRDefault="00D87E57" w:rsidP="0047559B">
            <w:pPr>
              <w:ind w:left="-120" w:right="-132"/>
              <w:jc w:val="center"/>
              <w:rPr>
                <w:rFonts w:cs="Times New Roman"/>
                <w:b/>
                <w:sz w:val="24"/>
              </w:rPr>
            </w:pPr>
            <w:r w:rsidRPr="00F17E86">
              <w:rPr>
                <w:rFonts w:cs="Times New Roman"/>
                <w:b/>
                <w:sz w:val="24"/>
              </w:rPr>
              <w:t>+5%</w:t>
            </w:r>
          </w:p>
        </w:tc>
        <w:tc>
          <w:tcPr>
            <w:tcW w:w="1000" w:type="pct"/>
          </w:tcPr>
          <w:p w14:paraId="00C41908" w14:textId="77777777" w:rsidR="00D87E57" w:rsidRPr="00F17E86" w:rsidRDefault="00D87E57" w:rsidP="0047559B">
            <w:pPr>
              <w:ind w:left="-120" w:right="-132"/>
              <w:jc w:val="center"/>
              <w:rPr>
                <w:rFonts w:cs="Times New Roman"/>
                <w:b/>
                <w:sz w:val="24"/>
              </w:rPr>
            </w:pPr>
            <w:r w:rsidRPr="00F17E86">
              <w:rPr>
                <w:rFonts w:cs="Times New Roman"/>
                <w:b/>
                <w:sz w:val="24"/>
              </w:rPr>
              <w:t>+17,5%</w:t>
            </w:r>
          </w:p>
        </w:tc>
        <w:tc>
          <w:tcPr>
            <w:tcW w:w="1000" w:type="pct"/>
          </w:tcPr>
          <w:p w14:paraId="7E00EC52" w14:textId="77777777" w:rsidR="00D87E57" w:rsidRPr="00F17E86" w:rsidRDefault="00D87E57" w:rsidP="0047559B">
            <w:pPr>
              <w:ind w:left="-120" w:right="-132"/>
              <w:jc w:val="center"/>
              <w:rPr>
                <w:rFonts w:cs="Times New Roman"/>
                <w:b/>
                <w:sz w:val="24"/>
              </w:rPr>
            </w:pPr>
            <w:r w:rsidRPr="00F17E86">
              <w:rPr>
                <w:rFonts w:cs="Times New Roman"/>
                <w:b/>
                <w:sz w:val="24"/>
              </w:rPr>
              <w:t>+4,4%</w:t>
            </w:r>
          </w:p>
        </w:tc>
      </w:tr>
      <w:tr w:rsidR="00D87E57" w:rsidRPr="00F17E86" w14:paraId="4059A383" w14:textId="77777777" w:rsidTr="0047559B">
        <w:tc>
          <w:tcPr>
            <w:tcW w:w="1000" w:type="pct"/>
          </w:tcPr>
          <w:p w14:paraId="6311FD83"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3B9989B2" wp14:editId="0C4432B5">
                  <wp:extent cx="1368000" cy="1512000"/>
                  <wp:effectExtent l="0" t="0" r="3810"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000" w:type="pct"/>
          </w:tcPr>
          <w:p w14:paraId="44377031"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2F59F058" wp14:editId="2866285A">
                  <wp:extent cx="1368000" cy="1512000"/>
                  <wp:effectExtent l="0" t="0" r="3810" b="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000" w:type="pct"/>
          </w:tcPr>
          <w:p w14:paraId="1DD7ED55"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7226CA00" wp14:editId="552062E0">
                  <wp:extent cx="1368000" cy="1512000"/>
                  <wp:effectExtent l="0" t="0" r="3810" b="0"/>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000" w:type="pct"/>
          </w:tcPr>
          <w:p w14:paraId="7FB88E12"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567E1566" wp14:editId="3E07C4B8">
                  <wp:extent cx="1368000" cy="1512000"/>
                  <wp:effectExtent l="0" t="0" r="3810" b="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000" w:type="pct"/>
          </w:tcPr>
          <w:p w14:paraId="662F5195"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4B129871" wp14:editId="236EF979">
                  <wp:extent cx="1368000" cy="1512000"/>
                  <wp:effectExtent l="0" t="0" r="3810" b="0"/>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D87E57" w:rsidRPr="00F17E86" w14:paraId="34951BF2" w14:textId="77777777" w:rsidTr="0047559B">
        <w:tc>
          <w:tcPr>
            <w:tcW w:w="1000" w:type="pct"/>
          </w:tcPr>
          <w:p w14:paraId="49E29F06"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15FB7922"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6B62B98F"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4575833B"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48385802" w14:textId="77777777" w:rsidR="00D87E57" w:rsidRPr="00F17E86" w:rsidRDefault="00D87E57" w:rsidP="0047559B">
            <w:pPr>
              <w:rPr>
                <w:rFonts w:cs="Times New Roman"/>
                <w:sz w:val="12"/>
                <w:szCs w:val="12"/>
              </w:rPr>
            </w:pPr>
            <w:r w:rsidRPr="00F17E86">
              <w:rPr>
                <w:rFonts w:cs="Times New Roman"/>
                <w:sz w:val="12"/>
                <w:szCs w:val="12"/>
              </w:rPr>
              <w:t>*2017.gada 1.pusgads</w:t>
            </w:r>
          </w:p>
        </w:tc>
      </w:tr>
      <w:tr w:rsidR="00D87E57" w:rsidRPr="00F17E86" w14:paraId="10B78F01" w14:textId="77777777" w:rsidTr="0047559B">
        <w:tc>
          <w:tcPr>
            <w:tcW w:w="1000" w:type="pct"/>
            <w:tcBorders>
              <w:bottom w:val="single" w:sz="4" w:space="0" w:color="auto"/>
            </w:tcBorders>
          </w:tcPr>
          <w:p w14:paraId="575DD6DF"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46091F8C"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670C2555"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58012829"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3F6E9785" w14:textId="77777777" w:rsidR="00D87E57" w:rsidRPr="00F17E86" w:rsidRDefault="00D87E57" w:rsidP="0047559B">
            <w:pPr>
              <w:rPr>
                <w:rFonts w:cs="Times New Roman"/>
                <w:sz w:val="12"/>
                <w:szCs w:val="12"/>
              </w:rPr>
            </w:pPr>
            <w:r w:rsidRPr="00F17E86">
              <w:rPr>
                <w:rFonts w:cs="Times New Roman"/>
                <w:sz w:val="12"/>
                <w:szCs w:val="12"/>
              </w:rPr>
              <w:t>Avots: CSP</w:t>
            </w:r>
          </w:p>
        </w:tc>
      </w:tr>
    </w:tbl>
    <w:p w14:paraId="6CF5C9FD" w14:textId="77777777" w:rsidR="00D87E57" w:rsidRPr="00F17E86" w:rsidRDefault="00D87E57" w:rsidP="00D87E57">
      <w:pPr>
        <w:spacing w:before="60" w:after="60"/>
        <w:ind w:firstLine="426"/>
        <w:rPr>
          <w:rFonts w:cs="Times New Roman"/>
          <w:sz w:val="4"/>
          <w:szCs w:val="8"/>
        </w:rPr>
      </w:pPr>
    </w:p>
    <w:p w14:paraId="2C52EAB1" w14:textId="77777777" w:rsidR="00D87E57" w:rsidRPr="00F17E86" w:rsidRDefault="00D87E57" w:rsidP="00D87E57">
      <w:pPr>
        <w:spacing w:before="60" w:after="60"/>
        <w:ind w:firstLine="720"/>
        <w:rPr>
          <w:rFonts w:cs="Times New Roman"/>
          <w:sz w:val="12"/>
        </w:rPr>
      </w:pPr>
    </w:p>
    <w:p w14:paraId="040264D7" w14:textId="77777777" w:rsidR="00D87E57" w:rsidRPr="00F17E86" w:rsidRDefault="00D87E57" w:rsidP="00D87E57">
      <w:pPr>
        <w:spacing w:before="60" w:after="60"/>
        <w:rPr>
          <w:rFonts w:cs="Times New Roman"/>
        </w:rPr>
      </w:pPr>
      <w:r w:rsidRPr="00F17E86">
        <w:rPr>
          <w:rFonts w:cs="Times New Roman"/>
        </w:rPr>
        <w:t>Latvijas ekonomikā ir novērstas “trekno” gadu izteiktās makroekonomiskās disproporcijas un mazināti ekonomikas ievainojamības riski pret iekšējiem un ārējiem šokiem. Pašlaik makroekonomiskā stabilitāte tiek noturēta – zems valsts parāds, budžets ir tuvu līdzsvaram, maksājuma bilance sabalansēta. Inflācija, lai arī pieaug, bet tās pamatā ir piedāvājuma puses faktori.</w:t>
      </w:r>
    </w:p>
    <w:p w14:paraId="71A046F2" w14:textId="77777777" w:rsidR="00D87E57" w:rsidRPr="00F17E86" w:rsidRDefault="00D87E57" w:rsidP="00D87E57">
      <w:pPr>
        <w:spacing w:before="60" w:after="60"/>
        <w:rPr>
          <w:rFonts w:cs="Times New Roman"/>
        </w:rPr>
      </w:pPr>
    </w:p>
    <w:p w14:paraId="2CCE96B2" w14:textId="77777777" w:rsidR="00D87E57" w:rsidRPr="00F17E86" w:rsidRDefault="00D87E57" w:rsidP="00D87E57">
      <w:pPr>
        <w:spacing w:before="60" w:after="60"/>
        <w:rPr>
          <w:rFonts w:cs="Times New Roman"/>
        </w:rPr>
      </w:pPr>
    </w:p>
    <w:p w14:paraId="0C77E9FB" w14:textId="77777777" w:rsidR="00D87E57" w:rsidRPr="00F17E86" w:rsidRDefault="00D87E57" w:rsidP="00D87E57">
      <w:pPr>
        <w:spacing w:before="60" w:after="60"/>
        <w:rPr>
          <w:rFonts w:cs="Times New Roman"/>
        </w:rPr>
      </w:pPr>
    </w:p>
    <w:p w14:paraId="6F580850" w14:textId="77777777" w:rsidR="00D87E57" w:rsidRPr="00F17E86" w:rsidRDefault="00D87E57" w:rsidP="00D87E57">
      <w:pPr>
        <w:spacing w:before="60" w:after="60"/>
        <w:rPr>
          <w:rFonts w:cs="Times New Roman"/>
        </w:rPr>
      </w:pPr>
    </w:p>
    <w:p w14:paraId="1F43E5DE" w14:textId="77777777" w:rsidR="00D87E57" w:rsidRPr="00F17E86" w:rsidRDefault="00D87E57" w:rsidP="00D87E57">
      <w:pPr>
        <w:spacing w:before="60" w:after="60"/>
        <w:rPr>
          <w:rFonts w:cs="Times New Roman"/>
        </w:rPr>
      </w:pPr>
    </w:p>
    <w:p w14:paraId="0AD6326B" w14:textId="77777777" w:rsidR="00D87E57" w:rsidRPr="00F17E86" w:rsidRDefault="00D87E57" w:rsidP="00D87E57">
      <w:pPr>
        <w:spacing w:before="60" w:after="60"/>
        <w:rPr>
          <w:rFonts w:cs="Times New Roman"/>
        </w:rPr>
      </w:pPr>
    </w:p>
    <w:p w14:paraId="5658F242" w14:textId="77777777" w:rsidR="00D87E57" w:rsidRPr="00F17E86" w:rsidRDefault="00D87E57" w:rsidP="00D87E57">
      <w:pPr>
        <w:spacing w:before="60" w:after="60"/>
        <w:rPr>
          <w:rFonts w:cs="Times New Roman"/>
        </w:rPr>
      </w:pPr>
    </w:p>
    <w:p w14:paraId="2D52C171" w14:textId="77777777" w:rsidR="00D87E57" w:rsidRPr="00F17E86" w:rsidRDefault="00D87E57" w:rsidP="00D87E57">
      <w:pPr>
        <w:spacing w:before="60" w:after="60"/>
        <w:rPr>
          <w:rFonts w:cs="Times New Roman"/>
        </w:rPr>
      </w:pPr>
    </w:p>
    <w:p w14:paraId="5AD3E25E" w14:textId="77777777" w:rsidR="00D87E57" w:rsidRPr="00F17E86" w:rsidRDefault="00D87E57" w:rsidP="00D87E57">
      <w:pPr>
        <w:spacing w:before="60" w:after="60"/>
        <w:rPr>
          <w:rFonts w:cs="Times New Roman"/>
        </w:rPr>
      </w:pPr>
    </w:p>
    <w:p w14:paraId="6AE34C18" w14:textId="77777777" w:rsidR="00D87E57" w:rsidRPr="00F17E86" w:rsidRDefault="00D87E57" w:rsidP="00D87E57">
      <w:pPr>
        <w:spacing w:before="60" w:after="60"/>
        <w:ind w:firstLine="720"/>
        <w:rPr>
          <w:rFonts w:cs="Times New Roman"/>
          <w:sz w:val="12"/>
          <w:szCs w:val="12"/>
        </w:rPr>
      </w:pPr>
    </w:p>
    <w:p w14:paraId="706AE8F3" w14:textId="77777777" w:rsidR="00F17E86" w:rsidRDefault="00F17E86" w:rsidP="00D87E57">
      <w:pPr>
        <w:spacing w:before="60" w:after="60"/>
        <w:ind w:firstLine="426"/>
        <w:jc w:val="right"/>
        <w:rPr>
          <w:rFonts w:cs="Times New Roman"/>
          <w:b/>
        </w:rPr>
      </w:pPr>
    </w:p>
    <w:p w14:paraId="2CEB1334" w14:textId="77777777" w:rsidR="00D87E57" w:rsidRPr="00F17E86" w:rsidRDefault="00D87E57" w:rsidP="00D87E57">
      <w:pPr>
        <w:spacing w:before="60" w:after="60"/>
        <w:ind w:firstLine="426"/>
        <w:jc w:val="right"/>
        <w:rPr>
          <w:rFonts w:cs="Times New Roman"/>
          <w:b/>
        </w:rPr>
      </w:pPr>
      <w:r w:rsidRPr="00F17E86">
        <w:rPr>
          <w:rFonts w:cs="Times New Roman"/>
          <w:b/>
        </w:rPr>
        <w:lastRenderedPageBreak/>
        <w:t>2.attēls. Makroekonomikā stabilitāte tiek noturēta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1703"/>
        <w:gridCol w:w="1703"/>
        <w:gridCol w:w="1703"/>
        <w:gridCol w:w="1703"/>
      </w:tblGrid>
      <w:tr w:rsidR="00D87E57" w:rsidRPr="00F17E86" w14:paraId="4DA77B3B" w14:textId="77777777" w:rsidTr="0047559B">
        <w:tc>
          <w:tcPr>
            <w:tcW w:w="1000" w:type="pct"/>
            <w:tcBorders>
              <w:top w:val="single" w:sz="4" w:space="0" w:color="auto"/>
            </w:tcBorders>
          </w:tcPr>
          <w:p w14:paraId="514C8DAD" w14:textId="77777777" w:rsidR="00D87E57" w:rsidRPr="00F17E86" w:rsidRDefault="00D87E57" w:rsidP="0047559B">
            <w:pPr>
              <w:jc w:val="center"/>
              <w:rPr>
                <w:rFonts w:cs="Times New Roman"/>
                <w:sz w:val="20"/>
              </w:rPr>
            </w:pPr>
            <w:r w:rsidRPr="00F17E86">
              <w:rPr>
                <w:rFonts w:cs="Times New Roman"/>
                <w:sz w:val="20"/>
              </w:rPr>
              <w:t>Gada inflācija</w:t>
            </w:r>
          </w:p>
          <w:p w14:paraId="00E4133F" w14:textId="77777777" w:rsidR="00D87E57" w:rsidRPr="00F17E86" w:rsidRDefault="00D87E57" w:rsidP="0047559B">
            <w:pPr>
              <w:jc w:val="center"/>
              <w:rPr>
                <w:rFonts w:cs="Times New Roman"/>
                <w:sz w:val="20"/>
              </w:rPr>
            </w:pPr>
          </w:p>
        </w:tc>
        <w:tc>
          <w:tcPr>
            <w:tcW w:w="1000" w:type="pct"/>
            <w:tcBorders>
              <w:top w:val="single" w:sz="4" w:space="0" w:color="auto"/>
            </w:tcBorders>
          </w:tcPr>
          <w:p w14:paraId="48C312DB" w14:textId="77777777" w:rsidR="00D87E57" w:rsidRPr="00F17E86" w:rsidRDefault="00D87E57" w:rsidP="0047559B">
            <w:pPr>
              <w:jc w:val="center"/>
              <w:rPr>
                <w:rFonts w:cs="Times New Roman"/>
                <w:sz w:val="20"/>
              </w:rPr>
            </w:pPr>
            <w:r w:rsidRPr="00F17E86">
              <w:rPr>
                <w:rFonts w:cs="Times New Roman"/>
                <w:sz w:val="20"/>
              </w:rPr>
              <w:t xml:space="preserve">Atsākas </w:t>
            </w:r>
            <w:r w:rsidRPr="00F17E86">
              <w:rPr>
                <w:rFonts w:cs="Times New Roman"/>
                <w:sz w:val="20"/>
              </w:rPr>
              <w:br/>
              <w:t>kreditēšana</w:t>
            </w:r>
          </w:p>
        </w:tc>
        <w:tc>
          <w:tcPr>
            <w:tcW w:w="1000" w:type="pct"/>
            <w:tcBorders>
              <w:top w:val="single" w:sz="4" w:space="0" w:color="auto"/>
            </w:tcBorders>
          </w:tcPr>
          <w:p w14:paraId="7EB73386" w14:textId="77777777" w:rsidR="00D87E57" w:rsidRPr="00F17E86" w:rsidRDefault="00D87E57" w:rsidP="0047559B">
            <w:pPr>
              <w:jc w:val="center"/>
              <w:rPr>
                <w:rFonts w:cs="Times New Roman"/>
                <w:sz w:val="20"/>
              </w:rPr>
            </w:pPr>
            <w:r w:rsidRPr="00F17E86">
              <w:rPr>
                <w:rFonts w:cs="Times New Roman"/>
                <w:sz w:val="20"/>
              </w:rPr>
              <w:t>Budžets ir sabalansēts</w:t>
            </w:r>
          </w:p>
          <w:p w14:paraId="55408A6C" w14:textId="77777777" w:rsidR="00D87E57" w:rsidRPr="00F17E86" w:rsidRDefault="00D87E57" w:rsidP="0047559B">
            <w:pPr>
              <w:jc w:val="center"/>
              <w:rPr>
                <w:rFonts w:cs="Times New Roman"/>
                <w:sz w:val="20"/>
              </w:rPr>
            </w:pPr>
          </w:p>
        </w:tc>
        <w:tc>
          <w:tcPr>
            <w:tcW w:w="1000" w:type="pct"/>
            <w:tcBorders>
              <w:top w:val="single" w:sz="4" w:space="0" w:color="auto"/>
            </w:tcBorders>
          </w:tcPr>
          <w:p w14:paraId="280B3CE8" w14:textId="77777777" w:rsidR="00D87E57" w:rsidRPr="00F17E86" w:rsidRDefault="00D87E57" w:rsidP="0047559B">
            <w:pPr>
              <w:jc w:val="center"/>
              <w:rPr>
                <w:rFonts w:cs="Times New Roman"/>
                <w:sz w:val="20"/>
              </w:rPr>
            </w:pPr>
            <w:r w:rsidRPr="00F17E86">
              <w:rPr>
                <w:rFonts w:cs="Times New Roman"/>
                <w:sz w:val="20"/>
              </w:rPr>
              <w:t>Valsts parāds nepieaug</w:t>
            </w:r>
          </w:p>
          <w:p w14:paraId="522C6ACB" w14:textId="77777777" w:rsidR="00D87E57" w:rsidRPr="00F17E86" w:rsidRDefault="00D87E57" w:rsidP="0047559B">
            <w:pPr>
              <w:jc w:val="center"/>
              <w:rPr>
                <w:rFonts w:cs="Times New Roman"/>
                <w:sz w:val="20"/>
              </w:rPr>
            </w:pPr>
          </w:p>
        </w:tc>
        <w:tc>
          <w:tcPr>
            <w:tcW w:w="1000" w:type="pct"/>
            <w:tcBorders>
              <w:top w:val="single" w:sz="4" w:space="0" w:color="auto"/>
            </w:tcBorders>
          </w:tcPr>
          <w:p w14:paraId="0D09D7C6" w14:textId="77777777" w:rsidR="00D87E57" w:rsidRPr="00F17E86" w:rsidRDefault="00D87E57" w:rsidP="0047559B">
            <w:pPr>
              <w:jc w:val="center"/>
              <w:rPr>
                <w:rFonts w:cs="Times New Roman"/>
                <w:sz w:val="20"/>
              </w:rPr>
            </w:pPr>
            <w:r w:rsidRPr="00F17E86">
              <w:rPr>
                <w:rFonts w:cs="Times New Roman"/>
                <w:sz w:val="20"/>
              </w:rPr>
              <w:t>Tekošā konta bilance tuva līdzsvaram</w:t>
            </w:r>
          </w:p>
        </w:tc>
      </w:tr>
      <w:tr w:rsidR="00D87E57" w:rsidRPr="00F17E86" w14:paraId="168EBE2E" w14:textId="77777777" w:rsidTr="0047559B">
        <w:tc>
          <w:tcPr>
            <w:tcW w:w="1000" w:type="pct"/>
          </w:tcPr>
          <w:p w14:paraId="2D2F5808" w14:textId="77777777" w:rsidR="00D87E57" w:rsidRPr="00F17E86" w:rsidRDefault="00D87E57" w:rsidP="0047559B">
            <w:pPr>
              <w:ind w:left="-120" w:right="-132"/>
              <w:jc w:val="center"/>
              <w:rPr>
                <w:rFonts w:cs="Times New Roman"/>
                <w:b/>
                <w:sz w:val="24"/>
              </w:rPr>
            </w:pPr>
            <w:r w:rsidRPr="00F17E86">
              <w:rPr>
                <w:rFonts w:cs="Times New Roman"/>
                <w:b/>
                <w:sz w:val="24"/>
              </w:rPr>
              <w:t>+2,5%</w:t>
            </w:r>
          </w:p>
        </w:tc>
        <w:tc>
          <w:tcPr>
            <w:tcW w:w="1000" w:type="pct"/>
          </w:tcPr>
          <w:p w14:paraId="0C50FD55" w14:textId="77777777" w:rsidR="00D87E57" w:rsidRPr="00F17E86" w:rsidRDefault="00D87E57" w:rsidP="0047559B">
            <w:pPr>
              <w:ind w:left="-120" w:right="-132"/>
              <w:jc w:val="center"/>
              <w:rPr>
                <w:rFonts w:cs="Times New Roman"/>
                <w:b/>
                <w:sz w:val="24"/>
              </w:rPr>
            </w:pPr>
            <w:r w:rsidRPr="00F17E86">
              <w:rPr>
                <w:rFonts w:cs="Times New Roman"/>
                <w:b/>
                <w:sz w:val="24"/>
              </w:rPr>
              <w:t>+1,2%</w:t>
            </w:r>
          </w:p>
        </w:tc>
        <w:tc>
          <w:tcPr>
            <w:tcW w:w="1000" w:type="pct"/>
          </w:tcPr>
          <w:p w14:paraId="1A1351DD" w14:textId="77777777" w:rsidR="00D87E57" w:rsidRPr="00F17E86" w:rsidRDefault="00D87E57" w:rsidP="0047559B">
            <w:pPr>
              <w:ind w:left="-120" w:right="-132"/>
              <w:jc w:val="center"/>
              <w:rPr>
                <w:rFonts w:cs="Times New Roman"/>
                <w:b/>
                <w:sz w:val="24"/>
              </w:rPr>
            </w:pPr>
            <w:r w:rsidRPr="00F17E86">
              <w:rPr>
                <w:rFonts w:cs="Times New Roman"/>
                <w:b/>
                <w:sz w:val="24"/>
              </w:rPr>
              <w:t xml:space="preserve">0,01% </w:t>
            </w:r>
            <w:r w:rsidRPr="00F17E86">
              <w:rPr>
                <w:rFonts w:cs="Times New Roman"/>
                <w:sz w:val="16"/>
              </w:rPr>
              <w:t>no IKP</w:t>
            </w:r>
          </w:p>
        </w:tc>
        <w:tc>
          <w:tcPr>
            <w:tcW w:w="1000" w:type="pct"/>
          </w:tcPr>
          <w:p w14:paraId="723856A9" w14:textId="77777777" w:rsidR="00D87E57" w:rsidRPr="00F17E86" w:rsidRDefault="00D87E57" w:rsidP="0047559B">
            <w:pPr>
              <w:ind w:left="-120" w:right="-132"/>
              <w:jc w:val="center"/>
              <w:rPr>
                <w:rFonts w:cs="Times New Roman"/>
                <w:b/>
                <w:sz w:val="24"/>
              </w:rPr>
            </w:pPr>
            <w:r w:rsidRPr="00F17E86">
              <w:rPr>
                <w:rFonts w:cs="Times New Roman"/>
                <w:b/>
                <w:sz w:val="24"/>
              </w:rPr>
              <w:t xml:space="preserve">40,1% </w:t>
            </w:r>
            <w:r w:rsidRPr="00F17E86">
              <w:rPr>
                <w:rFonts w:cs="Times New Roman"/>
                <w:sz w:val="16"/>
              </w:rPr>
              <w:t>no IKP</w:t>
            </w:r>
          </w:p>
        </w:tc>
        <w:tc>
          <w:tcPr>
            <w:tcW w:w="1000" w:type="pct"/>
          </w:tcPr>
          <w:p w14:paraId="76618741" w14:textId="77777777" w:rsidR="00D87E57" w:rsidRPr="00F17E86" w:rsidRDefault="00D87E57" w:rsidP="0047559B">
            <w:pPr>
              <w:ind w:left="-120" w:right="-132"/>
              <w:jc w:val="center"/>
              <w:rPr>
                <w:rFonts w:cs="Times New Roman"/>
                <w:b/>
                <w:sz w:val="24"/>
              </w:rPr>
            </w:pPr>
            <w:r w:rsidRPr="00F17E86">
              <w:rPr>
                <w:rFonts w:cs="Times New Roman"/>
                <w:b/>
                <w:sz w:val="24"/>
              </w:rPr>
              <w:t>-0,3%</w:t>
            </w:r>
            <w:r w:rsidRPr="00F17E86">
              <w:rPr>
                <w:rFonts w:cs="Times New Roman"/>
                <w:sz w:val="20"/>
              </w:rPr>
              <w:t xml:space="preserve"> </w:t>
            </w:r>
            <w:r w:rsidRPr="00F17E86">
              <w:rPr>
                <w:rFonts w:cs="Times New Roman"/>
                <w:sz w:val="16"/>
              </w:rPr>
              <w:t>no IKP</w:t>
            </w:r>
          </w:p>
        </w:tc>
      </w:tr>
      <w:tr w:rsidR="00D87E57" w:rsidRPr="00F17E86" w14:paraId="466721B4" w14:textId="77777777" w:rsidTr="0047559B">
        <w:tc>
          <w:tcPr>
            <w:tcW w:w="1000" w:type="pct"/>
          </w:tcPr>
          <w:p w14:paraId="7D229E09"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7365694D" wp14:editId="1485A0B7">
                  <wp:extent cx="1368000" cy="1512000"/>
                  <wp:effectExtent l="0" t="0" r="3810" b="0"/>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1000" w:type="pct"/>
          </w:tcPr>
          <w:p w14:paraId="3415A95E"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65735BFA" wp14:editId="159C7B50">
                  <wp:extent cx="1368000" cy="1512000"/>
                  <wp:effectExtent l="0" t="0" r="3810" b="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000" w:type="pct"/>
          </w:tcPr>
          <w:p w14:paraId="3E0F5CC8"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2F335859" wp14:editId="5FD10F38">
                  <wp:extent cx="1368000" cy="1512000"/>
                  <wp:effectExtent l="0" t="0" r="3810" b="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000" w:type="pct"/>
          </w:tcPr>
          <w:p w14:paraId="6E673221"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7241BCB8" wp14:editId="5EF1D5D4">
                  <wp:extent cx="1368000" cy="1512000"/>
                  <wp:effectExtent l="0" t="0" r="3810" b="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000" w:type="pct"/>
          </w:tcPr>
          <w:p w14:paraId="07FB1527"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7EA510EF" wp14:editId="1D87A8BF">
                  <wp:extent cx="1368000" cy="1512000"/>
                  <wp:effectExtent l="0" t="0" r="3810" b="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87E57" w:rsidRPr="00F17E86" w14:paraId="4DA577C6" w14:textId="77777777" w:rsidTr="0047559B">
        <w:tc>
          <w:tcPr>
            <w:tcW w:w="1000" w:type="pct"/>
          </w:tcPr>
          <w:p w14:paraId="7D84DA7E"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6CBF0763"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778B454A"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34EE307A"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30C69741" w14:textId="77777777" w:rsidR="00D87E57" w:rsidRPr="00F17E86" w:rsidRDefault="00D87E57" w:rsidP="0047559B">
            <w:pPr>
              <w:rPr>
                <w:rFonts w:cs="Times New Roman"/>
                <w:sz w:val="12"/>
                <w:szCs w:val="12"/>
              </w:rPr>
            </w:pPr>
            <w:r w:rsidRPr="00F17E86">
              <w:rPr>
                <w:rFonts w:cs="Times New Roman"/>
                <w:sz w:val="12"/>
                <w:szCs w:val="12"/>
              </w:rPr>
              <w:t>*2017.gada 1.pusgads</w:t>
            </w:r>
          </w:p>
        </w:tc>
      </w:tr>
      <w:tr w:rsidR="00D87E57" w:rsidRPr="00F17E86" w14:paraId="36FEC08B" w14:textId="77777777" w:rsidTr="0047559B">
        <w:tc>
          <w:tcPr>
            <w:tcW w:w="1000" w:type="pct"/>
            <w:tcBorders>
              <w:bottom w:val="single" w:sz="4" w:space="0" w:color="auto"/>
            </w:tcBorders>
          </w:tcPr>
          <w:p w14:paraId="5FF0B4A1"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304E6C31" w14:textId="77777777" w:rsidR="00D87E57" w:rsidRPr="00F17E86" w:rsidRDefault="00D87E57" w:rsidP="0047559B">
            <w:pPr>
              <w:rPr>
                <w:rFonts w:cs="Times New Roman"/>
                <w:sz w:val="12"/>
                <w:szCs w:val="12"/>
              </w:rPr>
            </w:pPr>
            <w:r w:rsidRPr="00F17E86">
              <w:rPr>
                <w:rFonts w:cs="Times New Roman"/>
                <w:sz w:val="12"/>
                <w:szCs w:val="12"/>
              </w:rPr>
              <w:t>Avots: FKTK</w:t>
            </w:r>
          </w:p>
        </w:tc>
        <w:tc>
          <w:tcPr>
            <w:tcW w:w="1000" w:type="pct"/>
            <w:tcBorders>
              <w:bottom w:val="single" w:sz="4" w:space="0" w:color="auto"/>
            </w:tcBorders>
          </w:tcPr>
          <w:p w14:paraId="4B995643"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548F2699"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12C8A8C1" w14:textId="77777777" w:rsidR="00D87E57" w:rsidRPr="00F17E86" w:rsidRDefault="00D87E57" w:rsidP="0047559B">
            <w:pPr>
              <w:rPr>
                <w:rFonts w:cs="Times New Roman"/>
                <w:sz w:val="12"/>
                <w:szCs w:val="12"/>
              </w:rPr>
            </w:pPr>
            <w:r w:rsidRPr="00F17E86">
              <w:rPr>
                <w:rFonts w:cs="Times New Roman"/>
                <w:sz w:val="12"/>
                <w:szCs w:val="12"/>
              </w:rPr>
              <w:t>Avots: Latvijas Banka</w:t>
            </w:r>
          </w:p>
        </w:tc>
      </w:tr>
    </w:tbl>
    <w:p w14:paraId="662D5276" w14:textId="77777777" w:rsidR="00D87E57" w:rsidRPr="00F17E86" w:rsidRDefault="00D87E57" w:rsidP="00D87E57">
      <w:pPr>
        <w:spacing w:before="60" w:after="60"/>
        <w:ind w:firstLine="426"/>
        <w:rPr>
          <w:rFonts w:cs="Times New Roman"/>
          <w:sz w:val="4"/>
          <w:szCs w:val="8"/>
        </w:rPr>
      </w:pPr>
    </w:p>
    <w:p w14:paraId="73C15B05" w14:textId="77777777" w:rsidR="00D87E57" w:rsidRPr="00F17E86" w:rsidRDefault="00D87E57" w:rsidP="00D87E57">
      <w:pPr>
        <w:spacing w:before="60" w:after="60"/>
        <w:rPr>
          <w:rFonts w:cs="Times New Roman"/>
        </w:rPr>
      </w:pPr>
    </w:p>
    <w:p w14:paraId="5BCDCD12" w14:textId="77777777" w:rsidR="00D87E57" w:rsidRPr="00F17E86" w:rsidRDefault="00D87E57" w:rsidP="00D87E57">
      <w:pPr>
        <w:spacing w:before="60" w:after="60"/>
        <w:rPr>
          <w:rFonts w:cs="Times New Roman"/>
        </w:rPr>
      </w:pPr>
      <w:r w:rsidRPr="00F17E86">
        <w:rPr>
          <w:rFonts w:cs="Times New Roman"/>
        </w:rPr>
        <w:t>Vienlaikus darba tirgū vērojams sasprindzinājums – demogrāfijas un migrācijas dēļ sarūk ekonomiski aktīvo iedzīvotāju skaits, vakanču kļūst arvien vairāk, trūkst darbinieku un vērojams straujš algu pieaugums.</w:t>
      </w:r>
    </w:p>
    <w:p w14:paraId="014107EE" w14:textId="77777777" w:rsidR="00D87E57" w:rsidRPr="00F17E86" w:rsidRDefault="00D87E57" w:rsidP="00D87E57">
      <w:pPr>
        <w:spacing w:before="60" w:after="60"/>
        <w:rPr>
          <w:rFonts w:cs="Times New Roman"/>
        </w:rPr>
      </w:pPr>
    </w:p>
    <w:p w14:paraId="36D9E784" w14:textId="77777777" w:rsidR="00D87E57" w:rsidRPr="00F17E86" w:rsidRDefault="00D87E57" w:rsidP="00D87E57">
      <w:pPr>
        <w:spacing w:before="60" w:after="60"/>
        <w:rPr>
          <w:rFonts w:cs="Times New Roman"/>
        </w:rPr>
      </w:pPr>
    </w:p>
    <w:p w14:paraId="60937351" w14:textId="77777777" w:rsidR="00D87E57" w:rsidRPr="00F17E86" w:rsidRDefault="00D87E57" w:rsidP="00D87E57">
      <w:pPr>
        <w:pStyle w:val="NormalWeb"/>
        <w:spacing w:before="0" w:beforeAutospacing="0" w:after="80" w:afterAutospacing="0"/>
        <w:jc w:val="right"/>
        <w:rPr>
          <w:rFonts w:asciiTheme="minorHAnsi" w:hAnsiTheme="minorHAnsi"/>
          <w:b/>
          <w:sz w:val="22"/>
          <w:szCs w:val="22"/>
        </w:rPr>
      </w:pPr>
      <w:r w:rsidRPr="00F17E86">
        <w:rPr>
          <w:rFonts w:asciiTheme="minorHAnsi" w:hAnsiTheme="minorHAnsi"/>
          <w:b/>
          <w:sz w:val="22"/>
          <w:szCs w:val="22"/>
        </w:rPr>
        <w:t>3.attēls. Darba tirgū ir vērojams sasprindzinājums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1703"/>
        <w:gridCol w:w="1703"/>
        <w:gridCol w:w="1703"/>
        <w:gridCol w:w="1703"/>
      </w:tblGrid>
      <w:tr w:rsidR="00D87E57" w:rsidRPr="00F17E86" w14:paraId="3231BE11" w14:textId="77777777" w:rsidTr="0047559B">
        <w:tc>
          <w:tcPr>
            <w:tcW w:w="1000" w:type="pct"/>
            <w:tcBorders>
              <w:top w:val="single" w:sz="4" w:space="0" w:color="auto"/>
            </w:tcBorders>
            <w:vAlign w:val="center"/>
          </w:tcPr>
          <w:p w14:paraId="13BBD0DB" w14:textId="77777777" w:rsidR="00D87E57" w:rsidRPr="00F17E86" w:rsidRDefault="00D87E57" w:rsidP="0047559B">
            <w:pPr>
              <w:ind w:left="-105" w:right="-132"/>
              <w:jc w:val="center"/>
              <w:rPr>
                <w:rFonts w:cs="Times New Roman"/>
                <w:sz w:val="20"/>
                <w:lang w:val="lv-LV"/>
              </w:rPr>
            </w:pPr>
            <w:r w:rsidRPr="00F17E86">
              <w:rPr>
                <w:rFonts w:cs="Times New Roman"/>
                <w:sz w:val="20"/>
                <w:lang w:val="lv-LV"/>
              </w:rPr>
              <w:t>Sarūk ekonomiski aktīvo iedzīvotāju skaits</w:t>
            </w:r>
          </w:p>
        </w:tc>
        <w:tc>
          <w:tcPr>
            <w:tcW w:w="1000" w:type="pct"/>
            <w:tcBorders>
              <w:top w:val="single" w:sz="4" w:space="0" w:color="auto"/>
            </w:tcBorders>
            <w:vAlign w:val="center"/>
          </w:tcPr>
          <w:p w14:paraId="274820A6" w14:textId="77777777" w:rsidR="00D87E57" w:rsidRPr="00F17E86" w:rsidRDefault="00D87E57" w:rsidP="0047559B">
            <w:pPr>
              <w:jc w:val="center"/>
              <w:rPr>
                <w:rFonts w:cs="Times New Roman"/>
                <w:sz w:val="20"/>
              </w:rPr>
            </w:pPr>
            <w:r w:rsidRPr="00F17E86">
              <w:rPr>
                <w:rFonts w:cs="Times New Roman"/>
                <w:sz w:val="20"/>
              </w:rPr>
              <w:t>Nodarbināto skaits samazinās</w:t>
            </w:r>
          </w:p>
        </w:tc>
        <w:tc>
          <w:tcPr>
            <w:tcW w:w="1000" w:type="pct"/>
            <w:tcBorders>
              <w:top w:val="single" w:sz="4" w:space="0" w:color="auto"/>
            </w:tcBorders>
            <w:vAlign w:val="center"/>
          </w:tcPr>
          <w:p w14:paraId="151957E6" w14:textId="77777777" w:rsidR="00D87E57" w:rsidRPr="00F17E86" w:rsidRDefault="00D87E57" w:rsidP="0047559B">
            <w:pPr>
              <w:jc w:val="center"/>
              <w:rPr>
                <w:rFonts w:cs="Times New Roman"/>
                <w:sz w:val="20"/>
              </w:rPr>
            </w:pPr>
            <w:r w:rsidRPr="00F17E86">
              <w:rPr>
                <w:rFonts w:cs="Times New Roman"/>
                <w:sz w:val="20"/>
              </w:rPr>
              <w:t xml:space="preserve">Sarūk </w:t>
            </w:r>
          </w:p>
          <w:p w14:paraId="084DD2FF" w14:textId="77777777" w:rsidR="00D87E57" w:rsidRPr="00F17E86" w:rsidRDefault="00D87E57" w:rsidP="0047559B">
            <w:pPr>
              <w:jc w:val="center"/>
              <w:rPr>
                <w:rFonts w:cs="Times New Roman"/>
                <w:sz w:val="20"/>
              </w:rPr>
            </w:pPr>
            <w:r w:rsidRPr="00F17E86">
              <w:rPr>
                <w:rFonts w:cs="Times New Roman"/>
                <w:sz w:val="20"/>
              </w:rPr>
              <w:t>bezdarba līmenis</w:t>
            </w:r>
          </w:p>
        </w:tc>
        <w:tc>
          <w:tcPr>
            <w:tcW w:w="1000" w:type="pct"/>
            <w:tcBorders>
              <w:top w:val="single" w:sz="4" w:space="0" w:color="auto"/>
            </w:tcBorders>
            <w:vAlign w:val="center"/>
          </w:tcPr>
          <w:p w14:paraId="2CA43C35" w14:textId="77777777" w:rsidR="00D87E57" w:rsidRPr="00F17E86" w:rsidRDefault="00D87E57" w:rsidP="0047559B">
            <w:pPr>
              <w:jc w:val="center"/>
              <w:rPr>
                <w:rFonts w:cs="Times New Roman"/>
                <w:sz w:val="20"/>
              </w:rPr>
            </w:pPr>
            <w:r w:rsidRPr="00F17E86">
              <w:rPr>
                <w:rFonts w:cs="Times New Roman"/>
                <w:sz w:val="20"/>
              </w:rPr>
              <w:t xml:space="preserve">Pieaug vakanču </w:t>
            </w:r>
            <w:r w:rsidRPr="00F17E86">
              <w:rPr>
                <w:rFonts w:cs="Times New Roman"/>
                <w:sz w:val="20"/>
              </w:rPr>
              <w:br/>
              <w:t>skaits</w:t>
            </w:r>
          </w:p>
        </w:tc>
        <w:tc>
          <w:tcPr>
            <w:tcW w:w="1000" w:type="pct"/>
            <w:tcBorders>
              <w:top w:val="single" w:sz="4" w:space="0" w:color="auto"/>
            </w:tcBorders>
            <w:vAlign w:val="center"/>
          </w:tcPr>
          <w:p w14:paraId="33A6803E" w14:textId="77777777" w:rsidR="00D87E57" w:rsidRPr="00F17E86" w:rsidRDefault="00D87E57" w:rsidP="0047559B">
            <w:pPr>
              <w:jc w:val="center"/>
              <w:rPr>
                <w:rFonts w:cs="Times New Roman"/>
                <w:sz w:val="20"/>
              </w:rPr>
            </w:pPr>
            <w:r w:rsidRPr="00F17E86">
              <w:rPr>
                <w:rFonts w:cs="Times New Roman"/>
                <w:sz w:val="20"/>
              </w:rPr>
              <w:t>Pieaug</w:t>
            </w:r>
          </w:p>
          <w:p w14:paraId="15928CD7" w14:textId="77777777" w:rsidR="00D87E57" w:rsidRPr="00F17E86" w:rsidRDefault="00D87E57" w:rsidP="0047559B">
            <w:pPr>
              <w:jc w:val="center"/>
              <w:rPr>
                <w:rFonts w:cs="Times New Roman"/>
                <w:sz w:val="20"/>
              </w:rPr>
            </w:pPr>
            <w:r w:rsidRPr="00F17E86">
              <w:rPr>
                <w:rFonts w:cs="Times New Roman"/>
                <w:sz w:val="20"/>
              </w:rPr>
              <w:t>darba algas</w:t>
            </w:r>
          </w:p>
        </w:tc>
      </w:tr>
      <w:tr w:rsidR="00D87E57" w:rsidRPr="00F17E86" w14:paraId="61F6422E" w14:textId="77777777" w:rsidTr="0047559B">
        <w:tc>
          <w:tcPr>
            <w:tcW w:w="1000" w:type="pct"/>
          </w:tcPr>
          <w:p w14:paraId="3955613A" w14:textId="77777777" w:rsidR="00D87E57" w:rsidRPr="00F17E86" w:rsidRDefault="00D87E57" w:rsidP="0047559B">
            <w:pPr>
              <w:ind w:left="-120" w:right="-132"/>
              <w:jc w:val="center"/>
              <w:rPr>
                <w:rFonts w:cs="Times New Roman"/>
                <w:b/>
                <w:sz w:val="24"/>
              </w:rPr>
            </w:pPr>
            <w:r w:rsidRPr="00F17E86">
              <w:rPr>
                <w:rFonts w:cs="Times New Roman"/>
                <w:b/>
                <w:sz w:val="24"/>
              </w:rPr>
              <w:t>-1,6%</w:t>
            </w:r>
          </w:p>
        </w:tc>
        <w:tc>
          <w:tcPr>
            <w:tcW w:w="1000" w:type="pct"/>
          </w:tcPr>
          <w:p w14:paraId="1B7FB9C0" w14:textId="77777777" w:rsidR="00D87E57" w:rsidRPr="00F17E86" w:rsidRDefault="00D87E57" w:rsidP="0047559B">
            <w:pPr>
              <w:ind w:left="-120" w:right="-132"/>
              <w:jc w:val="center"/>
              <w:rPr>
                <w:rFonts w:cs="Times New Roman"/>
                <w:b/>
                <w:sz w:val="24"/>
              </w:rPr>
            </w:pPr>
            <w:r w:rsidRPr="00F17E86">
              <w:rPr>
                <w:rFonts w:cs="Times New Roman"/>
                <w:b/>
                <w:sz w:val="24"/>
              </w:rPr>
              <w:t>-0,8%</w:t>
            </w:r>
          </w:p>
        </w:tc>
        <w:tc>
          <w:tcPr>
            <w:tcW w:w="1000" w:type="pct"/>
          </w:tcPr>
          <w:p w14:paraId="0E05BFC3" w14:textId="77777777" w:rsidR="00D87E57" w:rsidRPr="00F17E86" w:rsidRDefault="00D87E57" w:rsidP="0047559B">
            <w:pPr>
              <w:ind w:left="-120" w:right="-132"/>
              <w:jc w:val="center"/>
              <w:rPr>
                <w:rFonts w:cs="Times New Roman"/>
                <w:b/>
                <w:sz w:val="24"/>
              </w:rPr>
            </w:pPr>
            <w:r w:rsidRPr="00F17E86">
              <w:rPr>
                <w:rFonts w:cs="Times New Roman"/>
                <w:b/>
                <w:sz w:val="24"/>
              </w:rPr>
              <w:t>9,1%</w:t>
            </w:r>
          </w:p>
        </w:tc>
        <w:tc>
          <w:tcPr>
            <w:tcW w:w="1000" w:type="pct"/>
          </w:tcPr>
          <w:p w14:paraId="0D9A5A7C" w14:textId="77777777" w:rsidR="00D87E57" w:rsidRPr="00F17E86" w:rsidRDefault="00D87E57" w:rsidP="0047559B">
            <w:pPr>
              <w:ind w:left="-120" w:right="-132"/>
              <w:jc w:val="center"/>
              <w:rPr>
                <w:rFonts w:cs="Times New Roman"/>
                <w:b/>
                <w:sz w:val="24"/>
              </w:rPr>
            </w:pPr>
            <w:r w:rsidRPr="00F17E86">
              <w:rPr>
                <w:rFonts w:cs="Times New Roman"/>
                <w:b/>
                <w:sz w:val="24"/>
              </w:rPr>
              <w:t>+15,2%</w:t>
            </w:r>
          </w:p>
        </w:tc>
        <w:tc>
          <w:tcPr>
            <w:tcW w:w="1000" w:type="pct"/>
          </w:tcPr>
          <w:p w14:paraId="758DF4D3" w14:textId="77777777" w:rsidR="00D87E57" w:rsidRPr="00F17E86" w:rsidRDefault="00D87E57" w:rsidP="0047559B">
            <w:pPr>
              <w:ind w:left="-120" w:right="-132"/>
              <w:jc w:val="center"/>
              <w:rPr>
                <w:rFonts w:cs="Times New Roman"/>
                <w:b/>
                <w:sz w:val="24"/>
              </w:rPr>
            </w:pPr>
            <w:r w:rsidRPr="00F17E86">
              <w:rPr>
                <w:rFonts w:cs="Times New Roman"/>
                <w:b/>
                <w:sz w:val="24"/>
              </w:rPr>
              <w:t>+9,3%</w:t>
            </w:r>
          </w:p>
        </w:tc>
      </w:tr>
      <w:tr w:rsidR="00D87E57" w:rsidRPr="00F17E86" w14:paraId="3F3DBE3E" w14:textId="77777777" w:rsidTr="0047559B">
        <w:tc>
          <w:tcPr>
            <w:tcW w:w="1000" w:type="pct"/>
          </w:tcPr>
          <w:p w14:paraId="3F55BE65"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78616DE4" wp14:editId="4CC1C11C">
                  <wp:extent cx="1368000" cy="1512000"/>
                  <wp:effectExtent l="0" t="0" r="3810" b="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000" w:type="pct"/>
          </w:tcPr>
          <w:p w14:paraId="577600CE"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401A1D9F" wp14:editId="44EF3D6B">
                  <wp:extent cx="1368000" cy="1512000"/>
                  <wp:effectExtent l="0" t="0" r="381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000" w:type="pct"/>
          </w:tcPr>
          <w:p w14:paraId="6509D00D"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291417DA" wp14:editId="02E3C1D8">
                  <wp:extent cx="1368000" cy="1512000"/>
                  <wp:effectExtent l="0" t="0" r="3810" b="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1000" w:type="pct"/>
          </w:tcPr>
          <w:p w14:paraId="447F6E2B"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76901F0F" wp14:editId="12046702">
                  <wp:extent cx="1368000" cy="1512000"/>
                  <wp:effectExtent l="0" t="0" r="3810"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000" w:type="pct"/>
          </w:tcPr>
          <w:p w14:paraId="67B25397" w14:textId="77777777" w:rsidR="00D87E57" w:rsidRPr="00F17E86" w:rsidRDefault="00D87E57" w:rsidP="0047559B">
            <w:pPr>
              <w:ind w:left="-120" w:right="-132"/>
              <w:rPr>
                <w:rFonts w:cs="Times New Roman"/>
              </w:rPr>
            </w:pPr>
            <w:r w:rsidRPr="00F17E86">
              <w:rPr>
                <w:rFonts w:cs="Times New Roman"/>
                <w:noProof/>
                <w:lang w:val="lv-LV" w:eastAsia="lv-LV"/>
              </w:rPr>
              <w:drawing>
                <wp:inline distT="0" distB="0" distL="0" distR="0" wp14:anchorId="4DF078FD" wp14:editId="1D5E63C5">
                  <wp:extent cx="1368000" cy="1512000"/>
                  <wp:effectExtent l="0" t="0" r="3810" b="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87E57" w:rsidRPr="00F17E86" w14:paraId="73946D79" w14:textId="77777777" w:rsidTr="0047559B">
        <w:tc>
          <w:tcPr>
            <w:tcW w:w="1000" w:type="pct"/>
          </w:tcPr>
          <w:p w14:paraId="3EB82A10"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3A3283FA"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3EFDD155" w14:textId="77777777" w:rsidR="00D87E57" w:rsidRPr="00F17E86" w:rsidRDefault="00D87E57" w:rsidP="0047559B">
            <w:pPr>
              <w:rPr>
                <w:rFonts w:cs="Times New Roman"/>
                <w:sz w:val="12"/>
                <w:szCs w:val="12"/>
              </w:rPr>
            </w:pPr>
            <w:r w:rsidRPr="00F17E86">
              <w:rPr>
                <w:rFonts w:cs="Times New Roman"/>
                <w:sz w:val="12"/>
                <w:szCs w:val="12"/>
              </w:rPr>
              <w:t>*2017.gada 1.pusgads</w:t>
            </w:r>
          </w:p>
        </w:tc>
        <w:tc>
          <w:tcPr>
            <w:tcW w:w="1000" w:type="pct"/>
          </w:tcPr>
          <w:p w14:paraId="2A54769B" w14:textId="77777777" w:rsidR="00D87E57" w:rsidRPr="00F17E86" w:rsidRDefault="00D87E57" w:rsidP="0047559B">
            <w:pPr>
              <w:rPr>
                <w:rFonts w:cs="Times New Roman"/>
                <w:sz w:val="12"/>
                <w:szCs w:val="12"/>
              </w:rPr>
            </w:pPr>
            <w:r w:rsidRPr="00F17E86">
              <w:rPr>
                <w:rFonts w:cs="Times New Roman"/>
                <w:sz w:val="12"/>
                <w:szCs w:val="12"/>
              </w:rPr>
              <w:t>* 2017.gada jūnija beigās</w:t>
            </w:r>
          </w:p>
        </w:tc>
        <w:tc>
          <w:tcPr>
            <w:tcW w:w="1000" w:type="pct"/>
          </w:tcPr>
          <w:p w14:paraId="0556F227" w14:textId="77777777" w:rsidR="00D87E57" w:rsidRPr="00F17E86" w:rsidRDefault="00D87E57" w:rsidP="0047559B">
            <w:pPr>
              <w:rPr>
                <w:rFonts w:cs="Times New Roman"/>
                <w:sz w:val="12"/>
                <w:szCs w:val="12"/>
              </w:rPr>
            </w:pPr>
            <w:r w:rsidRPr="00F17E86">
              <w:rPr>
                <w:rFonts w:cs="Times New Roman"/>
                <w:sz w:val="12"/>
                <w:szCs w:val="12"/>
              </w:rPr>
              <w:t>* 2017.gada jūnijs</w:t>
            </w:r>
          </w:p>
        </w:tc>
      </w:tr>
      <w:tr w:rsidR="00D87E57" w:rsidRPr="00F17E86" w14:paraId="4E6C9BE4" w14:textId="77777777" w:rsidTr="0047559B">
        <w:tc>
          <w:tcPr>
            <w:tcW w:w="1000" w:type="pct"/>
            <w:tcBorders>
              <w:bottom w:val="single" w:sz="4" w:space="0" w:color="auto"/>
            </w:tcBorders>
          </w:tcPr>
          <w:p w14:paraId="2038BAB6" w14:textId="77777777" w:rsidR="00D87E57" w:rsidRPr="00F17E86" w:rsidRDefault="00D87E57" w:rsidP="0047559B">
            <w:pPr>
              <w:rPr>
                <w:rFonts w:cs="Times New Roman"/>
                <w:sz w:val="12"/>
                <w:szCs w:val="12"/>
              </w:rPr>
            </w:pPr>
            <w:r w:rsidRPr="00F17E86">
              <w:rPr>
                <w:rFonts w:cs="Times New Roman"/>
                <w:sz w:val="12"/>
                <w:szCs w:val="12"/>
              </w:rPr>
              <w:t>Avots: CSP</w:t>
            </w:r>
          </w:p>
        </w:tc>
        <w:tc>
          <w:tcPr>
            <w:tcW w:w="1000" w:type="pct"/>
            <w:tcBorders>
              <w:bottom w:val="single" w:sz="4" w:space="0" w:color="auto"/>
            </w:tcBorders>
          </w:tcPr>
          <w:p w14:paraId="3B5FA66B" w14:textId="77777777" w:rsidR="00D87E57" w:rsidRPr="00F17E86" w:rsidRDefault="00D87E57" w:rsidP="0047559B">
            <w:pPr>
              <w:rPr>
                <w:sz w:val="12"/>
                <w:szCs w:val="12"/>
              </w:rPr>
            </w:pPr>
            <w:r w:rsidRPr="00F17E86">
              <w:rPr>
                <w:rFonts w:cs="Times New Roman"/>
                <w:sz w:val="12"/>
                <w:szCs w:val="12"/>
              </w:rPr>
              <w:t>Avots: CSP</w:t>
            </w:r>
          </w:p>
        </w:tc>
        <w:tc>
          <w:tcPr>
            <w:tcW w:w="1000" w:type="pct"/>
            <w:tcBorders>
              <w:bottom w:val="single" w:sz="4" w:space="0" w:color="auto"/>
            </w:tcBorders>
          </w:tcPr>
          <w:p w14:paraId="5F802997" w14:textId="77777777" w:rsidR="00D87E57" w:rsidRPr="00F17E86" w:rsidRDefault="00D87E57" w:rsidP="0047559B">
            <w:pPr>
              <w:rPr>
                <w:sz w:val="12"/>
                <w:szCs w:val="12"/>
              </w:rPr>
            </w:pPr>
            <w:r w:rsidRPr="00F17E86">
              <w:rPr>
                <w:rFonts w:cs="Times New Roman"/>
                <w:sz w:val="12"/>
                <w:szCs w:val="12"/>
              </w:rPr>
              <w:t>Avots: CSP</w:t>
            </w:r>
          </w:p>
        </w:tc>
        <w:tc>
          <w:tcPr>
            <w:tcW w:w="1000" w:type="pct"/>
            <w:tcBorders>
              <w:bottom w:val="single" w:sz="4" w:space="0" w:color="auto"/>
            </w:tcBorders>
          </w:tcPr>
          <w:p w14:paraId="52C87413" w14:textId="77777777" w:rsidR="00D87E57" w:rsidRPr="00F17E86" w:rsidRDefault="00D87E57" w:rsidP="0047559B">
            <w:pPr>
              <w:rPr>
                <w:sz w:val="12"/>
                <w:szCs w:val="12"/>
              </w:rPr>
            </w:pPr>
            <w:r w:rsidRPr="00F17E86">
              <w:rPr>
                <w:rFonts w:cs="Times New Roman"/>
                <w:sz w:val="12"/>
                <w:szCs w:val="12"/>
              </w:rPr>
              <w:t>Avots: CSP</w:t>
            </w:r>
          </w:p>
        </w:tc>
        <w:tc>
          <w:tcPr>
            <w:tcW w:w="1000" w:type="pct"/>
            <w:tcBorders>
              <w:bottom w:val="single" w:sz="4" w:space="0" w:color="auto"/>
            </w:tcBorders>
          </w:tcPr>
          <w:p w14:paraId="6F19DE28" w14:textId="77777777" w:rsidR="00D87E57" w:rsidRPr="00F17E86" w:rsidRDefault="00D87E57" w:rsidP="0047559B">
            <w:pPr>
              <w:rPr>
                <w:sz w:val="12"/>
                <w:szCs w:val="12"/>
              </w:rPr>
            </w:pPr>
            <w:r w:rsidRPr="00F17E86">
              <w:rPr>
                <w:rFonts w:cs="Times New Roman"/>
                <w:sz w:val="12"/>
                <w:szCs w:val="12"/>
              </w:rPr>
              <w:t>Avots: CSP</w:t>
            </w:r>
          </w:p>
        </w:tc>
      </w:tr>
    </w:tbl>
    <w:p w14:paraId="37A5614E" w14:textId="77777777" w:rsidR="00D87E57" w:rsidRPr="00F17E86" w:rsidRDefault="00D87E57" w:rsidP="00D87E57">
      <w:pPr>
        <w:spacing w:before="60" w:after="60"/>
        <w:ind w:firstLine="426"/>
        <w:rPr>
          <w:rFonts w:cs="Times New Roman"/>
        </w:rPr>
      </w:pPr>
    </w:p>
    <w:p w14:paraId="5E92C141" w14:textId="77777777" w:rsidR="00D87E57" w:rsidRPr="00F17E86" w:rsidRDefault="00D87E57" w:rsidP="00D87E57">
      <w:pPr>
        <w:spacing w:before="60" w:after="60"/>
        <w:rPr>
          <w:rFonts w:cs="Times New Roman"/>
        </w:rPr>
      </w:pPr>
      <w:r w:rsidRPr="00F17E86">
        <w:t>Konkurētspējas rādītāju dinamika liecina, ka Latvijas ekonomikas modelis nav mainījies un joprojām saglabājas darbaspēka zemo izmaksu konkurētspējas priekšrocības. Saglabājoties esošajam stāvoklim, ekonomikas izaugsmes tempi vidējā termiņā var sasniegt vien 2-3% gadā</w:t>
      </w:r>
      <w:r w:rsidRPr="00F17E86">
        <w:rPr>
          <w:rFonts w:cs="Times New Roman"/>
        </w:rPr>
        <w:t xml:space="preserve"> un ekonomikai ir risks nonākt vidēju ienākumu slazdā. </w:t>
      </w:r>
      <w:r w:rsidRPr="00F17E86">
        <w:rPr>
          <w:rFonts w:cs="Times New Roman"/>
        </w:rPr>
        <w:lastRenderedPageBreak/>
        <w:t xml:space="preserve">Jārēķinās arī ar algu konverģences procesu nākotnē, kas radīs ietekmi uz nozarēm, kas darbojas vienīgi pateicoties zemo darbaspēka izmaksu priekšrocībām. Attiecīgi secināms, ka zemo izmaksu konkurētspējas priekšrocības ir uzskatāmas par laikā ierobežotām. Tas savukārt skaidri norāda uz nepieciešamību pēc fundamentālākām konkurētspējas priekšrocībām. </w:t>
      </w:r>
    </w:p>
    <w:p w14:paraId="3F0CC53D" w14:textId="77777777" w:rsidR="00D87E57" w:rsidRPr="00F17E86" w:rsidRDefault="00D87E57" w:rsidP="00D87E57">
      <w:pPr>
        <w:spacing w:before="60" w:after="60"/>
        <w:rPr>
          <w:rFonts w:cs="Times New Roman"/>
        </w:rPr>
      </w:pPr>
      <w:r w:rsidRPr="00F17E86">
        <w:rPr>
          <w:rFonts w:cs="Times New Roman"/>
        </w:rPr>
        <w:t>Globālā finanšu krīze, kas sākās pirms 10 gadiem, skaidri parādīja, ka turpmāk Latvijā vairs nevarēs pastāvēt ekonomiskais modelis, kas balstījās uz ievērojamu ārvalstu kapitāla pieplūdumu un strauji augošu iekšējo pieprasījumu. Lielā mērā iepriekšējā attīstības ciklā pieļautās kļūdas bija rezultāts pieredzes trūkumam tik atvērta tirgus (gan darbaspēka, gan kapitāla) apstākļos pēc Latvijas iestāšanās ES.</w:t>
      </w:r>
    </w:p>
    <w:p w14:paraId="67F77AD7" w14:textId="77777777" w:rsidR="00D87E57" w:rsidRPr="00F17E86" w:rsidRDefault="00D87E57" w:rsidP="00D87E57">
      <w:pPr>
        <w:spacing w:before="60" w:after="60"/>
        <w:rPr>
          <w:rFonts w:cs="Times New Roman"/>
        </w:rPr>
      </w:pPr>
      <w:r w:rsidRPr="00F17E86">
        <w:rPr>
          <w:rFonts w:cs="Times New Roman"/>
        </w:rPr>
        <w:t>Lai arī darbaspēka izmaksas aug straujāk par darba ražīgumu, tomēr Latvija vēl saglabā savu konkurētspēju. Par to liecina eksporta tirgus daļu dinamika, kas joprojām ir pozitīva. Tomēr jau tuvākajos gados darbspējīgo iedzīvotāju skaita samazinājums kopā ar straujāku ekonomikas izaugsmi rada riskus ilgtspējīgai tautsaimniecības attīstībai.</w:t>
      </w:r>
    </w:p>
    <w:p w14:paraId="1C308777" w14:textId="77777777" w:rsidR="00D87E57" w:rsidRPr="00F17E86" w:rsidRDefault="00D87E57" w:rsidP="00D87E57">
      <w:pPr>
        <w:spacing w:before="60" w:after="60"/>
        <w:rPr>
          <w:rFonts w:cs="Times New Roman"/>
        </w:rPr>
      </w:pPr>
      <w:r w:rsidRPr="00F17E86">
        <w:rPr>
          <w:rFonts w:cs="Times New Roman"/>
        </w:rPr>
        <w:t>Neraugoties uz to, ka pašlaik ekonomika dinamiski attīstās – šobrīd nav vērojamas klasiskas pārkāršanas pazīmes. Tāpēc ir jāfokusējas nevis uz pieprasījuma mazināšanu jeb izaugsmes bremzēšanu, bet gan uz tautsaimniecības piedāvājuma jeb ražošanas kapacitātes veicināšanu (investīcijas pamatkapitālā, cilvēkkapitāls, inovācija u.tml.).</w:t>
      </w:r>
    </w:p>
    <w:p w14:paraId="0CC98F4A" w14:textId="79E7F662" w:rsidR="00D87E57" w:rsidRPr="00F17E86" w:rsidRDefault="00D87E57" w:rsidP="00D87E57">
      <w:pPr>
        <w:spacing w:before="60" w:after="60"/>
      </w:pPr>
      <w:r w:rsidRPr="00F17E86">
        <w:t xml:space="preserve">Vienlaikus jāmin arī NAP un valdības noteiktais mērķis Latvijai – straujāka tautsaimniecības izaugsme, lai ilgtermiņā Latvija pārsniegtu vidējo ES labklājības līmeni. Valdības vēlme ir panākt sabalansētu 5% IKP pieaugumu ik gadu vidējā termiņā, Latvijas ekonomikas konkurētspējas priekšrocības pamatā balstot uz tehnoloģiskiem faktoriem, ražošanas efektivitāti, inovācijām. Šis ir ļoti ambiciozs rādītājs, kam ir nepieciešama ambicioza rīcība – ir nepieciešami fundamentālāki risinājumi valsts izaugsmei. Pēc būtības </w:t>
      </w:r>
      <w:r w:rsidR="00F17E86">
        <w:t xml:space="preserve">tā būtu </w:t>
      </w:r>
      <w:r w:rsidRPr="00F17E86">
        <w:t>ekonomikas transformācija.</w:t>
      </w:r>
    </w:p>
    <w:p w14:paraId="2B8AC00F" w14:textId="77777777" w:rsidR="00D87E57" w:rsidRPr="00F17E86" w:rsidRDefault="00D87E57" w:rsidP="00D87E57">
      <w:pPr>
        <w:spacing w:before="60" w:after="60"/>
      </w:pPr>
      <w:r w:rsidRPr="00F17E86">
        <w:t>Vienlaikus nepieciešamība pēc ekonomikas strukturālajām pārmaiņām jau ilgāku laiku ir ietverta dažādos politikas plānošanas dokumentos kā, piemēram, Latvijas nacionālā reformu programma „Eiropa 2020” stratēģijas īstenošanai</w:t>
      </w:r>
      <w:r w:rsidRPr="00F17E86">
        <w:rPr>
          <w:rStyle w:val="FootnoteReference"/>
        </w:rPr>
        <w:footnoteReference w:id="81"/>
      </w:r>
      <w:r w:rsidRPr="00F17E86">
        <w:t>, Viedās specializācijas stratēģija</w:t>
      </w:r>
      <w:r w:rsidRPr="00F17E86">
        <w:rPr>
          <w:rStyle w:val="FootnoteReference"/>
        </w:rPr>
        <w:footnoteReference w:id="82"/>
      </w:r>
      <w:r w:rsidRPr="00F17E86">
        <w:t>, Nacionālās industriālās politikas pamatnostādnes</w:t>
      </w:r>
      <w:r w:rsidRPr="00F17E86">
        <w:rPr>
          <w:rStyle w:val="FootnoteReference"/>
        </w:rPr>
        <w:footnoteReference w:id="83"/>
      </w:r>
      <w:r w:rsidRPr="00F17E86">
        <w:t>, Latvijas preču un pakalpojumu eksporta veicināšanas un ārvalstu investīciju piesaistes pamatnostādnes</w:t>
      </w:r>
      <w:r w:rsidRPr="00F17E86">
        <w:rPr>
          <w:rStyle w:val="FootnoteReference"/>
        </w:rPr>
        <w:footnoteReference w:id="84"/>
      </w:r>
      <w:r w:rsidRPr="00F17E86">
        <w:t xml:space="preserve"> u.c. Taču tautsaimniecības transformācijas process norit ļoti lēni un progress ir nepietiekams. Jau 2011. gadā veiktajā Latvijas konkurētspējas izvērtējumā tika norādīts, ka politikas veidotāji prot identificēt (un identificē) pareizas politikas, bet institucionālie mehānismi to izpildei izrādās nepietiekami</w:t>
      </w:r>
      <w:r w:rsidRPr="00F17E86">
        <w:rPr>
          <w:rStyle w:val="FootnoteReference"/>
        </w:rPr>
        <w:footnoteReference w:id="85"/>
      </w:r>
      <w:r w:rsidRPr="00F17E86">
        <w:t>.</w:t>
      </w:r>
    </w:p>
    <w:p w14:paraId="04F6BF71" w14:textId="77777777" w:rsidR="00D87E57" w:rsidRPr="00960A80" w:rsidRDefault="00D87E57" w:rsidP="00D87E57">
      <w:pPr>
        <w:spacing w:before="60" w:after="60"/>
        <w:ind w:firstLine="426"/>
        <w:rPr>
          <w:rFonts w:asciiTheme="majorHAnsi" w:hAnsiTheme="majorHAnsi" w:cs="Times New Roman"/>
          <w:sz w:val="6"/>
        </w:rPr>
      </w:pPr>
    </w:p>
    <w:p w14:paraId="091B0A2D" w14:textId="77777777" w:rsidR="00D87E57" w:rsidRDefault="00D87E57" w:rsidP="00D87E57">
      <w: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045"/>
      </w:tblGrid>
      <w:tr w:rsidR="00D87E57" w:rsidRPr="001439DD" w14:paraId="25F42BAA" w14:textId="77777777" w:rsidTr="0047559B">
        <w:trPr>
          <w:trHeight w:val="227"/>
          <w:jc w:val="center"/>
        </w:trPr>
        <w:tc>
          <w:tcPr>
            <w:tcW w:w="5000" w:type="pct"/>
            <w:gridSpan w:val="2"/>
            <w:shd w:val="clear" w:color="auto" w:fill="auto"/>
          </w:tcPr>
          <w:p w14:paraId="6D6215B2" w14:textId="77777777" w:rsidR="00D87E57" w:rsidRPr="00F17E86" w:rsidRDefault="00D87E57" w:rsidP="0047559B">
            <w:pPr>
              <w:spacing w:before="60" w:after="60"/>
              <w:rPr>
                <w:rFonts w:cs="Times New Roman"/>
                <w:b/>
              </w:rPr>
            </w:pPr>
            <w:r w:rsidRPr="00F17E86">
              <w:rPr>
                <w:rFonts w:cs="Times New Roman"/>
                <w:b/>
              </w:rPr>
              <w:lastRenderedPageBreak/>
              <w:t xml:space="preserve"> Latvijas konkurētspēja – Latvijas tautsaimniecības attīstības izaicinājumi</w:t>
            </w:r>
          </w:p>
          <w:p w14:paraId="66E73417" w14:textId="77777777" w:rsidR="00D87E57" w:rsidRPr="00F17E86" w:rsidRDefault="00D87E57" w:rsidP="0047559B">
            <w:pPr>
              <w:spacing w:before="60" w:after="60"/>
              <w:rPr>
                <w:rFonts w:cs="Times New Roman"/>
                <w:b/>
              </w:rPr>
            </w:pPr>
          </w:p>
          <w:p w14:paraId="4EC63BE2" w14:textId="77777777" w:rsidR="00D87E57" w:rsidRPr="001439DD" w:rsidRDefault="00D87E57" w:rsidP="0047559B">
            <w:pPr>
              <w:spacing w:before="60" w:after="60"/>
              <w:rPr>
                <w:rFonts w:asciiTheme="majorHAnsi" w:hAnsiTheme="majorHAnsi" w:cs="Times New Roman"/>
                <w:b/>
              </w:rPr>
            </w:pPr>
            <w:r w:rsidRPr="00F17E86">
              <w:t>Neskatoties uz sasniegumiem tautsaimniecības izaugsmē, saglabājas pietiekami daudz fundamentāla rakstura tautsaimniecības attīstības izaicinājumu. Primārie izaicinājumi un to risināšanas virzieni ir uzskatāmi attēloti zemāk esošajos grafikos.</w:t>
            </w:r>
            <w:r>
              <w:rPr>
                <w:rFonts w:asciiTheme="majorHAnsi" w:hAnsiTheme="majorHAnsi" w:cs="Times New Roman"/>
                <w:b/>
              </w:rPr>
              <w:t xml:space="preserve"> </w:t>
            </w:r>
          </w:p>
        </w:tc>
      </w:tr>
      <w:tr w:rsidR="00D87E57" w:rsidRPr="004005DA" w14:paraId="76EE92AF" w14:textId="77777777" w:rsidTr="0047559B">
        <w:trPr>
          <w:trHeight w:val="3954"/>
          <w:jc w:val="center"/>
        </w:trPr>
        <w:tc>
          <w:tcPr>
            <w:tcW w:w="2601" w:type="pct"/>
            <w:shd w:val="clear" w:color="auto" w:fill="auto"/>
          </w:tcPr>
          <w:p w14:paraId="233BD514" w14:textId="77777777" w:rsidR="00D87E57" w:rsidRPr="004005DA" w:rsidRDefault="00D87E57" w:rsidP="0047559B">
            <w:pPr>
              <w:pStyle w:val="NormalWeb"/>
              <w:kinsoku w:val="0"/>
              <w:overflowPunct w:val="0"/>
              <w:spacing w:before="240" w:beforeAutospacing="0" w:after="120" w:afterAutospacing="0"/>
              <w:ind w:left="-113" w:right="-102"/>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eastAsia="Verdana" w:hAnsiTheme="majorHAnsi" w:cs="Verdana"/>
                <w:b/>
                <w:bCs/>
                <w:caps/>
                <w:color w:val="374C80" w:themeColor="accent1" w:themeShade="BF"/>
                <w:kern w:val="24"/>
                <w:sz w:val="16"/>
                <w:szCs w:val="52"/>
              </w:rPr>
              <w:t>Latvijas rūpniecība specializējas zemo tehnoloģiju nozarēs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2138"/>
            </w:tblGrid>
            <w:tr w:rsidR="00D87E57" w:rsidRPr="004005DA" w14:paraId="519EEF83" w14:textId="77777777" w:rsidTr="0047559B">
              <w:tc>
                <w:tcPr>
                  <w:tcW w:w="2394" w:type="dxa"/>
                </w:tcPr>
                <w:p w14:paraId="496A1C35" w14:textId="77777777" w:rsidR="00D87E57" w:rsidRPr="004005DA" w:rsidRDefault="00D87E57" w:rsidP="0047559B">
                  <w:pPr>
                    <w:pStyle w:val="NormalWeb"/>
                    <w:kinsoku w:val="0"/>
                    <w:overflowPunct w:val="0"/>
                    <w:spacing w:before="0" w:beforeAutospacing="0" w:after="0" w:afterAutospacing="0"/>
                    <w:jc w:val="center"/>
                    <w:textAlignment w:val="baseline"/>
                    <w:rPr>
                      <w:rFonts w:asciiTheme="majorHAnsi" w:hAnsiTheme="majorHAnsi" w:cs="Arial"/>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Apstrādes rūpniecības struktūra pēc tehnoloģijas līmeņiem,</w:t>
                  </w:r>
                </w:p>
                <w:p w14:paraId="06C90316" w14:textId="77777777" w:rsidR="00D87E57" w:rsidRPr="004005DA" w:rsidRDefault="00D87E57" w:rsidP="0047559B">
                  <w:pPr>
                    <w:pStyle w:val="NormalWeb"/>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r w:rsidRPr="004005DA">
                    <w:rPr>
                      <w:rFonts w:asciiTheme="majorHAnsi" w:hAnsiTheme="majorHAnsi" w:cs="Arial"/>
                      <w:color w:val="374C80" w:themeColor="accent1" w:themeShade="BF"/>
                      <w:kern w:val="24"/>
                      <w:sz w:val="10"/>
                      <w:szCs w:val="10"/>
                    </w:rPr>
                    <w:t>%</w:t>
                  </w:r>
                </w:p>
              </w:tc>
              <w:tc>
                <w:tcPr>
                  <w:tcW w:w="2149" w:type="dxa"/>
                </w:tcPr>
                <w:p w14:paraId="688810B2"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eastAsia="Verdana" w:hAnsiTheme="majorHAnsi" w:cs="Verdana"/>
                      <w:b/>
                      <w:bCs/>
                      <w:color w:val="374C80" w:themeColor="accent1" w:themeShade="BF"/>
                      <w:kern w:val="24"/>
                      <w:sz w:val="10"/>
                      <w:szCs w:val="10"/>
                    </w:rPr>
                  </w:pPr>
                  <w:r w:rsidRPr="004005DA">
                    <w:rPr>
                      <w:rFonts w:asciiTheme="majorHAnsi" w:eastAsia="Verdana" w:hAnsiTheme="majorHAnsi" w:cs="Verdana"/>
                      <w:b/>
                      <w:bCs/>
                      <w:color w:val="374C80" w:themeColor="accent1" w:themeShade="BF"/>
                      <w:kern w:val="24"/>
                      <w:sz w:val="10"/>
                      <w:szCs w:val="10"/>
                    </w:rPr>
                    <w:t>Produktivitāte apstrādes rūpniecības nozarēs pēc tehnoloģiskās intensitātes,</w:t>
                  </w:r>
                </w:p>
                <w:p w14:paraId="46F57539"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r w:rsidRPr="004005DA">
                    <w:rPr>
                      <w:rFonts w:asciiTheme="majorHAnsi" w:eastAsia="Verdana" w:hAnsiTheme="majorHAnsi" w:cs="Verdana"/>
                      <w:color w:val="374C80" w:themeColor="accent1" w:themeShade="BF"/>
                      <w:kern w:val="24"/>
                      <w:sz w:val="10"/>
                      <w:szCs w:val="10"/>
                    </w:rPr>
                    <w:t>tūkst. EUR uz 1 nodarbināto, 2014.gadā</w:t>
                  </w:r>
                </w:p>
              </w:tc>
            </w:tr>
            <w:tr w:rsidR="00D87E57" w:rsidRPr="004005DA" w14:paraId="0AA6C24E" w14:textId="77777777" w:rsidTr="0047559B">
              <w:tc>
                <w:tcPr>
                  <w:tcW w:w="2394" w:type="dxa"/>
                  <w:shd w:val="clear" w:color="auto" w:fill="FFFFFF" w:themeFill="background1"/>
                </w:tcPr>
                <w:p w14:paraId="59574C54" w14:textId="77777777" w:rsidR="00D87E57" w:rsidRPr="004005DA" w:rsidRDefault="00D87E57" w:rsidP="0047559B">
                  <w:pPr>
                    <w:pStyle w:val="NormalWeb"/>
                    <w:kinsoku w:val="0"/>
                    <w:overflowPunct w:val="0"/>
                    <w:spacing w:before="0" w:beforeAutospacing="0" w:after="0" w:afterAutospacing="0"/>
                    <w:ind w:left="-80"/>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hAnsiTheme="majorHAnsi"/>
                      <w:noProof/>
                      <w:color w:val="374C80" w:themeColor="accent1" w:themeShade="BF"/>
                      <w:sz w:val="12"/>
                    </w:rPr>
                    <w:drawing>
                      <wp:inline distT="0" distB="0" distL="0" distR="0" wp14:anchorId="49263895" wp14:editId="5A5598EC">
                        <wp:extent cx="1376045" cy="1463813"/>
                        <wp:effectExtent l="0" t="0" r="0" b="317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149" w:type="dxa"/>
                </w:tcPr>
                <w:p w14:paraId="05182742" w14:textId="77777777" w:rsidR="00D87E57" w:rsidRPr="004005DA" w:rsidRDefault="00D87E57" w:rsidP="0047559B">
                  <w:pPr>
                    <w:pStyle w:val="NormalWeb"/>
                    <w:kinsoku w:val="0"/>
                    <w:overflowPunct w:val="0"/>
                    <w:spacing w:before="0" w:beforeAutospacing="0" w:after="0" w:afterAutospacing="0"/>
                    <w:ind w:left="-59"/>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eastAsia="Verdana" w:hAnsiTheme="majorHAnsi" w:cs="Verdana"/>
                      <w:b/>
                      <w:bCs/>
                      <w:caps/>
                      <w:noProof/>
                      <w:color w:val="374C80" w:themeColor="accent1" w:themeShade="BF"/>
                      <w:kern w:val="24"/>
                      <w:sz w:val="16"/>
                      <w:szCs w:val="52"/>
                    </w:rPr>
                    <mc:AlternateContent>
                      <mc:Choice Requires="wps">
                        <w:drawing>
                          <wp:anchor distT="45720" distB="45720" distL="114300" distR="114300" simplePos="0" relativeHeight="251660800" behindDoc="0" locked="0" layoutInCell="1" allowOverlap="1" wp14:anchorId="20D88C0C" wp14:editId="2E817AEF">
                            <wp:simplePos x="0" y="0"/>
                            <wp:positionH relativeFrom="column">
                              <wp:posOffset>578708</wp:posOffset>
                            </wp:positionH>
                            <wp:positionV relativeFrom="paragraph">
                              <wp:posOffset>1249045</wp:posOffset>
                            </wp:positionV>
                            <wp:extent cx="580390" cy="21463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14630"/>
                                    </a:xfrm>
                                    <a:prstGeom prst="rect">
                                      <a:avLst/>
                                    </a:prstGeom>
                                    <a:noFill/>
                                    <a:ln w="9525">
                                      <a:noFill/>
                                      <a:miter lim="800000"/>
                                      <a:headEnd/>
                                      <a:tailEnd/>
                                    </a:ln>
                                  </wps:spPr>
                                  <wps:txbx>
                                    <w:txbxContent>
                                      <w:p w14:paraId="211A35E0" w14:textId="77777777" w:rsidR="0047559B" w:rsidRPr="00795F97" w:rsidRDefault="0047559B" w:rsidP="00D87E5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ā</w:t>
                                        </w:r>
                                        <w:r w:rsidRPr="00795F97">
                                          <w:rPr>
                                            <w:rFonts w:ascii="Arial Narrow" w:hAnsi="Arial Narrow"/>
                                            <w:color w:val="FFFFFF" w:themeColor="background1"/>
                                            <w:sz w:val="14"/>
                                          </w:rPr>
                                          <w:t xml:space="preserve"> ražot?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88C0C" id="Text Box 2" o:spid="_x0000_s1028" type="#_x0000_t202" style="position:absolute;left:0;text-align:left;margin-left:45.55pt;margin-top:98.35pt;width:45.7pt;height:16.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" filled="f" stroked="f">
                            <v:textbox>
                              <w:txbxContent>
                                <w:p w14:paraId="211A35E0" w14:textId="77777777" w:rsidR="0047559B" w:rsidRPr="00795F97" w:rsidRDefault="0047559B" w:rsidP="00D87E5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ā</w:t>
                                  </w:r>
                                  <w:r w:rsidRPr="00795F97">
                                    <w:rPr>
                                      <w:rFonts w:ascii="Arial Narrow" w:hAnsi="Arial Narrow"/>
                                      <w:color w:val="FFFFFF" w:themeColor="background1"/>
                                      <w:sz w:val="14"/>
                                    </w:rPr>
                                    <w:t xml:space="preserve"> ražot?</w:t>
                                  </w:r>
                                </w:p>
                              </w:txbxContent>
                            </v:textbox>
                          </v:shape>
                        </w:pict>
                      </mc:Fallback>
                    </mc:AlternateContent>
                  </w:r>
                  <w:r w:rsidRPr="004005DA">
                    <w:rPr>
                      <w:rFonts w:asciiTheme="majorHAnsi" w:hAnsiTheme="majorHAnsi" w:cs="Arial"/>
                      <w:b/>
                      <w:bCs/>
                      <w:noProof/>
                      <w:color w:val="374C80" w:themeColor="accent1" w:themeShade="BF"/>
                      <w:kern w:val="24"/>
                      <w:sz w:val="4"/>
                    </w:rPr>
                    <mc:AlternateContent>
                      <mc:Choice Requires="wps">
                        <w:drawing>
                          <wp:anchor distT="45720" distB="45720" distL="114300" distR="114300" simplePos="0" relativeHeight="251663872" behindDoc="0" locked="0" layoutInCell="1" allowOverlap="1" wp14:anchorId="3855DCBF" wp14:editId="51024E86">
                            <wp:simplePos x="0" y="0"/>
                            <wp:positionH relativeFrom="column">
                              <wp:posOffset>972185</wp:posOffset>
                            </wp:positionH>
                            <wp:positionV relativeFrom="paragraph">
                              <wp:posOffset>463962</wp:posOffset>
                            </wp:positionV>
                            <wp:extent cx="580390" cy="214630"/>
                            <wp:effectExtent l="0" t="0" r="254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0390" cy="214630"/>
                                    </a:xfrm>
                                    <a:prstGeom prst="rect">
                                      <a:avLst/>
                                    </a:prstGeom>
                                    <a:noFill/>
                                    <a:ln w="9525">
                                      <a:noFill/>
                                      <a:miter lim="800000"/>
                                      <a:headEnd/>
                                      <a:tailEnd/>
                                    </a:ln>
                                  </wps:spPr>
                                  <wps:txbx>
                                    <w:txbxContent>
                                      <w:p w14:paraId="0591A83F" w14:textId="77777777" w:rsidR="0047559B" w:rsidRPr="00795F97" w:rsidRDefault="0047559B" w:rsidP="00D87E5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o</w:t>
                                        </w:r>
                                        <w:r w:rsidRPr="00795F97">
                                          <w:rPr>
                                            <w:rFonts w:ascii="Arial Narrow" w:hAnsi="Arial Narrow"/>
                                            <w:color w:val="FFFFFF" w:themeColor="background1"/>
                                            <w:sz w:val="14"/>
                                          </w:rPr>
                                          <w:t xml:space="preserve"> ražot?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5DCBF" id="_x0000_s1029" type="#_x0000_t202" style="position:absolute;left:0;text-align:left;margin-left:76.55pt;margin-top:36.55pt;width:45.7pt;height:16.9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" filled="f" stroked="f">
                            <v:textbox>
                              <w:txbxContent>
                                <w:p w14:paraId="0591A83F" w14:textId="77777777" w:rsidR="0047559B" w:rsidRPr="00795F97" w:rsidRDefault="0047559B" w:rsidP="00D87E5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o</w:t>
                                  </w:r>
                                  <w:r w:rsidRPr="00795F97">
                                    <w:rPr>
                                      <w:rFonts w:ascii="Arial Narrow" w:hAnsi="Arial Narrow"/>
                                      <w:color w:val="FFFFFF" w:themeColor="background1"/>
                                      <w:sz w:val="14"/>
                                    </w:rPr>
                                    <w:t xml:space="preserve"> ražot?</w:t>
                                  </w:r>
                                </w:p>
                              </w:txbxContent>
                            </v:textbox>
                          </v:shape>
                        </w:pict>
                      </mc:Fallback>
                    </mc:AlternateContent>
                  </w:r>
                  <w:r w:rsidRPr="004005DA">
                    <w:rPr>
                      <w:rFonts w:asciiTheme="majorHAnsi" w:hAnsiTheme="majorHAnsi"/>
                      <w:noProof/>
                      <w:color w:val="374C80" w:themeColor="accent1" w:themeShade="BF"/>
                      <w:spacing w:val="-6"/>
                      <w:sz w:val="8"/>
                      <w:szCs w:val="14"/>
                    </w:rPr>
                    <mc:AlternateContent>
                      <mc:Choice Requires="wps">
                        <w:drawing>
                          <wp:anchor distT="0" distB="0" distL="114300" distR="114300" simplePos="0" relativeHeight="251664896" behindDoc="0" locked="0" layoutInCell="1" allowOverlap="1" wp14:anchorId="608B3AED" wp14:editId="5860848A">
                            <wp:simplePos x="0" y="0"/>
                            <wp:positionH relativeFrom="column">
                              <wp:posOffset>805291</wp:posOffset>
                            </wp:positionH>
                            <wp:positionV relativeFrom="paragraph">
                              <wp:posOffset>476250</wp:posOffset>
                            </wp:positionV>
                            <wp:extent cx="1130935" cy="167005"/>
                            <wp:effectExtent l="0" t="0" r="0" b="0"/>
                            <wp:wrapNone/>
                            <wp:docPr id="208" name="TextBox 3"/>
                            <wp:cNvGraphicFramePr/>
                            <a:graphic xmlns:a="http://schemas.openxmlformats.org/drawingml/2006/main">
                              <a:graphicData uri="http://schemas.microsoft.com/office/word/2010/wordprocessingShape">
                                <wps:wsp>
                                  <wps:cNvSpPr txBox="1"/>
                                  <wps:spPr>
                                    <a:xfrm rot="16200000">
                                      <a:off x="0" y="0"/>
                                      <a:ext cx="1130935" cy="167005"/>
                                    </a:xfrm>
                                    <a:prstGeom prst="rect">
                                      <a:avLst/>
                                    </a:prstGeom>
                                    <a:noFill/>
                                  </wps:spPr>
                                  <wps:txbx>
                                    <w:txbxContent>
                                      <w:p w14:paraId="3FF03282" w14:textId="77777777" w:rsidR="0047559B" w:rsidRPr="0087691D" w:rsidRDefault="0047559B" w:rsidP="00D87E5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8B3AED" id="TextBox 3" o:spid="_x0000_s1030" type="#_x0000_t202" style="position:absolute;left:0;text-align:left;margin-left:63.4pt;margin-top:37.5pt;width:89.05pt;height:13.1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" filled="f" stroked="f">
                            <v:textbox>
                              <w:txbxContent>
                                <w:p w14:paraId="3FF03282" w14:textId="77777777" w:rsidR="0047559B" w:rsidRPr="0087691D" w:rsidRDefault="0047559B" w:rsidP="00D87E5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v:textbox>
                          </v:shape>
                        </w:pict>
                      </mc:Fallback>
                    </mc:AlternateContent>
                  </w:r>
                  <w:r w:rsidRPr="004005DA">
                    <w:rPr>
                      <w:rFonts w:asciiTheme="majorHAnsi" w:hAnsiTheme="majorHAnsi" w:cs="Arial"/>
                      <w:b/>
                      <w:bCs/>
                      <w:noProof/>
                      <w:color w:val="374C80" w:themeColor="accent1" w:themeShade="BF"/>
                      <w:kern w:val="24"/>
                      <w:sz w:val="4"/>
                    </w:rPr>
                    <mc:AlternateContent>
                      <mc:Choice Requires="wps">
                        <w:drawing>
                          <wp:anchor distT="0" distB="0" distL="114300" distR="114300" simplePos="0" relativeHeight="251662848" behindDoc="0" locked="0" layoutInCell="1" allowOverlap="1" wp14:anchorId="09C9984C" wp14:editId="15E4603F">
                            <wp:simplePos x="0" y="0"/>
                            <wp:positionH relativeFrom="column">
                              <wp:posOffset>1165357</wp:posOffset>
                            </wp:positionH>
                            <wp:positionV relativeFrom="paragraph">
                              <wp:posOffset>205825</wp:posOffset>
                            </wp:positionV>
                            <wp:extent cx="189230" cy="672465"/>
                            <wp:effectExtent l="19050" t="19050" r="39370" b="13335"/>
                            <wp:wrapNone/>
                            <wp:docPr id="305" name="Down Arrow 9"/>
                            <wp:cNvGraphicFramePr/>
                            <a:graphic xmlns:a="http://schemas.openxmlformats.org/drawingml/2006/main">
                              <a:graphicData uri="http://schemas.microsoft.com/office/word/2010/wordprocessingShape">
                                <wps:wsp>
                                  <wps:cNvSpPr/>
                                  <wps:spPr>
                                    <a:xfrm rot="10800000">
                                      <a:off x="0" y="0"/>
                                      <a:ext cx="189230" cy="672465"/>
                                    </a:xfrm>
                                    <a:prstGeom prst="downArrow">
                                      <a:avLst>
                                        <a:gd name="adj1" fmla="val 50000"/>
                                        <a:gd name="adj2" fmla="val 66031"/>
                                      </a:avLst>
                                    </a:prstGeom>
                                    <a:solidFill>
                                      <a:srgbClr val="C0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B2128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91.75pt;margin-top:16.2pt;width:14.9pt;height:52.95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" adj="17587" fillcolor="#c00000" strokecolor="black [3213]" strokeweight=".25pt"/>
                        </w:pict>
                      </mc:Fallback>
                    </mc:AlternateContent>
                  </w:r>
                  <w:r w:rsidRPr="004005DA">
                    <w:rPr>
                      <w:rFonts w:asciiTheme="majorHAnsi" w:hAnsiTheme="majorHAnsi"/>
                      <w:noProof/>
                      <w:color w:val="374C80" w:themeColor="accent1" w:themeShade="BF"/>
                      <w:sz w:val="12"/>
                    </w:rPr>
                    <mc:AlternateContent>
                      <mc:Choice Requires="wps">
                        <w:drawing>
                          <wp:anchor distT="0" distB="0" distL="114300" distR="114300" simplePos="0" relativeHeight="251659776" behindDoc="0" locked="0" layoutInCell="1" allowOverlap="1" wp14:anchorId="754D130C" wp14:editId="28E09C1C">
                            <wp:simplePos x="0" y="0"/>
                            <wp:positionH relativeFrom="column">
                              <wp:posOffset>794068</wp:posOffset>
                            </wp:positionH>
                            <wp:positionV relativeFrom="paragraph">
                              <wp:posOffset>1018333</wp:posOffset>
                            </wp:positionV>
                            <wp:extent cx="189230" cy="672465"/>
                            <wp:effectExtent l="0" t="13018" r="0" b="45402"/>
                            <wp:wrapNone/>
                            <wp:docPr id="217" name="Down Arrow 9"/>
                            <wp:cNvGraphicFramePr/>
                            <a:graphic xmlns:a="http://schemas.openxmlformats.org/drawingml/2006/main">
                              <a:graphicData uri="http://schemas.microsoft.com/office/word/2010/wordprocessingShape">
                                <wps:wsp>
                                  <wps:cNvSpPr/>
                                  <wps:spPr>
                                    <a:xfrm rot="16200000">
                                      <a:off x="0" y="0"/>
                                      <a:ext cx="189230" cy="672465"/>
                                    </a:xfrm>
                                    <a:prstGeom prst="downArrow">
                                      <a:avLst>
                                        <a:gd name="adj1" fmla="val 50000"/>
                                        <a:gd name="adj2" fmla="val 66031"/>
                                      </a:avLst>
                                    </a:prstGeom>
                                    <a:solidFill>
                                      <a:srgbClr val="C0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40AB743" id="Down Arrow 9" o:spid="_x0000_s1026" type="#_x0000_t67" style="position:absolute;margin-left:62.55pt;margin-top:80.2pt;width:14.9pt;height:52.9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" adj="17587" fillcolor="#c00000" strokecolor="black [3213]" strokeweight=".25pt"/>
                        </w:pict>
                      </mc:Fallback>
                    </mc:AlternateContent>
                  </w:r>
                  <w:r w:rsidRPr="004005DA">
                    <w:rPr>
                      <w:rFonts w:asciiTheme="majorHAnsi" w:hAnsiTheme="majorHAnsi"/>
                      <w:noProof/>
                      <w:color w:val="374C80" w:themeColor="accent1" w:themeShade="BF"/>
                      <w:spacing w:val="-6"/>
                      <w:sz w:val="8"/>
                      <w:szCs w:val="14"/>
                    </w:rPr>
                    <mc:AlternateContent>
                      <mc:Choice Requires="wps">
                        <w:drawing>
                          <wp:anchor distT="0" distB="0" distL="114300" distR="114300" simplePos="0" relativeHeight="251661824" behindDoc="0" locked="0" layoutInCell="1" allowOverlap="1" wp14:anchorId="4BD1B577" wp14:editId="472B6129">
                            <wp:simplePos x="0" y="0"/>
                            <wp:positionH relativeFrom="column">
                              <wp:posOffset>258445</wp:posOffset>
                            </wp:positionH>
                            <wp:positionV relativeFrom="paragraph">
                              <wp:posOffset>1381125</wp:posOffset>
                            </wp:positionV>
                            <wp:extent cx="1130935" cy="167005"/>
                            <wp:effectExtent l="0" t="0" r="0" b="0"/>
                            <wp:wrapNone/>
                            <wp:docPr id="304" name="TextBox 3"/>
                            <wp:cNvGraphicFramePr/>
                            <a:graphic xmlns:a="http://schemas.openxmlformats.org/drawingml/2006/main">
                              <a:graphicData uri="http://schemas.microsoft.com/office/word/2010/wordprocessingShape">
                                <wps:wsp>
                                  <wps:cNvSpPr txBox="1"/>
                                  <wps:spPr>
                                    <a:xfrm>
                                      <a:off x="0" y="0"/>
                                      <a:ext cx="1130935" cy="167005"/>
                                    </a:xfrm>
                                    <a:prstGeom prst="rect">
                                      <a:avLst/>
                                    </a:prstGeom>
                                    <a:noFill/>
                                  </wps:spPr>
                                  <wps:txbx>
                                    <w:txbxContent>
                                      <w:p w14:paraId="7CCE72D9" w14:textId="77777777" w:rsidR="0047559B" w:rsidRPr="0087691D" w:rsidRDefault="0047559B" w:rsidP="00D87E5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D1B577" id="_x0000_s1031" type="#_x0000_t202" style="position:absolute;left:0;text-align:left;margin-left:20.35pt;margin-top:108.75pt;width:89.05pt;height:1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" filled="f" stroked="f">
                            <v:textbox>
                              <w:txbxContent>
                                <w:p w14:paraId="7CCE72D9" w14:textId="77777777" w:rsidR="0047559B" w:rsidRPr="0087691D" w:rsidRDefault="0047559B" w:rsidP="00D87E5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v:textbox>
                          </v:shape>
                        </w:pict>
                      </mc:Fallback>
                    </mc:AlternateContent>
                  </w:r>
                  <w:r w:rsidRPr="004005DA">
                    <w:rPr>
                      <w:rFonts w:asciiTheme="majorHAnsi" w:hAnsiTheme="majorHAnsi"/>
                      <w:noProof/>
                      <w:color w:val="374C80" w:themeColor="accent1" w:themeShade="BF"/>
                      <w:sz w:val="12"/>
                    </w:rPr>
                    <w:drawing>
                      <wp:inline distT="0" distB="0" distL="0" distR="0" wp14:anchorId="663B2DF2" wp14:editId="075E84C5">
                        <wp:extent cx="1377950" cy="1330430"/>
                        <wp:effectExtent l="0" t="0" r="0" b="3175"/>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3A78EE12" w14:textId="77777777" w:rsidR="00D87E57" w:rsidRDefault="00D87E57" w:rsidP="0047559B">
            <w:pPr>
              <w:jc w:val="center"/>
              <w:rPr>
                <w:rFonts w:asciiTheme="majorHAnsi" w:eastAsia="Times New Roman" w:hAnsiTheme="majorHAnsi" w:cs="Times New Roman"/>
                <w:color w:val="374C80" w:themeColor="accent1" w:themeShade="BF"/>
                <w:spacing w:val="-6"/>
                <w:sz w:val="8"/>
                <w:szCs w:val="14"/>
              </w:rPr>
            </w:pPr>
          </w:p>
          <w:p w14:paraId="4C520A2C" w14:textId="77777777" w:rsidR="00D87E57" w:rsidRPr="004005DA" w:rsidRDefault="00D87E57" w:rsidP="0047559B">
            <w:pPr>
              <w:jc w:val="center"/>
              <w:rPr>
                <w:rFonts w:asciiTheme="majorHAnsi" w:eastAsia="Times New Roman" w:hAnsiTheme="majorHAnsi" w:cs="Times New Roman"/>
                <w:color w:val="374C80" w:themeColor="accent1" w:themeShade="BF"/>
                <w:spacing w:val="-6"/>
                <w:sz w:val="8"/>
                <w:szCs w:val="14"/>
              </w:rPr>
            </w:pPr>
          </w:p>
          <w:p w14:paraId="025D0777" w14:textId="77777777" w:rsidR="00D87E57" w:rsidRPr="004005DA" w:rsidRDefault="00D87E57" w:rsidP="0047559B">
            <w:pPr>
              <w:kinsoku w:val="0"/>
              <w:overflowPunct w:val="0"/>
              <w:jc w:val="center"/>
              <w:textAlignment w:val="baseline"/>
              <w:rPr>
                <w:rFonts w:asciiTheme="majorHAnsi" w:hAnsiTheme="majorHAnsi"/>
                <w:noProof/>
                <w:color w:val="374C80" w:themeColor="accent1" w:themeShade="BF"/>
                <w:sz w:val="12"/>
                <w:lang w:eastAsia="lv-LV"/>
              </w:rPr>
            </w:pPr>
            <w:r w:rsidRPr="004005DA">
              <w:rPr>
                <w:rFonts w:asciiTheme="majorHAnsi" w:hAnsiTheme="majorHAnsi"/>
                <w:noProof/>
                <w:color w:val="374C80" w:themeColor="accent1" w:themeShade="BF"/>
                <w:sz w:val="6"/>
                <w:lang w:val="lv-LV" w:eastAsia="lv-LV"/>
              </w:rPr>
              <mc:AlternateContent>
                <mc:Choice Requires="wps">
                  <w:drawing>
                    <wp:inline distT="0" distB="0" distL="0" distR="0" wp14:anchorId="5018239A" wp14:editId="491AA0F6">
                      <wp:extent cx="2913163" cy="461665"/>
                      <wp:effectExtent l="0" t="0" r="1905" b="8255"/>
                      <wp:docPr id="221" name="TextBox 11"/>
                      <wp:cNvGraphicFramePr/>
                      <a:graphic xmlns:a="http://schemas.openxmlformats.org/drawingml/2006/main">
                        <a:graphicData uri="http://schemas.microsoft.com/office/word/2010/wordprocessingShape">
                          <wps:wsp>
                            <wps:cNvSpPr txBox="1"/>
                            <wps:spPr>
                              <a:xfrm>
                                <a:off x="0" y="0"/>
                                <a:ext cx="2913163" cy="461665"/>
                              </a:xfrm>
                              <a:prstGeom prst="rect">
                                <a:avLst/>
                              </a:prstGeom>
                              <a:solidFill>
                                <a:schemeClr val="accent1">
                                  <a:lumMod val="75000"/>
                                </a:schemeClr>
                              </a:solidFill>
                            </wps:spPr>
                            <wps:txbx>
                              <w:txbxContent>
                                <w:p w14:paraId="1718F5EE"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BD13CC">
                                    <w:rPr>
                                      <w:rFonts w:ascii="Candara" w:eastAsia="Verdana" w:hAnsi="Candara" w:cs="Verdana"/>
                                      <w:b/>
                                      <w:bCs/>
                                      <w:color w:val="FFFFFF" w:themeColor="background1"/>
                                      <w:kern w:val="24"/>
                                      <w:sz w:val="14"/>
                                      <w:shd w:val="clear" w:color="auto" w:fill="374C80" w:themeFill="accent1" w:themeFillShade="BF"/>
                                    </w:rPr>
                                    <w:t xml:space="preserve">Nepieciešams </w:t>
                                  </w:r>
                                  <w:r>
                                    <w:rPr>
                                      <w:rFonts w:ascii="Candara" w:eastAsia="Verdana" w:hAnsi="Candara" w:cs="Verdana"/>
                                      <w:b/>
                                      <w:bCs/>
                                      <w:color w:val="FFFFFF" w:themeColor="background1"/>
                                      <w:kern w:val="24"/>
                                      <w:sz w:val="14"/>
                                      <w:shd w:val="clear" w:color="auto" w:fill="374C80" w:themeFill="accent1" w:themeFillShade="BF"/>
                                    </w:rPr>
                                    <w:t xml:space="preserve">sekmēt </w:t>
                                  </w:r>
                                  <w:r w:rsidRPr="000E0956">
                                    <w:rPr>
                                      <w:rFonts w:ascii="Candara" w:eastAsia="Verdana" w:hAnsi="Candara" w:cs="Verdana"/>
                                      <w:b/>
                                      <w:bCs/>
                                      <w:color w:val="FFFFFF" w:themeColor="background1"/>
                                      <w:kern w:val="24"/>
                                      <w:sz w:val="14"/>
                                      <w:shd w:val="clear" w:color="auto" w:fill="374C80" w:themeFill="accent1" w:themeFillShade="BF"/>
                                    </w:rPr>
                                    <w:t>ražošanas diversifikāciju un tehnoloģisko modernizāciju</w:t>
                                  </w:r>
                                </w:p>
                              </w:txbxContent>
                            </wps:txbx>
                            <wps:bodyPr wrap="square" rtlCol="0">
                              <a:spAutoFit/>
                            </wps:bodyPr>
                          </wps:wsp>
                        </a:graphicData>
                      </a:graphic>
                    </wp:inline>
                  </w:drawing>
                </mc:Choice>
                <mc:Fallback>
                  <w:pict>
                    <v:shape w14:anchorId="5018239A" id="TextBox 11" o:spid="_x0000_s1032" type="#_x0000_t202" style="width:229.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" fillcolor="#374c80 [2404]" stroked="f">
                      <v:textbox style="mso-fit-shape-to-text:t">
                        <w:txbxContent>
                          <w:p w14:paraId="1718F5EE"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BD13CC">
                              <w:rPr>
                                <w:rFonts w:ascii="Candara" w:eastAsia="Verdana" w:hAnsi="Candara" w:cs="Verdana"/>
                                <w:b/>
                                <w:bCs/>
                                <w:color w:val="FFFFFF" w:themeColor="background1"/>
                                <w:kern w:val="24"/>
                                <w:sz w:val="14"/>
                                <w:shd w:val="clear" w:color="auto" w:fill="374C80" w:themeFill="accent1" w:themeFillShade="BF"/>
                              </w:rPr>
                              <w:t xml:space="preserve">Nepieciešams </w:t>
                            </w:r>
                            <w:r>
                              <w:rPr>
                                <w:rFonts w:ascii="Candara" w:eastAsia="Verdana" w:hAnsi="Candara" w:cs="Verdana"/>
                                <w:b/>
                                <w:bCs/>
                                <w:color w:val="FFFFFF" w:themeColor="background1"/>
                                <w:kern w:val="24"/>
                                <w:sz w:val="14"/>
                                <w:shd w:val="clear" w:color="auto" w:fill="374C80" w:themeFill="accent1" w:themeFillShade="BF"/>
                              </w:rPr>
                              <w:t xml:space="preserve">sekmēt </w:t>
                            </w:r>
                            <w:r w:rsidRPr="000E0956">
                              <w:rPr>
                                <w:rFonts w:ascii="Candara" w:eastAsia="Verdana" w:hAnsi="Candara" w:cs="Verdana"/>
                                <w:b/>
                                <w:bCs/>
                                <w:color w:val="FFFFFF" w:themeColor="background1"/>
                                <w:kern w:val="24"/>
                                <w:sz w:val="14"/>
                                <w:shd w:val="clear" w:color="auto" w:fill="374C80" w:themeFill="accent1" w:themeFillShade="BF"/>
                              </w:rPr>
                              <w:t>ražošanas diversifikāciju un tehnoloģisko modernizāciju</w:t>
                            </w:r>
                          </w:p>
                        </w:txbxContent>
                      </v:textbox>
                      <w10:anchorlock/>
                    </v:shape>
                  </w:pict>
                </mc:Fallback>
              </mc:AlternateContent>
            </w:r>
          </w:p>
        </w:tc>
        <w:tc>
          <w:tcPr>
            <w:tcW w:w="2399" w:type="pct"/>
            <w:shd w:val="clear" w:color="auto" w:fill="auto"/>
          </w:tcPr>
          <w:p w14:paraId="45F40CAA" w14:textId="77777777" w:rsidR="00D87E57" w:rsidRPr="004005DA" w:rsidRDefault="00D87E57" w:rsidP="0047559B">
            <w:pPr>
              <w:pStyle w:val="NormalWeb"/>
              <w:kinsoku w:val="0"/>
              <w:overflowPunct w:val="0"/>
              <w:spacing w:before="240" w:beforeAutospacing="0" w:after="120" w:afterAutospacing="0"/>
              <w:ind w:left="-113" w:right="-102"/>
              <w:jc w:val="center"/>
              <w:textAlignment w:val="baseline"/>
              <w:rPr>
                <w:rFonts w:asciiTheme="majorHAnsi" w:hAnsiTheme="majorHAnsi" w:cs="Arial"/>
                <w:b/>
                <w:bCs/>
                <w:color w:val="374C80" w:themeColor="accent1" w:themeShade="BF"/>
                <w:kern w:val="24"/>
                <w:sz w:val="8"/>
              </w:rPr>
            </w:pPr>
            <w:r w:rsidRPr="004005DA">
              <w:rPr>
                <w:rFonts w:asciiTheme="majorHAnsi" w:eastAsia="Verdana" w:hAnsiTheme="majorHAnsi" w:cs="Verdana"/>
                <w:b/>
                <w:bCs/>
                <w:caps/>
                <w:color w:val="374C80" w:themeColor="accent1" w:themeShade="BF"/>
                <w:kern w:val="24"/>
                <w:sz w:val="16"/>
                <w:szCs w:val="52"/>
              </w:rPr>
              <w:t>RELATĪVI Zemi ienākumi no eksporta</w:t>
            </w:r>
          </w:p>
          <w:p w14:paraId="3E96A496"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6"/>
                <w:szCs w:val="16"/>
                <w14:shadow w14:blurRad="38100" w14:dist="38100" w14:dir="2700000" w14:sx="100000" w14:sy="100000" w14:kx="0" w14:ky="0" w14:algn="tl">
                  <w14:srgbClr w14:val="000000">
                    <w14:alpha w14:val="57000"/>
                  </w14:srgbClr>
                </w14:shad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786"/>
            </w:tblGrid>
            <w:tr w:rsidR="00D87E57" w:rsidRPr="004005DA" w14:paraId="0AF8BCB0" w14:textId="77777777" w:rsidTr="0047559B">
              <w:tc>
                <w:tcPr>
                  <w:tcW w:w="2700" w:type="pct"/>
                </w:tcPr>
                <w:p w14:paraId="3434DC45"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Preču un pakalpojumu eksports</w:t>
                  </w:r>
                </w:p>
                <w:p w14:paraId="6AF30B5F"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10"/>
                      <w:szCs w:val="10"/>
                      <w14:shadow w14:blurRad="38100" w14:dist="38100" w14:dir="2700000" w14:sx="100000" w14:sy="100000" w14:kx="0" w14:ky="0" w14:algn="tl">
                        <w14:srgbClr w14:val="000000">
                          <w14:alpha w14:val="57000"/>
                        </w14:srgbClr>
                      </w14:shadow>
                    </w:rPr>
                  </w:pPr>
                  <w:r w:rsidRPr="004005DA">
                    <w:rPr>
                      <w:rFonts w:asciiTheme="majorHAnsi" w:hAnsiTheme="majorHAnsi" w:cs="Arial"/>
                      <w:bCs/>
                      <w:color w:val="374C80" w:themeColor="accent1" w:themeShade="BF"/>
                      <w:kern w:val="24"/>
                      <w:sz w:val="10"/>
                      <w:szCs w:val="10"/>
                    </w:rPr>
                    <w:t>% no IKP, vidēji 2013.-2016.gadā</w:t>
                  </w:r>
                </w:p>
              </w:tc>
              <w:tc>
                <w:tcPr>
                  <w:tcW w:w="2300" w:type="pct"/>
                </w:tcPr>
                <w:p w14:paraId="09082038"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IT pakalpojumu eksports</w:t>
                  </w:r>
                </w:p>
                <w:p w14:paraId="17C8BC9E"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10"/>
                      <w:szCs w:val="10"/>
                      <w14:shadow w14:blurRad="38100" w14:dist="38100" w14:dir="2700000" w14:sx="100000" w14:sy="100000" w14:kx="0" w14:ky="0" w14:algn="tl">
                        <w14:srgbClr w14:val="000000">
                          <w14:alpha w14:val="57000"/>
                        </w14:srgbClr>
                      </w14:shadow>
                    </w:rPr>
                  </w:pPr>
                  <w:r w:rsidRPr="004005DA">
                    <w:rPr>
                      <w:rFonts w:asciiTheme="majorHAnsi" w:eastAsia="Verdana" w:hAnsiTheme="majorHAnsi" w:cs="Verdana"/>
                      <w:color w:val="374C80" w:themeColor="accent1" w:themeShade="BF"/>
                      <w:kern w:val="24"/>
                      <w:sz w:val="10"/>
                      <w:szCs w:val="10"/>
                    </w:rPr>
                    <w:t>% no IKP, vidēji 2013.-2016.gadā</w:t>
                  </w:r>
                </w:p>
              </w:tc>
            </w:tr>
            <w:tr w:rsidR="00D87E57" w:rsidRPr="004005DA" w14:paraId="089DB6C3" w14:textId="77777777" w:rsidTr="0047559B">
              <w:tc>
                <w:tcPr>
                  <w:tcW w:w="2700" w:type="pct"/>
                  <w:vMerge w:val="restart"/>
                </w:tcPr>
                <w:p w14:paraId="036B63C3"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6"/>
                      <w:szCs w:val="16"/>
                      <w14:shadow w14:blurRad="38100" w14:dist="38100" w14:dir="2700000" w14:sx="100000" w14:sy="100000" w14:kx="0" w14:ky="0" w14:algn="tl">
                        <w14:srgbClr w14:val="000000">
                          <w14:alpha w14:val="57000"/>
                        </w14:srgbClr>
                      </w14:shadow>
                    </w:rPr>
                  </w:pPr>
                  <w:r w:rsidRPr="004005DA">
                    <w:rPr>
                      <w:rFonts w:asciiTheme="majorHAnsi" w:hAnsiTheme="majorHAnsi"/>
                      <w:noProof/>
                      <w:color w:val="374C80" w:themeColor="accent1" w:themeShade="BF"/>
                      <w:sz w:val="6"/>
                      <w:szCs w:val="16"/>
                    </w:rPr>
                    <w:drawing>
                      <wp:inline distT="0" distB="0" distL="0" distR="0" wp14:anchorId="1D9DEB4A" wp14:editId="4E583B44">
                        <wp:extent cx="1497204" cy="1567180"/>
                        <wp:effectExtent l="0" t="0" r="8255" b="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300" w:type="pct"/>
                </w:tcPr>
                <w:p w14:paraId="49DEEFAE"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6"/>
                      <w:szCs w:val="16"/>
                      <w14:shadow w14:blurRad="38100" w14:dist="38100" w14:dir="2700000" w14:sx="100000" w14:sy="100000" w14:kx="0" w14:ky="0" w14:algn="tl">
                        <w14:srgbClr w14:val="000000">
                          <w14:alpha w14:val="57000"/>
                        </w14:srgbClr>
                      </w14:shadow>
                    </w:rPr>
                  </w:pPr>
                  <w:r w:rsidRPr="004005DA">
                    <w:rPr>
                      <w:rFonts w:asciiTheme="majorHAnsi" w:hAnsiTheme="majorHAnsi"/>
                      <w:noProof/>
                      <w:color w:val="374C80" w:themeColor="accent1" w:themeShade="BF"/>
                      <w:sz w:val="6"/>
                      <w:szCs w:val="16"/>
                    </w:rPr>
                    <w:drawing>
                      <wp:inline distT="0" distB="0" distL="0" distR="0" wp14:anchorId="29E68130" wp14:editId="0AF6CDFB">
                        <wp:extent cx="1296000" cy="684000"/>
                        <wp:effectExtent l="0" t="0" r="0" b="1905"/>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D87E57" w:rsidRPr="004005DA" w14:paraId="2B9B028F" w14:textId="77777777" w:rsidTr="0047559B">
              <w:tc>
                <w:tcPr>
                  <w:tcW w:w="2700" w:type="pct"/>
                  <w:vMerge/>
                </w:tcPr>
                <w:p w14:paraId="2579146F"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10"/>
                      <w:szCs w:val="10"/>
                      <w14:shadow w14:blurRad="38100" w14:dist="38100" w14:dir="2700000" w14:sx="100000" w14:sy="100000" w14:kx="0" w14:ky="0" w14:algn="tl">
                        <w14:srgbClr w14:val="000000">
                          <w14:alpha w14:val="57000"/>
                        </w14:srgbClr>
                      </w14:shadow>
                    </w:rPr>
                  </w:pPr>
                </w:p>
              </w:tc>
              <w:tc>
                <w:tcPr>
                  <w:tcW w:w="2300" w:type="pct"/>
                </w:tcPr>
                <w:p w14:paraId="3111A5A4"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10"/>
                      <w:szCs w:val="10"/>
                      <w14:shadow w14:blurRad="38100" w14:dist="38100" w14:dir="2700000" w14:sx="100000" w14:sy="100000" w14:kx="0" w14:ky="0" w14:algn="tl">
                        <w14:srgbClr w14:val="000000">
                          <w14:alpha w14:val="57000"/>
                        </w14:srgbClr>
                      </w14:shadow>
                    </w:rPr>
                  </w:pPr>
                  <w:r w:rsidRPr="004005DA">
                    <w:rPr>
                      <w:rFonts w:asciiTheme="majorHAnsi" w:hAnsiTheme="majorHAnsi" w:cs="Arial"/>
                      <w:b/>
                      <w:bCs/>
                      <w:color w:val="374C80" w:themeColor="accent1" w:themeShade="BF"/>
                      <w:kern w:val="24"/>
                      <w:sz w:val="10"/>
                      <w:szCs w:val="10"/>
                    </w:rPr>
                    <w:t>Augsto tehnoloģiju produktu eksports</w:t>
                  </w:r>
                </w:p>
                <w:p w14:paraId="0D0C4AB7"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10"/>
                      <w:szCs w:val="10"/>
                      <w14:shadow w14:blurRad="38100" w14:dist="38100" w14:dir="2700000" w14:sx="100000" w14:sy="100000" w14:kx="0" w14:ky="0" w14:algn="tl">
                        <w14:srgbClr w14:val="000000">
                          <w14:alpha w14:val="57000"/>
                        </w14:srgbClr>
                      </w14:shadow>
                    </w:rPr>
                  </w:pPr>
                  <w:r w:rsidRPr="004005DA">
                    <w:rPr>
                      <w:rFonts w:asciiTheme="majorHAnsi" w:eastAsia="Verdana" w:hAnsiTheme="majorHAnsi" w:cs="Verdana"/>
                      <w:color w:val="374C80" w:themeColor="accent1" w:themeShade="BF"/>
                      <w:kern w:val="24"/>
                      <w:sz w:val="10"/>
                      <w:szCs w:val="10"/>
                    </w:rPr>
                    <w:t>% no IKP, vidēji 2013.-2015.gadā</w:t>
                  </w:r>
                </w:p>
              </w:tc>
            </w:tr>
            <w:tr w:rsidR="00D87E57" w:rsidRPr="004005DA" w14:paraId="7D0D2F14" w14:textId="77777777" w:rsidTr="0047559B">
              <w:tc>
                <w:tcPr>
                  <w:tcW w:w="2700" w:type="pct"/>
                  <w:vMerge/>
                </w:tcPr>
                <w:p w14:paraId="74BDE4A3"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6"/>
                      <w:szCs w:val="16"/>
                      <w14:shadow w14:blurRad="38100" w14:dist="38100" w14:dir="2700000" w14:sx="100000" w14:sy="100000" w14:kx="0" w14:ky="0" w14:algn="tl">
                        <w14:srgbClr w14:val="000000">
                          <w14:alpha w14:val="57000"/>
                        </w14:srgbClr>
                      </w14:shadow>
                    </w:rPr>
                  </w:pPr>
                </w:p>
              </w:tc>
              <w:tc>
                <w:tcPr>
                  <w:tcW w:w="2300" w:type="pct"/>
                </w:tcPr>
                <w:p w14:paraId="33F9465D"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6"/>
                      <w:szCs w:val="16"/>
                      <w14:shadow w14:blurRad="38100" w14:dist="38100" w14:dir="2700000" w14:sx="100000" w14:sy="100000" w14:kx="0" w14:ky="0" w14:algn="tl">
                        <w14:srgbClr w14:val="000000">
                          <w14:alpha w14:val="57000"/>
                        </w14:srgbClr>
                      </w14:shadow>
                    </w:rPr>
                  </w:pPr>
                  <w:r w:rsidRPr="004005DA">
                    <w:rPr>
                      <w:rFonts w:asciiTheme="majorHAnsi" w:eastAsia="Verdana" w:hAnsiTheme="majorHAnsi" w:cs="Verdana"/>
                      <w:bCs/>
                      <w:caps/>
                      <w:noProof/>
                      <w:color w:val="374C80" w:themeColor="accent1" w:themeShade="BF"/>
                      <w:kern w:val="24"/>
                      <w:sz w:val="6"/>
                      <w:szCs w:val="16"/>
                      <w14:shadow w14:blurRad="38100" w14:dist="38100" w14:dir="2700000" w14:sx="100000" w14:sy="100000" w14:kx="0" w14:ky="0" w14:algn="tl">
                        <w14:srgbClr w14:val="000000">
                          <w14:alpha w14:val="57000"/>
                        </w14:srgbClr>
                      </w14:shadow>
                    </w:rPr>
                    <w:drawing>
                      <wp:inline distT="0" distB="0" distL="0" distR="0" wp14:anchorId="3948CADC" wp14:editId="389B27FF">
                        <wp:extent cx="1296000" cy="684000"/>
                        <wp:effectExtent l="0" t="0" r="0" b="1905"/>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7DD41589"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23"/>
              <w:jc w:val="center"/>
              <w:textAlignment w:val="baseline"/>
              <w:rPr>
                <w:rFonts w:asciiTheme="majorHAnsi" w:eastAsia="Verdana" w:hAnsiTheme="majorHAnsi" w:cs="Verdana"/>
                <w:bCs/>
                <w:caps/>
                <w:color w:val="374C80" w:themeColor="accent1" w:themeShade="BF"/>
                <w:kern w:val="24"/>
                <w:sz w:val="4"/>
                <w:szCs w:val="16"/>
                <w14:shadow w14:blurRad="38100" w14:dist="38100" w14:dir="2700000" w14:sx="100000" w14:sy="100000" w14:kx="0" w14:ky="0" w14:algn="tl">
                  <w14:srgbClr w14:val="000000">
                    <w14:alpha w14:val="57000"/>
                  </w14:srgbClr>
                </w14:shadow>
              </w:rPr>
            </w:pPr>
          </w:p>
          <w:p w14:paraId="4C4B31F6" w14:textId="77777777" w:rsidR="00D87E57" w:rsidRPr="004005DA" w:rsidRDefault="00D87E57" w:rsidP="0047559B">
            <w:pPr>
              <w:jc w:val="center"/>
              <w:rPr>
                <w:rFonts w:asciiTheme="majorHAnsi" w:hAnsiTheme="majorHAnsi" w:cs="Arial"/>
                <w:b/>
                <w:bCs/>
                <w:color w:val="374C80" w:themeColor="accent1" w:themeShade="BF"/>
                <w:kern w:val="24"/>
                <w:sz w:val="4"/>
              </w:rPr>
            </w:pPr>
          </w:p>
          <w:p w14:paraId="7BC89AAE" w14:textId="77777777" w:rsidR="00D87E57" w:rsidRPr="004005DA" w:rsidRDefault="00D87E57" w:rsidP="0047559B">
            <w:pPr>
              <w:jc w:val="center"/>
              <w:rPr>
                <w:rFonts w:asciiTheme="majorHAnsi" w:hAnsiTheme="majorHAnsi" w:cs="Arial"/>
                <w:b/>
                <w:bCs/>
                <w:color w:val="374C80" w:themeColor="accent1" w:themeShade="BF"/>
                <w:kern w:val="24"/>
                <w:sz w:val="8"/>
              </w:rPr>
            </w:pPr>
            <w:r w:rsidRPr="004005DA">
              <w:rPr>
                <w:rFonts w:asciiTheme="majorHAnsi" w:hAnsiTheme="majorHAnsi"/>
                <w:noProof/>
                <w:color w:val="374C80" w:themeColor="accent1" w:themeShade="BF"/>
                <w:sz w:val="6"/>
                <w:lang w:val="lv-LV" w:eastAsia="lv-LV"/>
              </w:rPr>
              <mc:AlternateContent>
                <mc:Choice Requires="wps">
                  <w:drawing>
                    <wp:inline distT="0" distB="0" distL="0" distR="0" wp14:anchorId="335A45D1" wp14:editId="29353726">
                      <wp:extent cx="2938145" cy="324000"/>
                      <wp:effectExtent l="0" t="0" r="0" b="0"/>
                      <wp:docPr id="222" name="TextBox 11"/>
                      <wp:cNvGraphicFramePr/>
                      <a:graphic xmlns:a="http://schemas.openxmlformats.org/drawingml/2006/main">
                        <a:graphicData uri="http://schemas.microsoft.com/office/word/2010/wordprocessingShape">
                          <wps:wsp>
                            <wps:cNvSpPr txBox="1"/>
                            <wps:spPr>
                              <a:xfrm>
                                <a:off x="0" y="0"/>
                                <a:ext cx="2938145" cy="324000"/>
                              </a:xfrm>
                              <a:prstGeom prst="rect">
                                <a:avLst/>
                              </a:prstGeom>
                              <a:solidFill>
                                <a:schemeClr val="accent1">
                                  <a:lumMod val="75000"/>
                                </a:schemeClr>
                              </a:solidFill>
                            </wps:spPr>
                            <wps:txbx>
                              <w:txbxContent>
                                <w:p w14:paraId="339F721F" w14:textId="77777777" w:rsidR="0047559B" w:rsidRPr="00B6537C" w:rsidRDefault="0047559B" w:rsidP="00D87E5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374C80" w:themeFill="accent1" w:themeFillShade="BF"/>
                                    </w:rPr>
                                  </w:pPr>
                                  <w:r w:rsidRPr="00B6537C">
                                    <w:rPr>
                                      <w:rFonts w:ascii="Candara" w:eastAsia="Verdana" w:hAnsi="Candara" w:cs="Verdana"/>
                                      <w:b/>
                                      <w:bCs/>
                                      <w:color w:val="FFFFFF" w:themeColor="background1"/>
                                      <w:kern w:val="24"/>
                                      <w:sz w:val="14"/>
                                      <w:shd w:val="clear" w:color="auto" w:fill="374C80" w:themeFill="accent1" w:themeFillShade="BF"/>
                                    </w:rPr>
                                    <w:t>Nepieciešams reformas, kas atvieglos pāreju uz produktu ar augstāku pievienoto vērtību ražošanu</w:t>
                                  </w:r>
                                </w:p>
                              </w:txbxContent>
                            </wps:txbx>
                            <wps:bodyPr wrap="square" rtlCol="0">
                              <a:spAutoFit/>
                            </wps:bodyPr>
                          </wps:wsp>
                        </a:graphicData>
                      </a:graphic>
                    </wp:inline>
                  </w:drawing>
                </mc:Choice>
                <mc:Fallback>
                  <w:pict>
                    <v:shape w14:anchorId="335A45D1" id="_x0000_s1033" type="#_x0000_t202" style="width:231.3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" fillcolor="#374c80 [2404]" stroked="f">
                      <v:textbox style="mso-fit-shape-to-text:t">
                        <w:txbxContent>
                          <w:p w14:paraId="339F721F" w14:textId="77777777" w:rsidR="0047559B" w:rsidRPr="00B6537C" w:rsidRDefault="0047559B" w:rsidP="00D87E5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374C80" w:themeFill="accent1" w:themeFillShade="BF"/>
                              </w:rPr>
                            </w:pPr>
                            <w:r w:rsidRPr="00B6537C">
                              <w:rPr>
                                <w:rFonts w:ascii="Candara" w:eastAsia="Verdana" w:hAnsi="Candara" w:cs="Verdana"/>
                                <w:b/>
                                <w:bCs/>
                                <w:color w:val="FFFFFF" w:themeColor="background1"/>
                                <w:kern w:val="24"/>
                                <w:sz w:val="14"/>
                                <w:shd w:val="clear" w:color="auto" w:fill="374C80" w:themeFill="accent1" w:themeFillShade="BF"/>
                              </w:rPr>
                              <w:t>Nepieciešams reformas, kas atvieglos pāreju uz produktu ar augstāku pievienoto vērtību ražošanu</w:t>
                            </w:r>
                          </w:p>
                        </w:txbxContent>
                      </v:textbox>
                      <w10:anchorlock/>
                    </v:shape>
                  </w:pict>
                </mc:Fallback>
              </mc:AlternateContent>
            </w:r>
          </w:p>
          <w:p w14:paraId="59E31020" w14:textId="77777777" w:rsidR="00D87E57" w:rsidRPr="004005DA" w:rsidRDefault="00D87E57" w:rsidP="0047559B">
            <w:pPr>
              <w:jc w:val="center"/>
              <w:rPr>
                <w:rFonts w:asciiTheme="majorHAnsi" w:hAnsiTheme="majorHAnsi" w:cs="Arial"/>
                <w:b/>
                <w:bCs/>
                <w:color w:val="374C80" w:themeColor="accent1" w:themeShade="BF"/>
                <w:kern w:val="24"/>
                <w:sz w:val="8"/>
              </w:rPr>
            </w:pPr>
          </w:p>
        </w:tc>
      </w:tr>
      <w:tr w:rsidR="00D87E57" w:rsidRPr="004005DA" w14:paraId="70006A71" w14:textId="77777777" w:rsidTr="0047559B">
        <w:trPr>
          <w:trHeight w:val="3685"/>
          <w:jc w:val="center"/>
        </w:trPr>
        <w:tc>
          <w:tcPr>
            <w:tcW w:w="2601" w:type="pct"/>
            <w:shd w:val="clear" w:color="auto" w:fill="auto"/>
          </w:tcPr>
          <w:p w14:paraId="397E3577"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eastAsia="Verdana" w:hAnsiTheme="majorHAnsi" w:cs="Verdana"/>
                <w:b/>
                <w:bCs/>
                <w:caps/>
                <w:color w:val="374C80" w:themeColor="accent1" w:themeShade="BF"/>
                <w:kern w:val="24"/>
                <w:sz w:val="16"/>
                <w:szCs w:val="52"/>
              </w:rPr>
              <w:t>neilgtspējīga investīciju struktūra</w:t>
            </w:r>
          </w:p>
          <w:p w14:paraId="39D5F3AB"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4"/>
                <w:szCs w:val="52"/>
              </w:rPr>
            </w:pPr>
          </w:p>
          <w:tbl>
            <w:tblPr>
              <w:tblStyle w:val="TableGrid"/>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1886"/>
            </w:tblGrid>
            <w:tr w:rsidR="00D87E57" w:rsidRPr="00A05830" w14:paraId="5620F940" w14:textId="77777777" w:rsidTr="0047559B">
              <w:tc>
                <w:tcPr>
                  <w:tcW w:w="2416" w:type="dxa"/>
                </w:tcPr>
                <w:p w14:paraId="5FF1AE00" w14:textId="77777777" w:rsidR="00D87E57" w:rsidRPr="004005DA" w:rsidRDefault="00D87E57" w:rsidP="0047559B">
                  <w:pPr>
                    <w:pStyle w:val="NormalWeb"/>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Investīciju līmenis</w:t>
                  </w:r>
                </w:p>
                <w:p w14:paraId="55AD2FC2" w14:textId="77777777" w:rsidR="00D87E57" w:rsidRPr="004005DA" w:rsidRDefault="00D87E57" w:rsidP="0047559B">
                  <w:pPr>
                    <w:pStyle w:val="NormalWeb"/>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r w:rsidRPr="004005DA">
                    <w:rPr>
                      <w:rFonts w:asciiTheme="majorHAnsi" w:hAnsiTheme="majorHAnsi" w:cs="Arial"/>
                      <w:color w:val="374C80" w:themeColor="accent1" w:themeShade="BF"/>
                      <w:kern w:val="24"/>
                      <w:sz w:val="10"/>
                      <w:szCs w:val="10"/>
                    </w:rPr>
                    <w:t>% no IKP, vidēji 2013.-2016.gadā</w:t>
                  </w:r>
                </w:p>
              </w:tc>
              <w:tc>
                <w:tcPr>
                  <w:tcW w:w="2361" w:type="dxa"/>
                </w:tcPr>
                <w:p w14:paraId="700E05AF"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Investīcijas apstrādes rūpniecībā</w:t>
                  </w:r>
                </w:p>
                <w:p w14:paraId="64FCED1A"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r w:rsidRPr="004005DA">
                    <w:rPr>
                      <w:rFonts w:asciiTheme="majorHAnsi" w:hAnsiTheme="majorHAnsi" w:cs="Arial"/>
                      <w:color w:val="374C80" w:themeColor="accent1" w:themeShade="BF"/>
                      <w:kern w:val="24"/>
                      <w:sz w:val="10"/>
                      <w:szCs w:val="10"/>
                    </w:rPr>
                    <w:t>% no kopējām investīcijām</w:t>
                  </w:r>
                </w:p>
              </w:tc>
            </w:tr>
            <w:tr w:rsidR="00D87E57" w:rsidRPr="004005DA" w14:paraId="091F563F" w14:textId="77777777" w:rsidTr="0047559B">
              <w:tc>
                <w:tcPr>
                  <w:tcW w:w="2416" w:type="dxa"/>
                </w:tcPr>
                <w:p w14:paraId="4A07014A" w14:textId="77777777" w:rsidR="00D87E57" w:rsidRPr="004005DA" w:rsidRDefault="00D87E57" w:rsidP="0047559B">
                  <w:pPr>
                    <w:pStyle w:val="NormalWeb"/>
                    <w:kinsoku w:val="0"/>
                    <w:overflowPunct w:val="0"/>
                    <w:spacing w:before="0" w:beforeAutospacing="0" w:after="0" w:afterAutospacing="0"/>
                    <w:ind w:left="-80"/>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hAnsiTheme="majorHAnsi"/>
                      <w:noProof/>
                      <w:color w:val="374C80" w:themeColor="accent1" w:themeShade="BF"/>
                      <w:sz w:val="12"/>
                    </w:rPr>
                    <w:drawing>
                      <wp:inline distT="0" distB="0" distL="0" distR="0" wp14:anchorId="79916692" wp14:editId="5A18F0F7">
                        <wp:extent cx="1440000" cy="792000"/>
                        <wp:effectExtent l="0" t="0" r="8255" b="8255"/>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2361" w:type="dxa"/>
                </w:tcPr>
                <w:p w14:paraId="09C94316" w14:textId="77777777" w:rsidR="00D87E57" w:rsidRPr="004005DA" w:rsidRDefault="00D87E57" w:rsidP="0047559B">
                  <w:pPr>
                    <w:pStyle w:val="NormalWeb"/>
                    <w:kinsoku w:val="0"/>
                    <w:overflowPunct w:val="0"/>
                    <w:spacing w:before="0" w:beforeAutospacing="0" w:after="0" w:afterAutospacing="0"/>
                    <w:ind w:left="-122"/>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hAnsiTheme="majorHAnsi"/>
                      <w:noProof/>
                      <w:color w:val="374C80" w:themeColor="accent1" w:themeShade="BF"/>
                      <w:sz w:val="12"/>
                    </w:rPr>
                    <w:drawing>
                      <wp:inline distT="0" distB="0" distL="0" distR="0" wp14:anchorId="09E10C39" wp14:editId="199EAE0B">
                        <wp:extent cx="1440000" cy="792000"/>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D87E57" w:rsidRPr="004005DA" w14:paraId="373C5961" w14:textId="77777777" w:rsidTr="0047559B">
              <w:tc>
                <w:tcPr>
                  <w:tcW w:w="2416" w:type="dxa"/>
                </w:tcPr>
                <w:p w14:paraId="123C6BA8"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Investīcijas intelektuālā īpašuma produktos</w:t>
                  </w:r>
                </w:p>
                <w:p w14:paraId="32FACB6C" w14:textId="77777777" w:rsidR="00D87E57" w:rsidRPr="004005DA" w:rsidRDefault="00D87E57" w:rsidP="0047559B">
                  <w:pPr>
                    <w:pStyle w:val="NormalWeb"/>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r w:rsidRPr="004005DA">
                    <w:rPr>
                      <w:rFonts w:asciiTheme="majorHAnsi" w:hAnsiTheme="majorHAnsi" w:cs="Arial"/>
                      <w:color w:val="374C80" w:themeColor="accent1" w:themeShade="BF"/>
                      <w:kern w:val="24"/>
                      <w:sz w:val="10"/>
                      <w:szCs w:val="10"/>
                    </w:rPr>
                    <w:t>% no kopējām investīcijām</w:t>
                  </w:r>
                </w:p>
              </w:tc>
              <w:tc>
                <w:tcPr>
                  <w:tcW w:w="2361" w:type="dxa"/>
                </w:tcPr>
                <w:p w14:paraId="5A5ABB56" w14:textId="77777777" w:rsidR="00D87E57" w:rsidRPr="004005DA" w:rsidRDefault="00D87E57" w:rsidP="0047559B">
                  <w:pPr>
                    <w:pStyle w:val="NormalWeb"/>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Izdevumi pētniecībai un attīstībai</w:t>
                  </w:r>
                </w:p>
                <w:p w14:paraId="65D1A88F" w14:textId="77777777" w:rsidR="00D87E57" w:rsidRPr="004005DA" w:rsidRDefault="00D87E57" w:rsidP="0047559B">
                  <w:pPr>
                    <w:pStyle w:val="NormalWeb"/>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r w:rsidRPr="004005DA">
                    <w:rPr>
                      <w:rFonts w:asciiTheme="majorHAnsi" w:hAnsiTheme="majorHAnsi" w:cs="Arial"/>
                      <w:color w:val="374C80" w:themeColor="accent1" w:themeShade="BF"/>
                      <w:kern w:val="24"/>
                      <w:sz w:val="10"/>
                      <w:szCs w:val="10"/>
                    </w:rPr>
                    <w:t>% no IKP</w:t>
                  </w:r>
                </w:p>
              </w:tc>
            </w:tr>
            <w:tr w:rsidR="00D87E57" w:rsidRPr="004005DA" w14:paraId="6A56B47F" w14:textId="77777777" w:rsidTr="0047559B">
              <w:tc>
                <w:tcPr>
                  <w:tcW w:w="2416" w:type="dxa"/>
                </w:tcPr>
                <w:p w14:paraId="213DB981" w14:textId="77777777" w:rsidR="00D87E57" w:rsidRPr="004005DA" w:rsidRDefault="00D87E57" w:rsidP="0047559B">
                  <w:pPr>
                    <w:pStyle w:val="NormalWeb"/>
                    <w:kinsoku w:val="0"/>
                    <w:overflowPunct w:val="0"/>
                    <w:spacing w:before="0" w:beforeAutospacing="0" w:after="0" w:afterAutospacing="0"/>
                    <w:ind w:left="-80"/>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hAnsiTheme="majorHAnsi"/>
                      <w:noProof/>
                      <w:color w:val="374C80" w:themeColor="accent1" w:themeShade="BF"/>
                      <w:sz w:val="12"/>
                    </w:rPr>
                    <w:drawing>
                      <wp:inline distT="0" distB="0" distL="0" distR="0" wp14:anchorId="77878C79" wp14:editId="2624EBCE">
                        <wp:extent cx="1440000" cy="756000"/>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2361" w:type="dxa"/>
                </w:tcPr>
                <w:p w14:paraId="5802467B" w14:textId="77777777" w:rsidR="00D87E57" w:rsidRPr="004005DA" w:rsidRDefault="00D87E57" w:rsidP="0047559B">
                  <w:pPr>
                    <w:pStyle w:val="NormalWeb"/>
                    <w:kinsoku w:val="0"/>
                    <w:overflowPunct w:val="0"/>
                    <w:spacing w:before="0" w:beforeAutospacing="0" w:after="0" w:afterAutospacing="0"/>
                    <w:ind w:left="-122"/>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hAnsiTheme="majorHAnsi"/>
                      <w:noProof/>
                      <w:color w:val="374C80" w:themeColor="accent1" w:themeShade="BF"/>
                      <w:sz w:val="12"/>
                    </w:rPr>
                    <w:drawing>
                      <wp:inline distT="0" distB="0" distL="0" distR="0" wp14:anchorId="7176FC40" wp14:editId="7CB808D9">
                        <wp:extent cx="1440000" cy="756000"/>
                        <wp:effectExtent l="0" t="0" r="0" b="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1B5767D9"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color w:val="374C80" w:themeColor="accent1" w:themeShade="BF"/>
                <w:kern w:val="24"/>
                <w:sz w:val="6"/>
              </w:rPr>
            </w:pPr>
            <w:r w:rsidRPr="004005DA">
              <w:rPr>
                <w:rFonts w:asciiTheme="majorHAnsi" w:hAnsiTheme="majorHAnsi"/>
                <w:noProof/>
                <w:color w:val="374C80" w:themeColor="accent1" w:themeShade="BF"/>
                <w:sz w:val="6"/>
              </w:rPr>
              <mc:AlternateContent>
                <mc:Choice Requires="wps">
                  <w:drawing>
                    <wp:inline distT="0" distB="0" distL="0" distR="0" wp14:anchorId="3B3878B9" wp14:editId="007C2FD8">
                      <wp:extent cx="2913163" cy="461665"/>
                      <wp:effectExtent l="0" t="0" r="1905" b="8255"/>
                      <wp:docPr id="224" name="TextBox 11"/>
                      <wp:cNvGraphicFramePr/>
                      <a:graphic xmlns:a="http://schemas.openxmlformats.org/drawingml/2006/main">
                        <a:graphicData uri="http://schemas.microsoft.com/office/word/2010/wordprocessingShape">
                          <wps:wsp>
                            <wps:cNvSpPr txBox="1"/>
                            <wps:spPr>
                              <a:xfrm>
                                <a:off x="0" y="0"/>
                                <a:ext cx="2913163" cy="461665"/>
                              </a:xfrm>
                              <a:prstGeom prst="rect">
                                <a:avLst/>
                              </a:prstGeom>
                              <a:solidFill>
                                <a:schemeClr val="accent1">
                                  <a:lumMod val="75000"/>
                                </a:schemeClr>
                              </a:solidFill>
                            </wps:spPr>
                            <wps:txbx>
                              <w:txbxContent>
                                <w:p w14:paraId="06E9CDC1"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BD13CC">
                                    <w:rPr>
                                      <w:rFonts w:ascii="Candara" w:eastAsia="Verdana" w:hAnsi="Candara" w:cs="Verdana"/>
                                      <w:b/>
                                      <w:bCs/>
                                      <w:color w:val="FFFFFF" w:themeColor="background1"/>
                                      <w:kern w:val="24"/>
                                      <w:sz w:val="14"/>
                                      <w:shd w:val="clear" w:color="auto" w:fill="374C80" w:themeFill="accent1" w:themeFillShade="BF"/>
                                    </w:rPr>
                                    <w:t xml:space="preserve">Nepieciešamas </w:t>
                                  </w:r>
                                  <w:r>
                                    <w:rPr>
                                      <w:rFonts w:ascii="Candara" w:eastAsia="Verdana" w:hAnsi="Candara" w:cs="Verdana"/>
                                      <w:b/>
                                      <w:bCs/>
                                      <w:color w:val="FFFFFF" w:themeColor="background1"/>
                                      <w:kern w:val="24"/>
                                      <w:sz w:val="14"/>
                                      <w:shd w:val="clear" w:color="auto" w:fill="374C80" w:themeFill="accent1" w:themeFillShade="BF"/>
                                    </w:rPr>
                                    <w:t>stimulēt investīciju pieaugumu Latvijas ekonomikas transformācijai un ilgtermiņa attīstībai nozīmīgās jomās</w:t>
                                  </w:r>
                                </w:p>
                              </w:txbxContent>
                            </wps:txbx>
                            <wps:bodyPr wrap="square" rtlCol="0">
                              <a:spAutoFit/>
                            </wps:bodyPr>
                          </wps:wsp>
                        </a:graphicData>
                      </a:graphic>
                    </wp:inline>
                  </w:drawing>
                </mc:Choice>
                <mc:Fallback>
                  <w:pict>
                    <v:shape w14:anchorId="3B3878B9" id="_x0000_s1034" type="#_x0000_t202" style="width:229.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" fillcolor="#374c80 [2404]" stroked="f">
                      <v:textbox style="mso-fit-shape-to-text:t">
                        <w:txbxContent>
                          <w:p w14:paraId="06E9CDC1"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BD13CC">
                              <w:rPr>
                                <w:rFonts w:ascii="Candara" w:eastAsia="Verdana" w:hAnsi="Candara" w:cs="Verdana"/>
                                <w:b/>
                                <w:bCs/>
                                <w:color w:val="FFFFFF" w:themeColor="background1"/>
                                <w:kern w:val="24"/>
                                <w:sz w:val="14"/>
                                <w:shd w:val="clear" w:color="auto" w:fill="374C80" w:themeFill="accent1" w:themeFillShade="BF"/>
                              </w:rPr>
                              <w:t xml:space="preserve">Nepieciešamas </w:t>
                            </w:r>
                            <w:r>
                              <w:rPr>
                                <w:rFonts w:ascii="Candara" w:eastAsia="Verdana" w:hAnsi="Candara" w:cs="Verdana"/>
                                <w:b/>
                                <w:bCs/>
                                <w:color w:val="FFFFFF" w:themeColor="background1"/>
                                <w:kern w:val="24"/>
                                <w:sz w:val="14"/>
                                <w:shd w:val="clear" w:color="auto" w:fill="374C80" w:themeFill="accent1" w:themeFillShade="BF"/>
                              </w:rPr>
                              <w:t>stimulēt investīciju pieaugumu Latvijas ekonomikas transformācijai un ilgtermiņa attīstībai nozīmīgās jomās</w:t>
                            </w:r>
                          </w:p>
                        </w:txbxContent>
                      </v:textbox>
                      <w10:anchorlock/>
                    </v:shape>
                  </w:pict>
                </mc:Fallback>
              </mc:AlternateContent>
            </w:r>
          </w:p>
        </w:tc>
        <w:tc>
          <w:tcPr>
            <w:tcW w:w="2399" w:type="pct"/>
            <w:shd w:val="clear" w:color="auto" w:fill="auto"/>
          </w:tcPr>
          <w:p w14:paraId="03379F0A"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14:props3d w14:extrusionH="0" w14:contourW="0" w14:prstMaterial="matte"/>
              </w:rPr>
            </w:pPr>
            <w:r w:rsidRPr="004005DA">
              <w:rPr>
                <w:rFonts w:asciiTheme="majorHAnsi" w:eastAsia="Verdana" w:hAnsiTheme="majorHAnsi" w:cs="Verdana"/>
                <w:b/>
                <w:bCs/>
                <w:caps/>
                <w:color w:val="374C80" w:themeColor="accent1" w:themeShade="BF"/>
                <w:kern w:val="24"/>
                <w:sz w:val="16"/>
                <w:szCs w:val="52"/>
                <w14:props3d w14:extrusionH="0" w14:contourW="0" w14:prstMaterial="matte"/>
              </w:rPr>
              <w:t>Latvijas inovāciju sistēma ir vāja</w:t>
            </w:r>
          </w:p>
          <w:p w14:paraId="07DD06BF" w14:textId="77777777" w:rsidR="00D87E57" w:rsidRPr="004005DA" w:rsidRDefault="00D87E57" w:rsidP="0047559B">
            <w:pPr>
              <w:pStyle w:val="NormalWeb"/>
              <w:tabs>
                <w:tab w:val="center" w:pos="1404"/>
              </w:tabs>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p>
          <w:p w14:paraId="45588523" w14:textId="77777777" w:rsidR="00D87E57" w:rsidRPr="004005DA" w:rsidRDefault="00D87E57" w:rsidP="0047559B">
            <w:pPr>
              <w:pStyle w:val="NormalWeb"/>
              <w:tabs>
                <w:tab w:val="center" w:pos="1404"/>
              </w:tabs>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0"/>
                <w:szCs w:val="10"/>
              </w:rPr>
            </w:pPr>
            <w:r w:rsidRPr="004005DA">
              <w:rPr>
                <w:rFonts w:asciiTheme="majorHAnsi" w:hAnsiTheme="majorHAnsi"/>
                <w:noProof/>
                <w:color w:val="374C80" w:themeColor="accent1" w:themeShade="BF"/>
              </w:rPr>
              <w:drawing>
                <wp:inline distT="0" distB="0" distL="0" distR="0" wp14:anchorId="374434C1" wp14:editId="4EA8AE4C">
                  <wp:extent cx="2952000" cy="1712181"/>
                  <wp:effectExtent l="0" t="0" r="127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9565" t="29680" r="21517" b="9442"/>
                          <a:stretch/>
                        </pic:blipFill>
                        <pic:spPr bwMode="auto">
                          <a:xfrm>
                            <a:off x="0" y="0"/>
                            <a:ext cx="2952000" cy="1712181"/>
                          </a:xfrm>
                          <a:prstGeom prst="rect">
                            <a:avLst/>
                          </a:prstGeom>
                          <a:ln>
                            <a:noFill/>
                          </a:ln>
                          <a:extLst>
                            <a:ext uri="{53640926-AAD7-44D8-BBD7-CCE9431645EC}">
                              <a14:shadowObscured xmlns:a14="http://schemas.microsoft.com/office/drawing/2010/main"/>
                            </a:ext>
                          </a:extLst>
                        </pic:spPr>
                      </pic:pic>
                    </a:graphicData>
                  </a:graphic>
                </wp:inline>
              </w:drawing>
            </w:r>
          </w:p>
          <w:p w14:paraId="6FF85F94" w14:textId="77777777" w:rsidR="00D87E57" w:rsidRPr="004005DA" w:rsidRDefault="00D87E57" w:rsidP="0047559B">
            <w:pPr>
              <w:pStyle w:val="NormalWeb"/>
              <w:tabs>
                <w:tab w:val="center" w:pos="1404"/>
              </w:tabs>
              <w:kinsoku w:val="0"/>
              <w:overflowPunct w:val="0"/>
              <w:spacing w:before="0" w:beforeAutospacing="0" w:after="0" w:afterAutospacing="0"/>
              <w:jc w:val="center"/>
              <w:textAlignment w:val="baseline"/>
              <w:rPr>
                <w:rFonts w:asciiTheme="majorHAnsi" w:eastAsia="Verdana" w:hAnsiTheme="majorHAnsi" w:cs="Verdana"/>
                <w:b/>
                <w:bCs/>
                <w:caps/>
                <w:color w:val="374C80" w:themeColor="accent1" w:themeShade="BF"/>
                <w:kern w:val="24"/>
                <w:sz w:val="12"/>
                <w:szCs w:val="10"/>
              </w:rPr>
            </w:pPr>
          </w:p>
          <w:p w14:paraId="26779373" w14:textId="77777777" w:rsidR="00D87E57" w:rsidRPr="004005DA" w:rsidRDefault="00D87E57" w:rsidP="0047559B">
            <w:pPr>
              <w:pStyle w:val="NormalWeb"/>
              <w:kinsoku w:val="0"/>
              <w:overflowPunct w:val="0"/>
              <w:spacing w:before="0" w:beforeAutospacing="0" w:after="0" w:afterAutospacing="0"/>
              <w:ind w:left="-113"/>
              <w:jc w:val="center"/>
              <w:textAlignment w:val="baseline"/>
              <w:rPr>
                <w:rFonts w:asciiTheme="majorHAnsi" w:hAnsiTheme="majorHAnsi"/>
                <w:noProof/>
                <w:color w:val="374C80" w:themeColor="accent1" w:themeShade="BF"/>
                <w:sz w:val="2"/>
                <w:szCs w:val="2"/>
              </w:rPr>
            </w:pPr>
          </w:p>
          <w:p w14:paraId="54605ECB" w14:textId="77777777" w:rsidR="00D87E57" w:rsidRDefault="00D87E57" w:rsidP="0047559B">
            <w:pPr>
              <w:pStyle w:val="NormalWeb"/>
              <w:kinsoku w:val="0"/>
              <w:overflowPunct w:val="0"/>
              <w:spacing w:before="0" w:beforeAutospacing="0" w:after="0" w:afterAutospacing="0"/>
              <w:ind w:left="-113"/>
              <w:jc w:val="center"/>
              <w:textAlignment w:val="baseline"/>
              <w:rPr>
                <w:rFonts w:asciiTheme="majorHAnsi" w:hAnsiTheme="majorHAnsi"/>
                <w:noProof/>
                <w:color w:val="374C80" w:themeColor="accent1" w:themeShade="BF"/>
                <w:sz w:val="12"/>
              </w:rPr>
            </w:pPr>
            <w:r w:rsidRPr="004005DA">
              <w:rPr>
                <w:rFonts w:asciiTheme="majorHAnsi" w:hAnsiTheme="majorHAnsi"/>
                <w:noProof/>
                <w:color w:val="374C80" w:themeColor="accent1" w:themeShade="BF"/>
                <w:sz w:val="6"/>
              </w:rPr>
              <mc:AlternateContent>
                <mc:Choice Requires="wps">
                  <w:drawing>
                    <wp:inline distT="0" distB="0" distL="0" distR="0" wp14:anchorId="38338B47" wp14:editId="2C72EB53">
                      <wp:extent cx="2913163" cy="461665"/>
                      <wp:effectExtent l="0" t="0" r="1905" b="8255"/>
                      <wp:docPr id="294" name="TextBox 11"/>
                      <wp:cNvGraphicFramePr/>
                      <a:graphic xmlns:a="http://schemas.openxmlformats.org/drawingml/2006/main">
                        <a:graphicData uri="http://schemas.microsoft.com/office/word/2010/wordprocessingShape">
                          <wps:wsp>
                            <wps:cNvSpPr txBox="1"/>
                            <wps:spPr>
                              <a:xfrm>
                                <a:off x="0" y="0"/>
                                <a:ext cx="2913163" cy="461665"/>
                              </a:xfrm>
                              <a:prstGeom prst="rect">
                                <a:avLst/>
                              </a:prstGeom>
                              <a:solidFill>
                                <a:schemeClr val="accent1">
                                  <a:lumMod val="75000"/>
                                </a:schemeClr>
                              </a:solidFill>
                            </wps:spPr>
                            <wps:txbx>
                              <w:txbxContent>
                                <w:p w14:paraId="52872B52"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BD13CC">
                                    <w:rPr>
                                      <w:rFonts w:ascii="Candara" w:eastAsia="Verdana" w:hAnsi="Candara" w:cs="Verdana"/>
                                      <w:b/>
                                      <w:bCs/>
                                      <w:color w:val="FFFFFF" w:themeColor="background1"/>
                                      <w:kern w:val="24"/>
                                      <w:sz w:val="14"/>
                                      <w:shd w:val="clear" w:color="auto" w:fill="374C80" w:themeFill="accent1" w:themeFillShade="BF"/>
                                    </w:rPr>
                                    <w:t xml:space="preserve">Nepieciešamas </w:t>
                                  </w:r>
                                  <w:r>
                                    <w:rPr>
                                      <w:rFonts w:ascii="Candara" w:eastAsia="Verdana" w:hAnsi="Candara" w:cs="Verdana"/>
                                      <w:b/>
                                      <w:bCs/>
                                      <w:color w:val="FFFFFF" w:themeColor="background1"/>
                                      <w:kern w:val="24"/>
                                      <w:sz w:val="14"/>
                                      <w:shd w:val="clear" w:color="auto" w:fill="374C80" w:themeFill="accent1" w:themeFillShade="BF"/>
                                    </w:rPr>
                                    <w:t>rast kompleksus risinājumus Latvijas inovāciju sistēmas vājo vietu novēršanai</w:t>
                                  </w:r>
                                </w:p>
                              </w:txbxContent>
                            </wps:txbx>
                            <wps:bodyPr wrap="square" rtlCol="0">
                              <a:spAutoFit/>
                            </wps:bodyPr>
                          </wps:wsp>
                        </a:graphicData>
                      </a:graphic>
                    </wp:inline>
                  </w:drawing>
                </mc:Choice>
                <mc:Fallback>
                  <w:pict>
                    <v:shape w14:anchorId="38338B47" id="_x0000_s1035" type="#_x0000_t202" style="width:229.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" fillcolor="#374c80 [2404]" stroked="f">
                      <v:textbox style="mso-fit-shape-to-text:t">
                        <w:txbxContent>
                          <w:p w14:paraId="52872B52"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BD13CC">
                              <w:rPr>
                                <w:rFonts w:ascii="Candara" w:eastAsia="Verdana" w:hAnsi="Candara" w:cs="Verdana"/>
                                <w:b/>
                                <w:bCs/>
                                <w:color w:val="FFFFFF" w:themeColor="background1"/>
                                <w:kern w:val="24"/>
                                <w:sz w:val="14"/>
                                <w:shd w:val="clear" w:color="auto" w:fill="374C80" w:themeFill="accent1" w:themeFillShade="BF"/>
                              </w:rPr>
                              <w:t xml:space="preserve">Nepieciešamas </w:t>
                            </w:r>
                            <w:r>
                              <w:rPr>
                                <w:rFonts w:ascii="Candara" w:eastAsia="Verdana" w:hAnsi="Candara" w:cs="Verdana"/>
                                <w:b/>
                                <w:bCs/>
                                <w:color w:val="FFFFFF" w:themeColor="background1"/>
                                <w:kern w:val="24"/>
                                <w:sz w:val="14"/>
                                <w:shd w:val="clear" w:color="auto" w:fill="374C80" w:themeFill="accent1" w:themeFillShade="BF"/>
                              </w:rPr>
                              <w:t>rast kompleksus risinājumus Latvijas inovāciju sistēmas vājo vietu novēršanai</w:t>
                            </w:r>
                          </w:p>
                        </w:txbxContent>
                      </v:textbox>
                      <w10:anchorlock/>
                    </v:shape>
                  </w:pict>
                </mc:Fallback>
              </mc:AlternateContent>
            </w:r>
          </w:p>
          <w:p w14:paraId="10217E8C" w14:textId="77777777" w:rsidR="00D87E57" w:rsidRPr="004005DA" w:rsidRDefault="00D87E57" w:rsidP="0047559B">
            <w:pPr>
              <w:pStyle w:val="NormalWeb"/>
              <w:kinsoku w:val="0"/>
              <w:overflowPunct w:val="0"/>
              <w:spacing w:before="0" w:beforeAutospacing="0" w:after="0" w:afterAutospacing="0"/>
              <w:ind w:left="-113"/>
              <w:jc w:val="center"/>
              <w:textAlignment w:val="baseline"/>
              <w:rPr>
                <w:rFonts w:asciiTheme="majorHAnsi" w:hAnsiTheme="majorHAnsi"/>
                <w:noProof/>
                <w:color w:val="374C80" w:themeColor="accent1" w:themeShade="BF"/>
                <w:sz w:val="12"/>
              </w:rPr>
            </w:pPr>
          </w:p>
        </w:tc>
      </w:tr>
      <w:tr w:rsidR="00D87E57" w:rsidRPr="004005DA" w14:paraId="44F30C98" w14:textId="77777777" w:rsidTr="0047559B">
        <w:trPr>
          <w:trHeight w:val="57"/>
          <w:jc w:val="center"/>
        </w:trPr>
        <w:tc>
          <w:tcPr>
            <w:tcW w:w="2601" w:type="pct"/>
            <w:shd w:val="clear" w:color="auto" w:fill="auto"/>
          </w:tcPr>
          <w:p w14:paraId="5B0069FC"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eastAsia="Verdana" w:hAnsiTheme="majorHAnsi" w:cs="Verdana"/>
                <w:b/>
                <w:bCs/>
                <w:caps/>
                <w:color w:val="374C80" w:themeColor="accent1" w:themeShade="BF"/>
                <w:kern w:val="24"/>
                <w:sz w:val="16"/>
                <w:szCs w:val="52"/>
              </w:rPr>
              <w:t>BIznesa stratēģijas nav vērstas un inovāciju attīstību</w:t>
            </w:r>
          </w:p>
          <w:p w14:paraId="39EEC8D5" w14:textId="77777777" w:rsidR="00D87E57" w:rsidRPr="004005DA" w:rsidRDefault="00D87E57" w:rsidP="0047559B">
            <w:pPr>
              <w:kinsoku w:val="0"/>
              <w:overflowPunct w:val="0"/>
              <w:jc w:val="center"/>
              <w:textAlignment w:val="baseline"/>
              <w:rPr>
                <w:rFonts w:asciiTheme="majorHAnsi" w:eastAsia="Verdana" w:hAnsiTheme="majorHAnsi" w:cs="Verdana"/>
                <w:b/>
                <w:color w:val="374C80" w:themeColor="accent1" w:themeShade="BF"/>
                <w:kern w:val="24"/>
                <w:sz w:val="2"/>
                <w:szCs w:val="16"/>
              </w:rPr>
            </w:pPr>
          </w:p>
          <w:p w14:paraId="189B5684" w14:textId="77777777" w:rsidR="00D87E57" w:rsidRPr="004005DA" w:rsidRDefault="00D87E57" w:rsidP="0047559B">
            <w:pPr>
              <w:kinsoku w:val="0"/>
              <w:overflowPunct w:val="0"/>
              <w:jc w:val="center"/>
              <w:textAlignment w:val="baseline"/>
              <w:rPr>
                <w:rFonts w:asciiTheme="majorHAnsi" w:hAnsiTheme="majorHAnsi"/>
                <w:b/>
                <w:color w:val="374C80" w:themeColor="accent1" w:themeShade="BF"/>
                <w:sz w:val="14"/>
                <w:szCs w:val="16"/>
              </w:rPr>
            </w:pPr>
            <w:r w:rsidRPr="004005DA">
              <w:rPr>
                <w:rFonts w:asciiTheme="majorHAnsi" w:eastAsia="Verdana" w:hAnsiTheme="majorHAnsi" w:cs="Verdana"/>
                <w:b/>
                <w:color w:val="374C80" w:themeColor="accent1" w:themeShade="BF"/>
                <w:kern w:val="24"/>
                <w:sz w:val="14"/>
                <w:szCs w:val="16"/>
              </w:rPr>
              <w:t>Nepieciešama biznesa stratēģijas maiņa:</w:t>
            </w:r>
          </w:p>
          <w:p w14:paraId="1A52D634"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2"/>
              </w:rPr>
            </w:pPr>
          </w:p>
          <w:p w14:paraId="76F050F8"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6"/>
              </w:rPr>
            </w:pPr>
            <w:r w:rsidRPr="004005DA">
              <w:rPr>
                <w:rFonts w:asciiTheme="majorHAnsi" w:hAnsiTheme="majorHAnsi" w:cs="Arial"/>
                <w:b/>
                <w:bCs/>
                <w:noProof/>
                <w:color w:val="374C80" w:themeColor="accent1" w:themeShade="BF"/>
                <w:kern w:val="24"/>
                <w:sz w:val="6"/>
              </w:rPr>
              <mc:AlternateContent>
                <mc:Choice Requires="wpg">
                  <w:drawing>
                    <wp:inline distT="0" distB="0" distL="0" distR="0" wp14:anchorId="4FBAA266" wp14:editId="45F4F553">
                      <wp:extent cx="2896235" cy="367665"/>
                      <wp:effectExtent l="0" t="0" r="18415" b="13335"/>
                      <wp:docPr id="295" name="Group 6"/>
                      <wp:cNvGraphicFramePr/>
                      <a:graphic xmlns:a="http://schemas.openxmlformats.org/drawingml/2006/main">
                        <a:graphicData uri="http://schemas.microsoft.com/office/word/2010/wordprocessingGroup">
                          <wpg:wgp>
                            <wpg:cNvGrpSpPr/>
                            <wpg:grpSpPr>
                              <a:xfrm>
                                <a:off x="0" y="0"/>
                                <a:ext cx="2896235" cy="367665"/>
                                <a:chOff x="0" y="0"/>
                                <a:chExt cx="2305797" cy="544096"/>
                              </a:xfrm>
                            </wpg:grpSpPr>
                            <wpg:grpSp>
                              <wpg:cNvPr id="296" name="Group 296"/>
                              <wpg:cNvGrpSpPr/>
                              <wpg:grpSpPr>
                                <a:xfrm>
                                  <a:off x="0" y="0"/>
                                  <a:ext cx="2305797" cy="544096"/>
                                  <a:chOff x="0" y="0"/>
                                  <a:chExt cx="2305797" cy="544096"/>
                                </a:xfrm>
                              </wpg:grpSpPr>
                              <wps:wsp>
                                <wps:cNvPr id="297" name="TextBox 1"/>
                                <wps:cNvSpPr txBox="1">
                                  <a:spLocks noChangeArrowheads="1"/>
                                </wps:cNvSpPr>
                                <wps:spPr bwMode="auto">
                                  <a:xfrm>
                                    <a:off x="0" y="193875"/>
                                    <a:ext cx="1492250" cy="310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CA33"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(A) PEĻŅA    </w:t>
                                      </w:r>
                                    </w:p>
                                  </w:txbxContent>
                                </wps:txbx>
                                <wps:bodyPr wrap="square">
                                  <a:noAutofit/>
                                </wps:bodyPr>
                              </wps:wsp>
                              <wps:wsp>
                                <wps:cNvPr id="298" name="TextBox 17"/>
                                <wps:cNvSpPr txBox="1">
                                  <a:spLocks noChangeArrowheads="1"/>
                                </wps:cNvSpPr>
                                <wps:spPr bwMode="auto">
                                  <a:xfrm>
                                    <a:off x="1133094" y="33202"/>
                                    <a:ext cx="750872" cy="470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BF19"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p w14:paraId="0F02013F"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txbxContent>
                                </wps:txbx>
                                <wps:bodyPr wrap="square">
                                  <a:noAutofit/>
                                </wps:bodyPr>
                              </wps:wsp>
                              <pic:pic xmlns:pic="http://schemas.openxmlformats.org/drawingml/2006/picture">
                                <pic:nvPicPr>
                                  <pic:cNvPr id="299" name="Picture 299" descr="Att&amp;emacr;lu rezult&amp;amacr;ti vaic&amp;amacr;jumam “arrow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915062" y="320181"/>
                                    <a:ext cx="114644" cy="17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Rectangle 300"/>
                                <wps:cNvSpPr/>
                                <wps:spPr>
                                  <a:xfrm>
                                    <a:off x="0" y="0"/>
                                    <a:ext cx="2305797" cy="5440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1" name="Picture 301" descr="Att&amp;emacr;lu rezult&amp;amacr;ti vaic&amp;amacr;jumam “arrow 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1876577" y="114604"/>
                                    <a:ext cx="209422" cy="114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02" name="Picture 30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884647" y="250371"/>
                                  <a:ext cx="248589" cy="14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08" descr="Att&amp;emacr;lu rezult&amp;amacr;ti vaic&amp;amacr;jumam “green arrow 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903633" y="159672"/>
                                  <a:ext cx="229612" cy="8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BAA266" id="Group 6" o:spid="_x0000_s1036" style="width:228.05pt;height:28.95pt;mso-position-horizontal-relative:char;mso-position-vertical-relative:line" coordsize="23057,5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">
                      <v:group id="Group 296" o:spid="_x0000_s1037" style="position:absolute;width:23057;height:5440" coordsize="23057,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TextBox 1" o:spid="_x0000_s1038" type="#_x0000_t202" style="position:absolute;top:1938;width:14922;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2695CA33"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(A) PEĻŅA    </w:t>
                                </w:r>
                              </w:p>
                            </w:txbxContent>
                          </v:textbox>
                        </v:shape>
                        <v:shape id="TextBox 17" o:spid="_x0000_s1039" type="#_x0000_t202" style="position:absolute;left:11330;top:332;width:7509;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5B7ABF19"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p w14:paraId="0F02013F"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40" type="#_x0000_t75" alt="Att&amp;emacr;lu rezult&amp;amacr;ti vaic&amp;amacr;jumam “arrow png”" style="position:absolute;left:19150;top:3201;width:1147;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DanFAAAA3AAAAA8AAABkcnMvZG93bnJldi54bWxEj09rwkAUxO+C32F5gjfdGEFq6ioiCL3U&#10;4p+Dx9fsaxKafRuzT5N++25B6HGYmd8wq03vavWgNlSeDcymCSji3NuKCwOX837yAioIssXaMxn4&#10;oQCb9XCwwsz6jo/0OEmhIoRDhgZKkSbTOuQlOQxT3xBH78u3DiXKttC2xS7CXa3TJFlohxXHhRIb&#10;2pWUf5/uzoDU/X2+TT+u750cdvbz1s0Oi8KY8ajfvoIS6uU//Gy/WQPpcgl/Z+IR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6w2pxQAAANwAAAAPAAAAAAAAAAAAAAAA&#10;AJ8CAABkcnMvZG93bnJldi54bWxQSwUGAAAAAAQABAD3AAAAkQMAAAAA&#10;">
                          <v:imagedata r:id="rId69" o:title="Att&amp;emacr;lu rezult&amp;amacr;ti vaic&amp;amacr;jumam “arrow png”"/>
                        </v:shape>
                        <v:rect id="Rectangle 300" o:spid="_x0000_s1041" style="position:absolute;width:23057;height:5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24sIA&#10;AADcAAAADwAAAGRycy9kb3ducmV2LnhtbERPXWvCMBR9H/gfwhX2NlMnjFGNooIwcBNqVfDtklzb&#10;anNTmkw7f/3yIPh4ON+TWWdrcaXWV44VDAcJCGLtTMWFgl2+evsE4QOywdoxKfgjD7Np72WCqXE3&#10;zui6DYWIIexTVFCG0KRSel2SRT9wDXHkTq61GCJsC2lavMVwW8v3JPmQFiuODSU2tCxJX7a/VgHt&#10;D+fsflzrzbeeu4yXIV/kP0q99rv5GESgLjzFD/eXUTBK4vx4Jh4B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3biwgAAANwAAAAPAAAAAAAAAAAAAAAAAJgCAABkcnMvZG93&#10;bnJldi54bWxQSwUGAAAAAAQABAD1AAAAhwMAAAAA&#10;" filled="f" strokecolor="#243255 [1604]" strokeweight="2pt"/>
                        <v:shape id="Picture 301" o:spid="_x0000_s1042" type="#_x0000_t75" alt="Att&amp;emacr;lu rezult&amp;amacr;ti vaic&amp;amacr;jumam “arrow png”" style="position:absolute;left:18766;top:1145;width:2094;height:114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oMbDAAAA3AAAAA8AAABkcnMvZG93bnJldi54bWxEj92KwjAUhO+FfYdwFrzT1B8W6RplERQF&#10;WdhWvD40x7a0OalNqvXtzYLg5TAz3zDLdW9qcaPWlZYVTMYRCOLM6pJzBad0O1qAcB5ZY22ZFDzI&#10;wXr1MVhirO2d/+iW+FwECLsYFRTeN7GULivIoBvbhjh4F9sa9EG2udQt3gPc1HIaRV/SYMlhocCG&#10;NgVlVdIZBb/p9uwOc2y6vKyq6+5Il+TUKTX87H++QXjq/Tv8au+1glk0gf8z4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CgxsMAAADcAAAADwAAAAAAAAAAAAAAAACf&#10;AgAAZHJzL2Rvd25yZXYueG1sUEsFBgAAAAAEAAQA9wAAAI8DAAAAAA==&#10;">
                          <v:imagedata r:id="rId70" o:title="Att&amp;emacr;lu rezult&amp;amacr;ti vaic&amp;amacr;jumam “arrow png”"/>
                        </v:shape>
                      </v:group>
                      <v:shape id="Picture 302" o:spid="_x0000_s1043" type="#_x0000_t75" style="position:absolute;left:8846;top:2503;width:2486;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NRHFAAAA3AAAAA8AAABkcnMvZG93bnJldi54bWxEj0FrAjEUhO+C/yG8Qm+adBWRrVGkpdIe&#10;Wtq1lB6fm+dm7eZl2aS6/feNIHgcZuYbZrHqXSOO1IXas4a7sQJBXHpTc6Xhc/s0moMIEdlg45k0&#10;/FGA1XI4WGBu/Ik/6FjESiQIhxw12BjbXMpQWnIYxr4lTt7edw5jkl0lTYenBHeNzJSaSYc1pwWL&#10;LT1YKn+KX6fBv78yxce3aba3Xwfa7PzLVH1rfXvTr+9BROrjNXxpPxsNE5XB+Uw6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szURxQAAANwAAAAPAAAAAAAAAAAAAAAA&#10;AJ8CAABkcnMvZG93bnJldi54bWxQSwUGAAAAAAQABAD3AAAAkQMAAAAA&#10;">
                        <v:imagedata r:id="rId71" o:title=""/>
                        <v:path arrowok="t"/>
                      </v:shape>
                      <v:shape id="Picture 308" o:spid="_x0000_s1044" type="#_x0000_t75" alt="Att&amp;emacr;lu rezult&amp;amacr;ti vaic&amp;amacr;jumam “green arrow png”" style="position:absolute;left:9036;top:1596;width:2296;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4zbBAAAA3AAAAA8AAABkcnMvZG93bnJldi54bWxETz1rwzAQ3Qv5D+IKWUojt4UQ3CimBAot&#10;dGhsDx4P62yZWCdjqY7y76shkPHxvvdFtKNYaPaDYwUvmwwEcev0wL2Cuvp83oHwAVnj6JgUXMlD&#10;cVg97DHX7sInWsrQixTCPkcFJoQpl9K3hiz6jZuIE9e52WJIcO6lnvGSwu0oX7NsKy0OnBoMTnQ0&#10;1J7LP6uAnpoYzU9T1b/f3shz7Pqm7JRaP8aPdxCBYriLb+4vreAtS2vTmXQE5OE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w4zbBAAAA3AAAAA8AAAAAAAAAAAAAAAAAnwIA&#10;AGRycy9kb3ducmV2LnhtbFBLBQYAAAAABAAEAPcAAACNAwAAAAA=&#10;">
                        <v:imagedata r:id="rId72" o:title="Att&amp;emacr;lu rezult&amp;amacr;ti vaic&amp;amacr;jumam “green arrow png”"/>
                      </v:shape>
                      <w10:anchorlock/>
                    </v:group>
                  </w:pict>
                </mc:Fallback>
              </mc:AlternateContent>
            </w:r>
          </w:p>
          <w:p w14:paraId="7C5F3041"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6"/>
              </w:rPr>
            </w:pPr>
          </w:p>
          <w:p w14:paraId="6ACB18AF"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6"/>
              </w:rPr>
            </w:pPr>
            <w:r w:rsidRPr="004005DA">
              <w:rPr>
                <w:rFonts w:asciiTheme="majorHAnsi" w:hAnsiTheme="majorHAnsi"/>
                <w:noProof/>
                <w:color w:val="374C80" w:themeColor="accent1" w:themeShade="BF"/>
                <w:sz w:val="14"/>
              </w:rPr>
              <w:drawing>
                <wp:anchor distT="0" distB="0" distL="114300" distR="114300" simplePos="0" relativeHeight="251665920" behindDoc="0" locked="0" layoutInCell="1" allowOverlap="1" wp14:anchorId="61745BEC" wp14:editId="47F766B8">
                  <wp:simplePos x="0" y="0"/>
                  <wp:positionH relativeFrom="column">
                    <wp:posOffset>2620645</wp:posOffset>
                  </wp:positionH>
                  <wp:positionV relativeFrom="paragraph">
                    <wp:posOffset>24765</wp:posOffset>
                  </wp:positionV>
                  <wp:extent cx="143510" cy="143510"/>
                  <wp:effectExtent l="0" t="0" r="8890" b="8890"/>
                  <wp:wrapNone/>
                  <wp:docPr id="352" name="Picture 26" descr="Att&amp;emacr;lu rezult&amp;amacr;ti vaic&amp;amacr;jumam “arrow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 name="Picture 26" descr="Att&amp;emacr;lu rezult&amp;amacr;ti vaic&amp;amacr;jumam “arrow 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005DA">
              <w:rPr>
                <w:rFonts w:asciiTheme="majorHAnsi" w:hAnsiTheme="majorHAnsi"/>
                <w:noProof/>
                <w:color w:val="374C80" w:themeColor="accent1" w:themeShade="BF"/>
                <w:sz w:val="14"/>
              </w:rPr>
              <w:drawing>
                <wp:anchor distT="0" distB="0" distL="114300" distR="114300" simplePos="0" relativeHeight="251666944" behindDoc="0" locked="0" layoutInCell="1" allowOverlap="1" wp14:anchorId="792C6F97" wp14:editId="38C1F063">
                  <wp:simplePos x="0" y="0"/>
                  <wp:positionH relativeFrom="column">
                    <wp:posOffset>2627366</wp:posOffset>
                  </wp:positionH>
                  <wp:positionV relativeFrom="paragraph">
                    <wp:posOffset>205105</wp:posOffset>
                  </wp:positionV>
                  <wp:extent cx="143510" cy="143510"/>
                  <wp:effectExtent l="0" t="0" r="8890" b="8890"/>
                  <wp:wrapNone/>
                  <wp:docPr id="342" name="Picture 26" descr="Att&amp;emacr;lu rezult&amp;amacr;ti vaic&amp;amacr;jumam “arrow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 name="Picture 26" descr="Att&amp;emacr;lu rezult&amp;amacr;ti vaic&amp;amacr;jumam “arrow 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005DA">
              <w:rPr>
                <w:rFonts w:asciiTheme="majorHAnsi" w:hAnsiTheme="majorHAnsi"/>
                <w:noProof/>
                <w:color w:val="374C80" w:themeColor="accent1" w:themeShade="BF"/>
                <w:sz w:val="14"/>
              </w:rPr>
              <w:drawing>
                <wp:anchor distT="0" distB="0" distL="114300" distR="114300" simplePos="0" relativeHeight="251667968" behindDoc="0" locked="0" layoutInCell="1" allowOverlap="1" wp14:anchorId="032FDB76" wp14:editId="5E02FB02">
                  <wp:simplePos x="0" y="0"/>
                  <wp:positionH relativeFrom="column">
                    <wp:posOffset>1134527</wp:posOffset>
                  </wp:positionH>
                  <wp:positionV relativeFrom="paragraph">
                    <wp:posOffset>86604</wp:posOffset>
                  </wp:positionV>
                  <wp:extent cx="301450" cy="220980"/>
                  <wp:effectExtent l="0" t="0" r="3810" b="7620"/>
                  <wp:wrapNone/>
                  <wp:docPr id="353" name="Picture 28" descr="Att&amp;emacr;lu rezult&amp;amacr;ti vaic&amp;amacr;jumam “PROFI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 name="Picture 28" descr="Att&amp;emacr;lu rezult&amp;amacr;ti vaic&amp;amacr;jumam “PROFIT 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450" cy="2209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005DA">
              <w:rPr>
                <w:rFonts w:asciiTheme="majorHAnsi" w:hAnsiTheme="majorHAnsi" w:cs="Arial"/>
                <w:b/>
                <w:bCs/>
                <w:noProof/>
                <w:color w:val="374C80" w:themeColor="accent1" w:themeShade="BF"/>
                <w:kern w:val="24"/>
                <w:sz w:val="6"/>
              </w:rPr>
              <mc:AlternateContent>
                <mc:Choice Requires="wpg">
                  <w:drawing>
                    <wp:inline distT="0" distB="0" distL="0" distR="0" wp14:anchorId="33645DF6" wp14:editId="2C7575DE">
                      <wp:extent cx="2896235" cy="388885"/>
                      <wp:effectExtent l="0" t="0" r="18415" b="11430"/>
                      <wp:docPr id="310" name="Group 310"/>
                      <wp:cNvGraphicFramePr/>
                      <a:graphic xmlns:a="http://schemas.openxmlformats.org/drawingml/2006/main">
                        <a:graphicData uri="http://schemas.microsoft.com/office/word/2010/wordprocessingGroup">
                          <wpg:wgp>
                            <wpg:cNvGrpSpPr/>
                            <wpg:grpSpPr>
                              <a:xfrm>
                                <a:off x="0" y="0"/>
                                <a:ext cx="2896235" cy="388885"/>
                                <a:chOff x="0" y="0"/>
                                <a:chExt cx="2305797" cy="544096"/>
                              </a:xfrm>
                            </wpg:grpSpPr>
                            <wps:wsp>
                              <wps:cNvPr id="311" name="TextBox 1"/>
                              <wps:cNvSpPr txBox="1">
                                <a:spLocks noChangeArrowheads="1"/>
                              </wps:cNvSpPr>
                              <wps:spPr bwMode="auto">
                                <a:xfrm>
                                  <a:off x="1" y="193676"/>
                                  <a:ext cx="1041328" cy="310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7539"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(B) PEĻŅA    </w:t>
                                    </w:r>
                                  </w:p>
                                </w:txbxContent>
                              </wps:txbx>
                              <wps:bodyPr wrap="square">
                                <a:noAutofit/>
                              </wps:bodyPr>
                            </wps:wsp>
                            <wps:wsp>
                              <wps:cNvPr id="312" name="TextBox 17"/>
                              <wps:cNvSpPr txBox="1">
                                <a:spLocks noChangeArrowheads="1"/>
                              </wps:cNvSpPr>
                              <wps:spPr bwMode="auto">
                                <a:xfrm>
                                  <a:off x="1133094" y="33202"/>
                                  <a:ext cx="1009469" cy="470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F369"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p w14:paraId="4BB5C59B"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txbxContent>
                              </wps:txbx>
                              <wps:bodyPr wrap="square">
                                <a:noAutofit/>
                              </wps:bodyPr>
                            </wps:wsp>
                            <wps:wsp>
                              <wps:cNvPr id="313" name="Rectangle 313"/>
                              <wps:cNvSpPr/>
                              <wps:spPr>
                                <a:xfrm>
                                  <a:off x="0" y="0"/>
                                  <a:ext cx="2305797" cy="5440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3645DF6" id="Group 310" o:spid="_x0000_s1045" style="width:228.05pt;height:30.6pt;mso-position-horizontal-relative:char;mso-position-vertical-relative:line" coordsize="23057,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">
                      <v:shape id="TextBox 1" o:spid="_x0000_s1046" type="#_x0000_t202" style="position:absolute;top:1936;width:10413;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5AF67539"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(B) PEĻŅA    </w:t>
                              </w:r>
                            </w:p>
                          </w:txbxContent>
                        </v:textbox>
                      </v:shape>
                      <v:shape id="TextBox 17" o:spid="_x0000_s1047" type="#_x0000_t202" style="position:absolute;left:11330;top:332;width:10095;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3BFBF369"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p w14:paraId="4BB5C59B" w14:textId="77777777" w:rsidR="0047559B" w:rsidRPr="00924993" w:rsidRDefault="0047559B" w:rsidP="00D87E5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txbxContent>
                        </v:textbox>
                      </v:shape>
                      <v:rect id="Rectangle 313" o:spid="_x0000_s1048" style="position:absolute;width:23057;height:5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MYA&#10;AADcAAAADwAAAGRycy9kb3ducmV2LnhtbESPQWvCQBSE7wX/w/KE3pqNFaREV1FBKLQWYlTw9th9&#10;JtHs25Ddatpf3y0Uehxm5htmtuhtI27U+dqxglGSgiDWztRcKtgXm6cXED4gG2wck4Iv8rCYDx5m&#10;mBl355xuu1CKCGGfoYIqhDaT0uuKLPrEtcTRO7vOYoiyK6Xp8B7htpHPaTqRFmuOCxW2tK5IX3ef&#10;VgEdjpf8+/SmP9710uW8DsWq2Cr1OOyXUxCB+vAf/mu/GgXj0R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SMYAAADcAAAADwAAAAAAAAAAAAAAAACYAgAAZHJz&#10;L2Rvd25yZXYueG1sUEsFBgAAAAAEAAQA9QAAAIsDAAAAAA==&#10;" filled="f" strokecolor="#243255 [1604]" strokeweight="2pt"/>
                      <w10:anchorlock/>
                    </v:group>
                  </w:pict>
                </mc:Fallback>
              </mc:AlternateContent>
            </w:r>
          </w:p>
          <w:p w14:paraId="0C7EE125" w14:textId="77777777" w:rsidR="00D87E57" w:rsidRPr="004005DA" w:rsidRDefault="00D87E57" w:rsidP="0047559B">
            <w:pPr>
              <w:pStyle w:val="ListParagraph"/>
              <w:kinsoku w:val="0"/>
              <w:overflowPunct w:val="0"/>
              <w:ind w:left="313"/>
              <w:jc w:val="center"/>
              <w:textAlignment w:val="baseline"/>
              <w:rPr>
                <w:rFonts w:asciiTheme="majorHAnsi" w:hAnsiTheme="majorHAnsi"/>
                <w:b/>
                <w:color w:val="374C80" w:themeColor="accent1" w:themeShade="BF"/>
                <w:sz w:val="2"/>
                <w:szCs w:val="16"/>
              </w:rPr>
            </w:pPr>
          </w:p>
          <w:p w14:paraId="7A900DBF" w14:textId="77777777" w:rsidR="00D87E57" w:rsidRPr="004005DA" w:rsidRDefault="00D87E57" w:rsidP="0047559B">
            <w:pPr>
              <w:kinsoku w:val="0"/>
              <w:overflowPunct w:val="0"/>
              <w:jc w:val="center"/>
              <w:textAlignment w:val="baseline"/>
              <w:rPr>
                <w:rFonts w:asciiTheme="majorHAnsi" w:hAnsiTheme="majorHAnsi"/>
                <w:noProof/>
                <w:color w:val="374C80" w:themeColor="accent1" w:themeShade="BF"/>
                <w:sz w:val="12"/>
                <w:lang w:eastAsia="lv-LV"/>
              </w:rPr>
            </w:pPr>
            <w:r w:rsidRPr="004005DA">
              <w:rPr>
                <w:rFonts w:asciiTheme="majorHAnsi" w:eastAsia="Verdana" w:hAnsiTheme="majorHAnsi" w:cs="Verdana"/>
                <w:b/>
                <w:color w:val="374C80" w:themeColor="accent1" w:themeShade="BF"/>
                <w:kern w:val="24"/>
                <w:sz w:val="12"/>
                <w:szCs w:val="16"/>
              </w:rPr>
              <w:t xml:space="preserve">Augstā rentabilitāte – kā šķērslis biznesa modeļa maiņai. </w:t>
            </w:r>
            <w:r w:rsidRPr="004005DA">
              <w:rPr>
                <w:rFonts w:asciiTheme="majorHAnsi" w:hAnsiTheme="majorHAnsi"/>
                <w:noProof/>
                <w:color w:val="374C80" w:themeColor="accent1" w:themeShade="BF"/>
                <w:sz w:val="12"/>
                <w:lang w:eastAsia="lv-LV"/>
              </w:rPr>
              <w:t>Pārtikas rūpniecības piemērs</w:t>
            </w:r>
          </w:p>
          <w:p w14:paraId="036C5944" w14:textId="77777777" w:rsidR="00D87E57" w:rsidRPr="004005DA" w:rsidRDefault="00D87E57" w:rsidP="0047559B">
            <w:pPr>
              <w:ind w:left="318" w:hanging="318"/>
              <w:jc w:val="center"/>
              <w:rPr>
                <w:rFonts w:asciiTheme="majorHAnsi" w:hAnsiTheme="majorHAnsi"/>
                <w:noProof/>
                <w:color w:val="374C80" w:themeColor="accent1" w:themeShade="BF"/>
                <w:sz w:val="12"/>
                <w:lang w:eastAsia="lv-LV"/>
              </w:rPr>
            </w:pPr>
            <w:r w:rsidRPr="004005DA">
              <w:rPr>
                <w:rFonts w:asciiTheme="majorHAnsi" w:hAnsiTheme="majorHAnsi"/>
                <w:noProof/>
                <w:color w:val="374C80" w:themeColor="accent1" w:themeShade="BF"/>
                <w:sz w:val="12"/>
                <w:lang w:val="lv-LV" w:eastAsia="lv-LV"/>
              </w:rPr>
              <w:lastRenderedPageBreak/>
              <w:drawing>
                <wp:inline distT="0" distB="0" distL="0" distR="0" wp14:anchorId="313794C6" wp14:editId="3C534293">
                  <wp:extent cx="2969260" cy="993683"/>
                  <wp:effectExtent l="0" t="0" r="2540" b="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A9495C" w14:textId="77777777" w:rsidR="00D87E57" w:rsidRPr="004005DA" w:rsidRDefault="00D87E57" w:rsidP="0047559B">
            <w:pPr>
              <w:ind w:left="318" w:hanging="318"/>
              <w:jc w:val="center"/>
              <w:rPr>
                <w:rFonts w:asciiTheme="majorHAnsi" w:hAnsiTheme="majorHAnsi"/>
                <w:noProof/>
                <w:color w:val="374C80" w:themeColor="accent1" w:themeShade="BF"/>
                <w:sz w:val="12"/>
                <w:lang w:eastAsia="lv-LV"/>
              </w:rPr>
            </w:pPr>
            <w:r w:rsidRPr="004005DA">
              <w:rPr>
                <w:rFonts w:asciiTheme="majorHAnsi" w:hAnsiTheme="majorHAnsi"/>
                <w:noProof/>
                <w:color w:val="374C80" w:themeColor="accent1" w:themeShade="BF"/>
                <w:sz w:val="6"/>
                <w:lang w:val="lv-LV" w:eastAsia="lv-LV"/>
              </w:rPr>
              <mc:AlternateContent>
                <mc:Choice Requires="wps">
                  <w:drawing>
                    <wp:inline distT="0" distB="0" distL="0" distR="0" wp14:anchorId="612DE8A7" wp14:editId="3943340C">
                      <wp:extent cx="2913163" cy="461665"/>
                      <wp:effectExtent l="0" t="0" r="1905" b="8255"/>
                      <wp:docPr id="314" name="TextBox 11"/>
                      <wp:cNvGraphicFramePr/>
                      <a:graphic xmlns:a="http://schemas.openxmlformats.org/drawingml/2006/main">
                        <a:graphicData uri="http://schemas.microsoft.com/office/word/2010/wordprocessingShape">
                          <wps:wsp>
                            <wps:cNvSpPr txBox="1"/>
                            <wps:spPr>
                              <a:xfrm>
                                <a:off x="0" y="0"/>
                                <a:ext cx="2913163" cy="461665"/>
                              </a:xfrm>
                              <a:prstGeom prst="rect">
                                <a:avLst/>
                              </a:prstGeom>
                              <a:solidFill>
                                <a:schemeClr val="accent1">
                                  <a:lumMod val="75000"/>
                                </a:schemeClr>
                              </a:solidFill>
                            </wps:spPr>
                            <wps:txbx>
                              <w:txbxContent>
                                <w:p w14:paraId="176AA992"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88582E">
                                    <w:rPr>
                                      <w:rFonts w:ascii="Candara" w:eastAsia="Verdana" w:hAnsi="Candara" w:cs="Verdana"/>
                                      <w:b/>
                                      <w:bCs/>
                                      <w:color w:val="FFFFFF" w:themeColor="background1"/>
                                      <w:kern w:val="24"/>
                                      <w:sz w:val="14"/>
                                      <w:shd w:val="clear" w:color="auto" w:fill="374C80" w:themeFill="accent1" w:themeFillShade="BF"/>
                                    </w:rPr>
                                    <w:t>Transformācijas procesa veicējs ir uzņēmējs – viņš pieņem lēmumu modernizēt ražošanu vai pārvietot resursus uz citu nozari/reģionu/</w:t>
                                  </w:r>
                                  <w:r>
                                    <w:rPr>
                                      <w:rFonts w:ascii="Candara" w:eastAsia="Verdana" w:hAnsi="Candara" w:cs="Verdana"/>
                                      <w:b/>
                                      <w:bCs/>
                                      <w:color w:val="FFFFFF" w:themeColor="background1"/>
                                      <w:kern w:val="24"/>
                                      <w:sz w:val="14"/>
                                      <w:shd w:val="clear" w:color="auto" w:fill="374C80" w:themeFill="accent1" w:themeFillShade="BF"/>
                                    </w:rPr>
                                    <w:t xml:space="preserve"> </w:t>
                                  </w:r>
                                  <w:r w:rsidRPr="0088582E">
                                    <w:rPr>
                                      <w:rFonts w:ascii="Candara" w:eastAsia="Verdana" w:hAnsi="Candara" w:cs="Verdana"/>
                                      <w:b/>
                                      <w:bCs/>
                                      <w:color w:val="FFFFFF" w:themeColor="background1"/>
                                      <w:kern w:val="24"/>
                                      <w:sz w:val="14"/>
                                      <w:shd w:val="clear" w:color="auto" w:fill="374C80" w:themeFill="accent1" w:themeFillShade="BF"/>
                                    </w:rPr>
                                    <w:t xml:space="preserve">valsti. </w:t>
                                  </w:r>
                                  <w:r>
                                    <w:rPr>
                                      <w:rFonts w:ascii="Candara" w:eastAsia="Verdana" w:hAnsi="Candara" w:cs="Verdana"/>
                                      <w:b/>
                                      <w:bCs/>
                                      <w:color w:val="FFFFFF" w:themeColor="background1"/>
                                      <w:kern w:val="24"/>
                                      <w:sz w:val="14"/>
                                      <w:shd w:val="clear" w:color="auto" w:fill="374C80" w:themeFill="accent1" w:themeFillShade="BF"/>
                                    </w:rPr>
                                    <w:t>U</w:t>
                                  </w:r>
                                  <w:r w:rsidRPr="0088582E">
                                    <w:rPr>
                                      <w:rFonts w:ascii="Candara" w:eastAsia="Verdana" w:hAnsi="Candara" w:cs="Verdana"/>
                                      <w:b/>
                                      <w:bCs/>
                                      <w:color w:val="FFFFFF" w:themeColor="background1"/>
                                      <w:kern w:val="24"/>
                                      <w:sz w:val="14"/>
                                      <w:shd w:val="clear" w:color="auto" w:fill="374C80" w:themeFill="accent1" w:themeFillShade="BF"/>
                                    </w:rPr>
                                    <w:t>zņēmēju motivācijas veicināšana ir galvenais politikas mērķis.</w:t>
                                  </w:r>
                                </w:p>
                              </w:txbxContent>
                            </wps:txbx>
                            <wps:bodyPr wrap="square" rtlCol="0">
                              <a:spAutoFit/>
                            </wps:bodyPr>
                          </wps:wsp>
                        </a:graphicData>
                      </a:graphic>
                    </wp:inline>
                  </w:drawing>
                </mc:Choice>
                <mc:Fallback>
                  <w:pict>
                    <v:shape w14:anchorId="612DE8A7" id="_x0000_s1049" type="#_x0000_t202" style="width:229.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" fillcolor="#374c80 [2404]" stroked="f">
                      <v:textbox style="mso-fit-shape-to-text:t">
                        <w:txbxContent>
                          <w:p w14:paraId="176AA992"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sidRPr="0088582E">
                              <w:rPr>
                                <w:rFonts w:ascii="Candara" w:eastAsia="Verdana" w:hAnsi="Candara" w:cs="Verdana"/>
                                <w:b/>
                                <w:bCs/>
                                <w:color w:val="FFFFFF" w:themeColor="background1"/>
                                <w:kern w:val="24"/>
                                <w:sz w:val="14"/>
                                <w:shd w:val="clear" w:color="auto" w:fill="374C80" w:themeFill="accent1" w:themeFillShade="BF"/>
                              </w:rPr>
                              <w:t>Transformācijas procesa veicējs ir uzņēmējs – viņš pieņem lēmumu modernizēt ražošanu vai pārvietot resursus uz citu nozari/reģionu/</w:t>
                            </w:r>
                            <w:r>
                              <w:rPr>
                                <w:rFonts w:ascii="Candara" w:eastAsia="Verdana" w:hAnsi="Candara" w:cs="Verdana"/>
                                <w:b/>
                                <w:bCs/>
                                <w:color w:val="FFFFFF" w:themeColor="background1"/>
                                <w:kern w:val="24"/>
                                <w:sz w:val="14"/>
                                <w:shd w:val="clear" w:color="auto" w:fill="374C80" w:themeFill="accent1" w:themeFillShade="BF"/>
                              </w:rPr>
                              <w:t xml:space="preserve"> </w:t>
                            </w:r>
                            <w:r w:rsidRPr="0088582E">
                              <w:rPr>
                                <w:rFonts w:ascii="Candara" w:eastAsia="Verdana" w:hAnsi="Candara" w:cs="Verdana"/>
                                <w:b/>
                                <w:bCs/>
                                <w:color w:val="FFFFFF" w:themeColor="background1"/>
                                <w:kern w:val="24"/>
                                <w:sz w:val="14"/>
                                <w:shd w:val="clear" w:color="auto" w:fill="374C80" w:themeFill="accent1" w:themeFillShade="BF"/>
                              </w:rPr>
                              <w:t xml:space="preserve">valsti. </w:t>
                            </w:r>
                            <w:r>
                              <w:rPr>
                                <w:rFonts w:ascii="Candara" w:eastAsia="Verdana" w:hAnsi="Candara" w:cs="Verdana"/>
                                <w:b/>
                                <w:bCs/>
                                <w:color w:val="FFFFFF" w:themeColor="background1"/>
                                <w:kern w:val="24"/>
                                <w:sz w:val="14"/>
                                <w:shd w:val="clear" w:color="auto" w:fill="374C80" w:themeFill="accent1" w:themeFillShade="BF"/>
                              </w:rPr>
                              <w:t>U</w:t>
                            </w:r>
                            <w:r w:rsidRPr="0088582E">
                              <w:rPr>
                                <w:rFonts w:ascii="Candara" w:eastAsia="Verdana" w:hAnsi="Candara" w:cs="Verdana"/>
                                <w:b/>
                                <w:bCs/>
                                <w:color w:val="FFFFFF" w:themeColor="background1"/>
                                <w:kern w:val="24"/>
                                <w:sz w:val="14"/>
                                <w:shd w:val="clear" w:color="auto" w:fill="374C80" w:themeFill="accent1" w:themeFillShade="BF"/>
                              </w:rPr>
                              <w:t>zņēmēju motivācijas veicināšana ir galvenais politikas mērķis.</w:t>
                            </w:r>
                          </w:p>
                        </w:txbxContent>
                      </v:textbox>
                      <w10:anchorlock/>
                    </v:shape>
                  </w:pict>
                </mc:Fallback>
              </mc:AlternateContent>
            </w:r>
          </w:p>
        </w:tc>
        <w:tc>
          <w:tcPr>
            <w:tcW w:w="2399" w:type="pct"/>
            <w:shd w:val="clear" w:color="auto" w:fill="auto"/>
          </w:tcPr>
          <w:p w14:paraId="6F704F72"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14:props3d w14:extrusionH="0" w14:contourW="0" w14:prstMaterial="matte"/>
              </w:rPr>
            </w:pPr>
            <w:r w:rsidRPr="004005DA">
              <w:rPr>
                <w:rFonts w:asciiTheme="majorHAnsi" w:eastAsia="Verdana" w:hAnsiTheme="majorHAnsi" w:cs="Verdana"/>
                <w:b/>
                <w:bCs/>
                <w:caps/>
                <w:color w:val="374C80" w:themeColor="accent1" w:themeShade="BF"/>
                <w:kern w:val="24"/>
                <w:sz w:val="16"/>
                <w:szCs w:val="52"/>
                <w14:props3d w14:extrusionH="0" w14:contourW="0" w14:prstMaterial="matte"/>
              </w:rPr>
              <w:lastRenderedPageBreak/>
              <w:t>dARBASPĒKA IZMAKSAS AUG STRAUJĀK NEKĀ PRODUKTIVITĀTE</w:t>
            </w:r>
          </w:p>
          <w:p w14:paraId="42A4C060" w14:textId="77777777" w:rsidR="00D87E57" w:rsidRPr="004005DA" w:rsidRDefault="00D87E57" w:rsidP="0047559B">
            <w:pPr>
              <w:pStyle w:val="NormalWeb"/>
              <w:tabs>
                <w:tab w:val="center" w:pos="1991"/>
                <w:tab w:val="center" w:pos="5416"/>
              </w:tabs>
              <w:kinsoku w:val="0"/>
              <w:overflowPunct w:val="0"/>
              <w:spacing w:before="0" w:beforeAutospacing="0" w:after="0" w:afterAutospacing="0"/>
              <w:textAlignment w:val="baseline"/>
              <w:rPr>
                <w:rFonts w:asciiTheme="majorHAnsi" w:hAnsiTheme="majorHAnsi" w:cs="Arial"/>
                <w:b/>
                <w:bCs/>
                <w:color w:val="374C80" w:themeColor="accent1" w:themeShade="BF"/>
                <w:kern w:val="24"/>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1936"/>
            </w:tblGrid>
            <w:tr w:rsidR="00D87E57" w:rsidRPr="004005DA" w14:paraId="25D68A46" w14:textId="77777777" w:rsidTr="0047559B">
              <w:tc>
                <w:tcPr>
                  <w:tcW w:w="2308" w:type="dxa"/>
                </w:tcPr>
                <w:p w14:paraId="4574F55F"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Produktivitātes un darbaspēka</w:t>
                  </w:r>
                  <w:r w:rsidRPr="004005DA">
                    <w:rPr>
                      <w:rFonts w:asciiTheme="majorHAnsi" w:hAnsiTheme="majorHAnsi" w:cs="Arial"/>
                      <w:b/>
                      <w:color w:val="374C80" w:themeColor="accent1" w:themeShade="BF"/>
                      <w:kern w:val="24"/>
                      <w:sz w:val="10"/>
                      <w:szCs w:val="10"/>
                    </w:rPr>
                    <w:t xml:space="preserve"> izmaksu dinamika 2005.-2015.g.</w:t>
                  </w:r>
                </w:p>
              </w:tc>
              <w:tc>
                <w:tcPr>
                  <w:tcW w:w="2309" w:type="dxa"/>
                </w:tcPr>
                <w:p w14:paraId="32F616D4"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10"/>
                      <w:szCs w:val="10"/>
                    </w:rPr>
                  </w:pPr>
                  <w:r w:rsidRPr="004005DA">
                    <w:rPr>
                      <w:rFonts w:asciiTheme="majorHAnsi" w:hAnsiTheme="majorHAnsi" w:cs="Arial"/>
                      <w:b/>
                      <w:bCs/>
                      <w:color w:val="374C80" w:themeColor="accent1" w:themeShade="BF"/>
                      <w:kern w:val="24"/>
                      <w:sz w:val="10"/>
                      <w:szCs w:val="10"/>
                    </w:rPr>
                    <w:t xml:space="preserve">Produktivitāte s un darbaspēka </w:t>
                  </w:r>
                  <w:r w:rsidRPr="004005DA">
                    <w:rPr>
                      <w:rFonts w:asciiTheme="majorHAnsi" w:hAnsiTheme="majorHAnsi" w:cs="Arial"/>
                      <w:b/>
                      <w:color w:val="374C80" w:themeColor="accent1" w:themeShade="BF"/>
                      <w:kern w:val="24"/>
                      <w:sz w:val="10"/>
                      <w:szCs w:val="10"/>
                    </w:rPr>
                    <w:t xml:space="preserve">izmaksas </w:t>
                  </w:r>
                  <w:r>
                    <w:rPr>
                      <w:rFonts w:asciiTheme="majorHAnsi" w:hAnsiTheme="majorHAnsi" w:cs="Arial"/>
                      <w:b/>
                      <w:color w:val="374C80" w:themeColor="accent1" w:themeShade="BF"/>
                      <w:kern w:val="24"/>
                      <w:sz w:val="10"/>
                      <w:szCs w:val="10"/>
                    </w:rPr>
                    <w:t xml:space="preserve"> Apstrādes rūpniecībā </w:t>
                  </w:r>
                  <w:r w:rsidRPr="004005DA">
                    <w:rPr>
                      <w:rFonts w:asciiTheme="majorHAnsi" w:hAnsiTheme="majorHAnsi" w:cs="Arial"/>
                      <w:b/>
                      <w:color w:val="374C80" w:themeColor="accent1" w:themeShade="BF"/>
                      <w:kern w:val="24"/>
                      <w:sz w:val="10"/>
                      <w:szCs w:val="10"/>
                    </w:rPr>
                    <w:t>ES-28 valstīs 2015.g.</w:t>
                  </w:r>
                </w:p>
              </w:tc>
            </w:tr>
            <w:tr w:rsidR="00D87E57" w:rsidRPr="004005DA" w14:paraId="187CB198" w14:textId="77777777" w:rsidTr="0047559B">
              <w:tc>
                <w:tcPr>
                  <w:tcW w:w="2308" w:type="dxa"/>
                </w:tcPr>
                <w:p w14:paraId="32836F4E"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102"/>
                    <w:jc w:val="center"/>
                    <w:textAlignment w:val="baseline"/>
                    <w:rPr>
                      <w:rFonts w:asciiTheme="majorHAnsi" w:hAnsiTheme="majorHAnsi" w:cs="Arial"/>
                      <w:b/>
                      <w:bCs/>
                      <w:color w:val="374C80" w:themeColor="accent1" w:themeShade="BF"/>
                      <w:kern w:val="24"/>
                      <w:sz w:val="6"/>
                    </w:rPr>
                  </w:pPr>
                  <w:r w:rsidRPr="00E96380">
                    <w:rPr>
                      <w:noProof/>
                    </w:rPr>
                    <w:drawing>
                      <wp:inline distT="0" distB="0" distL="0" distR="0" wp14:anchorId="623080FB" wp14:editId="79D1081A">
                        <wp:extent cx="1414145" cy="1656271"/>
                        <wp:effectExtent l="0" t="0" r="14605" b="1270"/>
                        <wp:docPr id="347"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2309" w:type="dxa"/>
                </w:tcPr>
                <w:p w14:paraId="7751CEEF" w14:textId="77777777" w:rsidR="00D87E57" w:rsidRPr="004005DA" w:rsidRDefault="00D87E57" w:rsidP="0047559B">
                  <w:pPr>
                    <w:pStyle w:val="NormalWeb"/>
                    <w:tabs>
                      <w:tab w:val="center" w:pos="1991"/>
                      <w:tab w:val="center" w:pos="5416"/>
                    </w:tabs>
                    <w:kinsoku w:val="0"/>
                    <w:overflowPunct w:val="0"/>
                    <w:spacing w:before="0" w:beforeAutospacing="0" w:after="0" w:afterAutospacing="0"/>
                    <w:ind w:left="-144"/>
                    <w:jc w:val="center"/>
                    <w:textAlignment w:val="baseline"/>
                    <w:rPr>
                      <w:rFonts w:asciiTheme="majorHAnsi" w:hAnsiTheme="majorHAnsi" w:cs="Arial"/>
                      <w:b/>
                      <w:bCs/>
                      <w:color w:val="374C80" w:themeColor="accent1" w:themeShade="BF"/>
                      <w:kern w:val="24"/>
                      <w:sz w:val="6"/>
                    </w:rPr>
                  </w:pPr>
                  <w:r w:rsidRPr="004005DA">
                    <w:rPr>
                      <w:rFonts w:asciiTheme="majorHAnsi" w:hAnsiTheme="majorHAnsi"/>
                      <w:noProof/>
                      <w:color w:val="374C80" w:themeColor="accent1" w:themeShade="BF"/>
                      <w:sz w:val="18"/>
                      <w:szCs w:val="18"/>
                    </w:rPr>
                    <w:drawing>
                      <wp:inline distT="0" distB="0" distL="0" distR="0" wp14:anchorId="6330D55D" wp14:editId="63763DA7">
                        <wp:extent cx="1489710" cy="1710000"/>
                        <wp:effectExtent l="0" t="0" r="0" b="5080"/>
                        <wp:docPr id="357" name="Chart 3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02B5D6FC"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6"/>
              </w:rPr>
            </w:pPr>
          </w:p>
          <w:p w14:paraId="15052EF5"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4"/>
              </w:rPr>
            </w:pPr>
          </w:p>
          <w:p w14:paraId="02E72355" w14:textId="77777777" w:rsidR="00D87E57"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6"/>
              </w:rPr>
            </w:pPr>
          </w:p>
          <w:p w14:paraId="78433271" w14:textId="77777777" w:rsidR="00D87E57" w:rsidRPr="004005DA" w:rsidRDefault="00D87E57" w:rsidP="0047559B">
            <w:pPr>
              <w:pStyle w:val="NormalWeb"/>
              <w:tabs>
                <w:tab w:val="center" w:pos="1991"/>
                <w:tab w:val="center" w:pos="5416"/>
              </w:tabs>
              <w:kinsoku w:val="0"/>
              <w:overflowPunct w:val="0"/>
              <w:spacing w:before="0" w:beforeAutospacing="0" w:after="0" w:afterAutospacing="0"/>
              <w:jc w:val="center"/>
              <w:textAlignment w:val="baseline"/>
              <w:rPr>
                <w:rFonts w:asciiTheme="majorHAnsi" w:hAnsiTheme="majorHAnsi" w:cs="Arial"/>
                <w:b/>
                <w:bCs/>
                <w:color w:val="374C80" w:themeColor="accent1" w:themeShade="BF"/>
                <w:kern w:val="24"/>
                <w:sz w:val="6"/>
              </w:rPr>
            </w:pPr>
            <w:r w:rsidRPr="004005DA">
              <w:rPr>
                <w:rFonts w:asciiTheme="majorHAnsi" w:hAnsiTheme="majorHAnsi"/>
                <w:noProof/>
                <w:color w:val="374C80" w:themeColor="accent1" w:themeShade="BF"/>
                <w:sz w:val="6"/>
              </w:rPr>
              <w:lastRenderedPageBreak/>
              <mc:AlternateContent>
                <mc:Choice Requires="wps">
                  <w:drawing>
                    <wp:inline distT="0" distB="0" distL="0" distR="0" wp14:anchorId="4A282CF3" wp14:editId="025134BB">
                      <wp:extent cx="2913163" cy="461665"/>
                      <wp:effectExtent l="0" t="0" r="1905" b="8255"/>
                      <wp:docPr id="315" name="TextBox 11"/>
                      <wp:cNvGraphicFramePr/>
                      <a:graphic xmlns:a="http://schemas.openxmlformats.org/drawingml/2006/main">
                        <a:graphicData uri="http://schemas.microsoft.com/office/word/2010/wordprocessingShape">
                          <wps:wsp>
                            <wps:cNvSpPr txBox="1"/>
                            <wps:spPr>
                              <a:xfrm>
                                <a:off x="0" y="0"/>
                                <a:ext cx="2913163" cy="461665"/>
                              </a:xfrm>
                              <a:prstGeom prst="rect">
                                <a:avLst/>
                              </a:prstGeom>
                              <a:solidFill>
                                <a:schemeClr val="accent1">
                                  <a:lumMod val="75000"/>
                                </a:schemeClr>
                              </a:solidFill>
                            </wps:spPr>
                            <wps:txbx>
                              <w:txbxContent>
                                <w:p w14:paraId="71F80CD8"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Pr>
                                      <w:rFonts w:ascii="Candara" w:eastAsia="Verdana" w:hAnsi="Candara" w:cs="Verdana"/>
                                      <w:b/>
                                      <w:bCs/>
                                      <w:color w:val="FFFFFF" w:themeColor="background1"/>
                                      <w:kern w:val="24"/>
                                      <w:sz w:val="14"/>
                                      <w:shd w:val="clear" w:color="auto" w:fill="374C80" w:themeFill="accent1" w:themeFillShade="BF"/>
                                    </w:rPr>
                                    <w:t>Nepieciešamas  mazināt produktivitātes plaisu ar augsti attīstītām valstīm, lai novērstu iedzīvotāju ienākumu stagnāciju un izvairītos no vidējo ienākumu slazda.</w:t>
                                  </w:r>
                                </w:p>
                              </w:txbxContent>
                            </wps:txbx>
                            <wps:bodyPr wrap="square" rtlCol="0">
                              <a:spAutoFit/>
                            </wps:bodyPr>
                          </wps:wsp>
                        </a:graphicData>
                      </a:graphic>
                    </wp:inline>
                  </w:drawing>
                </mc:Choice>
                <mc:Fallback>
                  <w:pict>
                    <v:shape w14:anchorId="4A282CF3" id="_x0000_s1050" type="#_x0000_t202" style="width:229.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" fillcolor="#374c80 [2404]" stroked="f">
                      <v:textbox style="mso-fit-shape-to-text:t">
                        <w:txbxContent>
                          <w:p w14:paraId="71F80CD8" w14:textId="77777777" w:rsidR="0047559B" w:rsidRPr="00BD13CC" w:rsidRDefault="0047559B" w:rsidP="00D87E5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374C80" w:themeFill="accent1" w:themeFillShade="BF"/>
                              </w:rPr>
                            </w:pPr>
                            <w:r>
                              <w:rPr>
                                <w:rFonts w:ascii="Candara" w:eastAsia="Verdana" w:hAnsi="Candara" w:cs="Verdana"/>
                                <w:b/>
                                <w:bCs/>
                                <w:color w:val="FFFFFF" w:themeColor="background1"/>
                                <w:kern w:val="24"/>
                                <w:sz w:val="14"/>
                                <w:shd w:val="clear" w:color="auto" w:fill="374C80" w:themeFill="accent1" w:themeFillShade="BF"/>
                              </w:rPr>
                              <w:t>Nepieciešamas  mazināt produktivitātes plaisu ar augsti attīstītām valstīm, lai novērstu iedzīvotāju ienākumu stagnāciju un izvairītos no vidējo ienākumu slazda.</w:t>
                            </w:r>
                          </w:p>
                        </w:txbxContent>
                      </v:textbox>
                      <w10:anchorlock/>
                    </v:shape>
                  </w:pict>
                </mc:Fallback>
              </mc:AlternateContent>
            </w:r>
          </w:p>
        </w:tc>
      </w:tr>
      <w:tr w:rsidR="00D87E57" w:rsidRPr="004005DA" w14:paraId="56BE00EF" w14:textId="77777777" w:rsidTr="0047559B">
        <w:trPr>
          <w:trHeight w:val="3392"/>
          <w:jc w:val="center"/>
        </w:trPr>
        <w:tc>
          <w:tcPr>
            <w:tcW w:w="2601" w:type="pct"/>
            <w:shd w:val="clear" w:color="auto" w:fill="auto"/>
          </w:tcPr>
          <w:p w14:paraId="3B36F112"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14:props3d w14:extrusionH="0" w14:contourW="0" w14:prstMaterial="matte"/>
              </w:rPr>
            </w:pPr>
            <w:r w:rsidRPr="004005DA">
              <w:rPr>
                <w:rFonts w:asciiTheme="majorHAnsi" w:eastAsia="Verdana" w:hAnsiTheme="majorHAnsi" w:cs="Verdana"/>
                <w:b/>
                <w:bCs/>
                <w:caps/>
                <w:color w:val="374C80" w:themeColor="accent1" w:themeShade="BF"/>
                <w:kern w:val="24"/>
                <w:sz w:val="16"/>
                <w:szCs w:val="52"/>
                <w14:props3d w14:extrusionH="0" w14:contourW="0" w14:prstMaterial="matte"/>
              </w:rPr>
              <w:lastRenderedPageBreak/>
              <w:t>pastāv DARBA TIRGUS DISPROPORCIJAS</w:t>
            </w:r>
          </w:p>
          <w:p w14:paraId="45CB0ED0"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8"/>
                <w:szCs w:val="52"/>
                <w14:props3d w14:extrusionH="0" w14:contourW="0" w14:prstMaterial="matte"/>
              </w:rPr>
            </w:pPr>
          </w:p>
          <w:p w14:paraId="1A042226"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hAnsiTheme="majorHAnsi"/>
                <w:noProof/>
                <w:color w:val="374C80" w:themeColor="accent1" w:themeShade="BF"/>
              </w:rPr>
              <w:drawing>
                <wp:inline distT="0" distB="0" distL="0" distR="0" wp14:anchorId="0060A43B" wp14:editId="16892B0E">
                  <wp:extent cx="3103082" cy="1890000"/>
                  <wp:effectExtent l="0" t="0" r="2540" b="0"/>
                  <wp:docPr id="358" name="Picture 358" descr="C:\D\SalminsJ\DARBS\2016\2016.07.08 DTAPP 3 ministri\Darba tirgus disproporci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SalminsJ\DARBS\2016\2016.07.08 DTAPP 3 ministri\Darba tirgus disproporcijas.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03082" cy="1890000"/>
                          </a:xfrm>
                          <a:prstGeom prst="rect">
                            <a:avLst/>
                          </a:prstGeom>
                          <a:noFill/>
                          <a:ln>
                            <a:noFill/>
                          </a:ln>
                        </pic:spPr>
                      </pic:pic>
                    </a:graphicData>
                  </a:graphic>
                </wp:inline>
              </w:drawing>
            </w:r>
          </w:p>
          <w:p w14:paraId="2B9EC474"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8"/>
                <w:szCs w:val="4"/>
              </w:rPr>
            </w:pPr>
          </w:p>
          <w:p w14:paraId="04E355E9"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hAnsiTheme="majorHAnsi"/>
                <w:noProof/>
                <w:color w:val="374C80" w:themeColor="accent1" w:themeShade="BF"/>
                <w:sz w:val="6"/>
              </w:rPr>
              <mc:AlternateContent>
                <mc:Choice Requires="wps">
                  <w:drawing>
                    <wp:inline distT="0" distB="0" distL="0" distR="0" wp14:anchorId="2745645D" wp14:editId="2C281AC7">
                      <wp:extent cx="2938145" cy="324000"/>
                      <wp:effectExtent l="0" t="0" r="0" b="0"/>
                      <wp:docPr id="316" name="TextBox 11"/>
                      <wp:cNvGraphicFramePr/>
                      <a:graphic xmlns:a="http://schemas.openxmlformats.org/drawingml/2006/main">
                        <a:graphicData uri="http://schemas.microsoft.com/office/word/2010/wordprocessingShape">
                          <wps:wsp>
                            <wps:cNvSpPr txBox="1"/>
                            <wps:spPr>
                              <a:xfrm>
                                <a:off x="0" y="0"/>
                                <a:ext cx="2938145" cy="324000"/>
                              </a:xfrm>
                              <a:prstGeom prst="rect">
                                <a:avLst/>
                              </a:prstGeom>
                              <a:solidFill>
                                <a:schemeClr val="accent1">
                                  <a:lumMod val="75000"/>
                                </a:schemeClr>
                              </a:solidFill>
                            </wps:spPr>
                            <wps:txbx>
                              <w:txbxContent>
                                <w:p w14:paraId="5411AD42" w14:textId="77777777" w:rsidR="0047559B" w:rsidRPr="00B6537C" w:rsidRDefault="0047559B" w:rsidP="00D87E5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374C80" w:themeFill="accent1" w:themeFillShade="BF"/>
                                    </w:rPr>
                                  </w:pPr>
                                  <w:r w:rsidRPr="00B6537C">
                                    <w:rPr>
                                      <w:rFonts w:ascii="Candara" w:eastAsia="Verdana" w:hAnsi="Candara" w:cs="Verdana"/>
                                      <w:b/>
                                      <w:bCs/>
                                      <w:color w:val="FFFFFF" w:themeColor="background1"/>
                                      <w:kern w:val="24"/>
                                      <w:sz w:val="14"/>
                                      <w:shd w:val="clear" w:color="auto" w:fill="374C80" w:themeFill="accent1" w:themeFillShade="BF"/>
                                    </w:rPr>
                                    <w:t xml:space="preserve">Nepieciešams strukturālās reformas, kas </w:t>
                                  </w:r>
                                  <w:r>
                                    <w:rPr>
                                      <w:rFonts w:ascii="Candara" w:eastAsia="Verdana" w:hAnsi="Candara" w:cs="Verdana"/>
                                      <w:b/>
                                      <w:bCs/>
                                      <w:color w:val="FFFFFF" w:themeColor="background1"/>
                                      <w:kern w:val="24"/>
                                      <w:sz w:val="14"/>
                                      <w:shd w:val="clear" w:color="auto" w:fill="374C80" w:themeFill="accent1" w:themeFillShade="BF"/>
                                    </w:rPr>
                                    <w:t>mazinātu darbaspēka pieprasījuma un piedāvājuma neatbilstības</w:t>
                                  </w:r>
                                </w:p>
                              </w:txbxContent>
                            </wps:txbx>
                            <wps:bodyPr wrap="square" rtlCol="0">
                              <a:spAutoFit/>
                            </wps:bodyPr>
                          </wps:wsp>
                        </a:graphicData>
                      </a:graphic>
                    </wp:inline>
                  </w:drawing>
                </mc:Choice>
                <mc:Fallback>
                  <w:pict>
                    <v:shape w14:anchorId="2745645D" id="_x0000_s1051" type="#_x0000_t202" style="width:231.3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" fillcolor="#374c80 [2404]" stroked="f">
                      <v:textbox style="mso-fit-shape-to-text:t">
                        <w:txbxContent>
                          <w:p w14:paraId="5411AD42" w14:textId="77777777" w:rsidR="0047559B" w:rsidRPr="00B6537C" w:rsidRDefault="0047559B" w:rsidP="00D87E5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374C80" w:themeFill="accent1" w:themeFillShade="BF"/>
                              </w:rPr>
                            </w:pPr>
                            <w:r w:rsidRPr="00B6537C">
                              <w:rPr>
                                <w:rFonts w:ascii="Candara" w:eastAsia="Verdana" w:hAnsi="Candara" w:cs="Verdana"/>
                                <w:b/>
                                <w:bCs/>
                                <w:color w:val="FFFFFF" w:themeColor="background1"/>
                                <w:kern w:val="24"/>
                                <w:sz w:val="14"/>
                                <w:shd w:val="clear" w:color="auto" w:fill="374C80" w:themeFill="accent1" w:themeFillShade="BF"/>
                              </w:rPr>
                              <w:t xml:space="preserve">Nepieciešams strukturālās reformas, kas </w:t>
                            </w:r>
                            <w:r>
                              <w:rPr>
                                <w:rFonts w:ascii="Candara" w:eastAsia="Verdana" w:hAnsi="Candara" w:cs="Verdana"/>
                                <w:b/>
                                <w:bCs/>
                                <w:color w:val="FFFFFF" w:themeColor="background1"/>
                                <w:kern w:val="24"/>
                                <w:sz w:val="14"/>
                                <w:shd w:val="clear" w:color="auto" w:fill="374C80" w:themeFill="accent1" w:themeFillShade="BF"/>
                              </w:rPr>
                              <w:t>mazinātu darbaspēka pieprasījuma un piedāvājuma neatbilstības</w:t>
                            </w:r>
                          </w:p>
                        </w:txbxContent>
                      </v:textbox>
                      <w10:anchorlock/>
                    </v:shape>
                  </w:pict>
                </mc:Fallback>
              </mc:AlternateContent>
            </w:r>
          </w:p>
          <w:p w14:paraId="20636EDD"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4"/>
                <w:szCs w:val="4"/>
              </w:rPr>
            </w:pPr>
          </w:p>
        </w:tc>
        <w:tc>
          <w:tcPr>
            <w:tcW w:w="2399" w:type="pct"/>
            <w:shd w:val="clear" w:color="auto" w:fill="auto"/>
          </w:tcPr>
          <w:p w14:paraId="21A0D600" w14:textId="77777777" w:rsidR="00D87E57" w:rsidRPr="004005DA" w:rsidRDefault="00D87E57" w:rsidP="0047559B">
            <w:pPr>
              <w:pStyle w:val="NormalWeb"/>
              <w:kinsoku w:val="0"/>
              <w:overflowPunct w:val="0"/>
              <w:spacing w:before="0" w:beforeAutospacing="0" w:after="0" w:afterAutospacing="0"/>
              <w:ind w:left="-115"/>
              <w:jc w:val="center"/>
              <w:textAlignment w:val="baseline"/>
              <w:rPr>
                <w:rFonts w:asciiTheme="majorHAnsi" w:eastAsia="Verdana" w:hAnsiTheme="majorHAnsi" w:cs="Verdana"/>
                <w:b/>
                <w:bCs/>
                <w:caps/>
                <w:color w:val="374C80" w:themeColor="accent1" w:themeShade="BF"/>
                <w:kern w:val="24"/>
                <w:sz w:val="16"/>
                <w:szCs w:val="52"/>
              </w:rPr>
            </w:pPr>
            <w:r w:rsidRPr="004005DA">
              <w:rPr>
                <w:rFonts w:asciiTheme="majorHAnsi" w:eastAsia="Verdana" w:hAnsiTheme="majorHAnsi" w:cs="Verdana"/>
                <w:b/>
                <w:bCs/>
                <w:caps/>
                <w:color w:val="374C80" w:themeColor="accent1" w:themeShade="BF"/>
                <w:kern w:val="24"/>
                <w:sz w:val="16"/>
                <w:szCs w:val="52"/>
                <w14:props3d w14:extrusionH="0" w14:contourW="0" w14:prstMaterial="matte"/>
              </w:rPr>
              <w:t xml:space="preserve">INSTITUCIONĀLĀS UN UZŅĒMĒJDARBĪBAS VIDES NEPILNĪBAS KAVĒ RESURSU EFEKTĪVU PĀRDALI </w:t>
            </w:r>
            <w:r w:rsidRPr="004005DA">
              <w:rPr>
                <w:rFonts w:asciiTheme="majorHAnsi" w:hAnsiTheme="majorHAnsi"/>
                <w:noProof/>
                <w:color w:val="374C80" w:themeColor="accent1" w:themeShade="BF"/>
              </w:rPr>
              <w:drawing>
                <wp:inline distT="0" distB="0" distL="0" distR="0" wp14:anchorId="199819B7" wp14:editId="7B1F37A6">
                  <wp:extent cx="3060000" cy="1836588"/>
                  <wp:effectExtent l="0" t="0" r="762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9823" t="28911" r="20385" b="7155"/>
                          <a:stretch/>
                        </pic:blipFill>
                        <pic:spPr bwMode="auto">
                          <a:xfrm>
                            <a:off x="0" y="0"/>
                            <a:ext cx="3060000" cy="1836588"/>
                          </a:xfrm>
                          <a:prstGeom prst="rect">
                            <a:avLst/>
                          </a:prstGeom>
                          <a:ln>
                            <a:noFill/>
                          </a:ln>
                          <a:extLst>
                            <a:ext uri="{53640926-AAD7-44D8-BBD7-CCE9431645EC}">
                              <a14:shadowObscured xmlns:a14="http://schemas.microsoft.com/office/drawing/2010/main"/>
                            </a:ext>
                          </a:extLst>
                        </pic:spPr>
                      </pic:pic>
                    </a:graphicData>
                  </a:graphic>
                </wp:inline>
              </w:drawing>
            </w:r>
          </w:p>
          <w:p w14:paraId="323E7CF1"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6"/>
                <w:szCs w:val="52"/>
                <w14:props3d w14:extrusionH="0" w14:contourW="0" w14:prstMaterial="matte"/>
              </w:rPr>
            </w:pPr>
          </w:p>
          <w:p w14:paraId="224BF335" w14:textId="77777777" w:rsidR="00D87E57" w:rsidRPr="004005DA" w:rsidRDefault="00D87E57" w:rsidP="0047559B">
            <w:pPr>
              <w:pStyle w:val="NormalWeb"/>
              <w:kinsoku w:val="0"/>
              <w:overflowPunct w:val="0"/>
              <w:spacing w:before="0" w:beforeAutospacing="0" w:after="0" w:afterAutospacing="0"/>
              <w:ind w:left="-112"/>
              <w:jc w:val="center"/>
              <w:textAlignment w:val="baseline"/>
              <w:rPr>
                <w:rFonts w:asciiTheme="majorHAnsi" w:eastAsia="Verdana" w:hAnsiTheme="majorHAnsi" w:cs="Verdana"/>
                <w:b/>
                <w:bCs/>
                <w:caps/>
                <w:color w:val="374C80" w:themeColor="accent1" w:themeShade="BF"/>
                <w:kern w:val="24"/>
                <w:sz w:val="16"/>
                <w:szCs w:val="52"/>
                <w14:props3d w14:extrusionH="0" w14:contourW="0" w14:prstMaterial="matte"/>
              </w:rPr>
            </w:pPr>
            <w:r w:rsidRPr="004005DA">
              <w:rPr>
                <w:rFonts w:asciiTheme="majorHAnsi" w:hAnsiTheme="majorHAnsi"/>
                <w:noProof/>
                <w:color w:val="374C80" w:themeColor="accent1" w:themeShade="BF"/>
                <w:sz w:val="6"/>
              </w:rPr>
              <mc:AlternateContent>
                <mc:Choice Requires="wps">
                  <w:drawing>
                    <wp:inline distT="0" distB="0" distL="0" distR="0" wp14:anchorId="77A6E804" wp14:editId="591FE64D">
                      <wp:extent cx="2938145" cy="324000"/>
                      <wp:effectExtent l="0" t="0" r="0" b="0"/>
                      <wp:docPr id="317" name="TextBox 11"/>
                      <wp:cNvGraphicFramePr/>
                      <a:graphic xmlns:a="http://schemas.openxmlformats.org/drawingml/2006/main">
                        <a:graphicData uri="http://schemas.microsoft.com/office/word/2010/wordprocessingShape">
                          <wps:wsp>
                            <wps:cNvSpPr txBox="1"/>
                            <wps:spPr>
                              <a:xfrm>
                                <a:off x="0" y="0"/>
                                <a:ext cx="2938145" cy="324000"/>
                              </a:xfrm>
                              <a:prstGeom prst="rect">
                                <a:avLst/>
                              </a:prstGeom>
                              <a:solidFill>
                                <a:schemeClr val="accent1">
                                  <a:lumMod val="75000"/>
                                </a:schemeClr>
                              </a:solidFill>
                            </wps:spPr>
                            <wps:txbx>
                              <w:txbxContent>
                                <w:p w14:paraId="4530A14E" w14:textId="77777777" w:rsidR="0047559B" w:rsidRPr="00B6537C" w:rsidRDefault="0047559B" w:rsidP="00D87E5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374C80" w:themeFill="accent1" w:themeFillShade="BF"/>
                                    </w:rPr>
                                  </w:pPr>
                                  <w:r w:rsidRPr="00F229D8">
                                    <w:rPr>
                                      <w:rFonts w:ascii="Candara" w:eastAsia="Verdana" w:hAnsi="Candara" w:cs="Verdana"/>
                                      <w:b/>
                                      <w:bCs/>
                                      <w:color w:val="FFFFFF" w:themeColor="background1"/>
                                      <w:kern w:val="24"/>
                                      <w:sz w:val="14"/>
                                      <w:shd w:val="clear" w:color="auto" w:fill="374C80" w:themeFill="accent1" w:themeFillShade="BF"/>
                                    </w:rPr>
                                    <w:t>Nepieciešams pilnveidot institucionālo un uzņēmējdarbības vidi novēršot šķēršļus resursu efektīvākai izmantošanai.</w:t>
                                  </w:r>
                                </w:p>
                              </w:txbxContent>
                            </wps:txbx>
                            <wps:bodyPr wrap="square" rtlCol="0">
                              <a:spAutoFit/>
                            </wps:bodyPr>
                          </wps:wsp>
                        </a:graphicData>
                      </a:graphic>
                    </wp:inline>
                  </w:drawing>
                </mc:Choice>
                <mc:Fallback>
                  <w:pict>
                    <v:shape w14:anchorId="77A6E804" id="_x0000_s1052" type="#_x0000_t202" style="width:231.3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" fillcolor="#374c80 [2404]" stroked="f">
                      <v:textbox style="mso-fit-shape-to-text:t">
                        <w:txbxContent>
                          <w:p w14:paraId="4530A14E" w14:textId="77777777" w:rsidR="0047559B" w:rsidRPr="00B6537C" w:rsidRDefault="0047559B" w:rsidP="00D87E5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374C80" w:themeFill="accent1" w:themeFillShade="BF"/>
                              </w:rPr>
                            </w:pPr>
                            <w:r w:rsidRPr="00F229D8">
                              <w:rPr>
                                <w:rFonts w:ascii="Candara" w:eastAsia="Verdana" w:hAnsi="Candara" w:cs="Verdana"/>
                                <w:b/>
                                <w:bCs/>
                                <w:color w:val="FFFFFF" w:themeColor="background1"/>
                                <w:kern w:val="24"/>
                                <w:sz w:val="14"/>
                                <w:shd w:val="clear" w:color="auto" w:fill="374C80" w:themeFill="accent1" w:themeFillShade="BF"/>
                              </w:rPr>
                              <w:t>Nepieciešams pilnveidot institucionālo un uzņēmējdarbības vidi novēršot šķēršļus resursu efektīvākai izmantošanai.</w:t>
                            </w:r>
                          </w:p>
                        </w:txbxContent>
                      </v:textbox>
                      <w10:anchorlock/>
                    </v:shape>
                  </w:pict>
                </mc:Fallback>
              </mc:AlternateContent>
            </w:r>
          </w:p>
        </w:tc>
      </w:tr>
    </w:tbl>
    <w:p w14:paraId="5236B201" w14:textId="77777777" w:rsidR="00D87E57" w:rsidRPr="00F17E86" w:rsidRDefault="00D87E57" w:rsidP="00D87E57">
      <w:pPr>
        <w:spacing w:after="40"/>
        <w:rPr>
          <w:rFonts w:cs="Times New Roman"/>
          <w:sz w:val="4"/>
        </w:rPr>
      </w:pPr>
    </w:p>
    <w:p w14:paraId="1757C0C2" w14:textId="77777777" w:rsidR="00D87E57" w:rsidRPr="00F17E86" w:rsidRDefault="00D87E57" w:rsidP="00D87E57">
      <w:pPr>
        <w:spacing w:after="40"/>
        <w:ind w:firstLine="426"/>
        <w:rPr>
          <w:rFonts w:cs="Times New Roman"/>
        </w:rPr>
      </w:pPr>
    </w:p>
    <w:p w14:paraId="1C8A97A3" w14:textId="77777777" w:rsidR="00D87E57" w:rsidRPr="00F17E86" w:rsidRDefault="00D87E57" w:rsidP="00D87E57">
      <w:pPr>
        <w:spacing w:before="60" w:after="60"/>
        <w:rPr>
          <w:rFonts w:cs="Times New Roman"/>
          <w:b/>
        </w:rPr>
      </w:pPr>
      <w:r w:rsidRPr="00F17E86">
        <w:rPr>
          <w:rFonts w:cs="Times New Roman"/>
          <w:b/>
        </w:rPr>
        <w:t xml:space="preserve">Veicamie pasākumi </w:t>
      </w:r>
    </w:p>
    <w:p w14:paraId="0BE814CC" w14:textId="77777777" w:rsidR="00D87E57" w:rsidRPr="00F17E86" w:rsidRDefault="00D87E57" w:rsidP="00D87E57">
      <w:pPr>
        <w:spacing w:after="40"/>
        <w:ind w:firstLine="426"/>
        <w:rPr>
          <w:rFonts w:cs="Times New Roman"/>
        </w:rPr>
      </w:pPr>
    </w:p>
    <w:p w14:paraId="61727BA6" w14:textId="77777777" w:rsidR="00D87E57" w:rsidRPr="00F17E86" w:rsidRDefault="00D87E57" w:rsidP="00D87E57">
      <w:pPr>
        <w:spacing w:before="60" w:after="60"/>
      </w:pPr>
      <w:r w:rsidRPr="00F17E86">
        <w:t>Latvijas tautsaimniecība ir cieši integrēta starptautiskajos tirgos. Tāpēc jaunu konkurētspējas priekšrocību veidošanā Latvijai ir jāpielāgojas globāliem izaicinājumiem, kas maina tradicionālo biznesa modeli:</w:t>
      </w:r>
    </w:p>
    <w:p w14:paraId="7FFE6937" w14:textId="77777777" w:rsidR="00D87E57" w:rsidRPr="00F17E86" w:rsidRDefault="00D87E57" w:rsidP="00D87E57">
      <w:pPr>
        <w:pStyle w:val="ListParagraph"/>
        <w:numPr>
          <w:ilvl w:val="0"/>
          <w:numId w:val="32"/>
        </w:numPr>
        <w:spacing w:before="60" w:after="60"/>
        <w:ind w:left="426" w:hanging="142"/>
        <w:rPr>
          <w:szCs w:val="22"/>
        </w:rPr>
      </w:pPr>
      <w:r w:rsidRPr="00F17E86">
        <w:rPr>
          <w:szCs w:val="22"/>
        </w:rPr>
        <w:t>ražošanas faktoru un kapitāla starptautiskās mobilitātes palielināšanās – saasinās konkurence starptautiskajos produktu, darba un kapitāla tirgos;</w:t>
      </w:r>
    </w:p>
    <w:p w14:paraId="5E1761FB" w14:textId="77777777" w:rsidR="00D87E57" w:rsidRPr="00F17E86" w:rsidRDefault="00D87E57" w:rsidP="00D87E57">
      <w:pPr>
        <w:pStyle w:val="ListParagraph"/>
        <w:numPr>
          <w:ilvl w:val="0"/>
          <w:numId w:val="32"/>
        </w:numPr>
        <w:spacing w:before="60" w:after="60"/>
        <w:ind w:left="426" w:hanging="142"/>
        <w:rPr>
          <w:szCs w:val="22"/>
        </w:rPr>
      </w:pPr>
      <w:r w:rsidRPr="00F17E86">
        <w:rPr>
          <w:szCs w:val="22"/>
        </w:rPr>
        <w:t>ražošanas fragmentācija, veidojas valstu specializācija kādā noteiktā nozarē vai arī produkta pievienotās vērtības radīšanas ķēdē. Latvijai ir jāizmanto iespēja iesaistīties globālajās piegādes un ražošanas ķēdēs, kur gala produkta ražošanai svarīga ir izcilība visos ražošanas posmos un līmeņos, piegādātāju un sadarbības partneru kompetence un inovācijas kā saistītajās nozarēs, tā arī dažādos reģionos. Pašreizējais zemais inovāciju sniegums liecina ne tikai par nepietiekamu valsts atbalstu, bet arī par uzņēmēju zemo pieprasījumu pēc inovācijām;</w:t>
      </w:r>
    </w:p>
    <w:p w14:paraId="4216D5E4" w14:textId="77777777" w:rsidR="00D87E57" w:rsidRPr="00F17E86" w:rsidRDefault="00D87E57" w:rsidP="00D87E57">
      <w:pPr>
        <w:pStyle w:val="ListParagraph"/>
        <w:numPr>
          <w:ilvl w:val="0"/>
          <w:numId w:val="32"/>
        </w:numPr>
        <w:spacing w:before="60" w:after="60"/>
        <w:ind w:left="426" w:hanging="142"/>
        <w:rPr>
          <w:szCs w:val="22"/>
        </w:rPr>
      </w:pPr>
      <w:r w:rsidRPr="00F17E86">
        <w:rPr>
          <w:szCs w:val="22"/>
        </w:rPr>
        <w:t>strauji augošas jaunās industriālās valstis ar izteikti lētā darbaspēka priekšrocībām. Latvijas ražotāju konkurētspēja joprojām lielā mērā balstās uz lētā darbaspēka priekšrocībām. Bet jāņem vērā, ka darbaspēka izmaksu pieaugums ir neizbēgams atvērta darba tirgus apstākļos. Tādējādi Latvija var zaudēt konkurētspēju zemo izmaksu segmentos ātrāk nekā iegūt priekšrocības produktu ražošanā ar augstu pievienoto vērtību;</w:t>
      </w:r>
    </w:p>
    <w:p w14:paraId="01186167" w14:textId="77777777" w:rsidR="00D87E57" w:rsidRPr="00F17E86" w:rsidRDefault="00D87E57" w:rsidP="00D87E57">
      <w:pPr>
        <w:pStyle w:val="ListParagraph"/>
        <w:numPr>
          <w:ilvl w:val="0"/>
          <w:numId w:val="32"/>
        </w:numPr>
        <w:spacing w:before="60" w:after="60"/>
        <w:ind w:left="426" w:hanging="142"/>
        <w:rPr>
          <w:szCs w:val="22"/>
        </w:rPr>
      </w:pPr>
      <w:r w:rsidRPr="00F17E86">
        <w:rPr>
          <w:szCs w:val="22"/>
        </w:rPr>
        <w:t>privāto investīciju piesaistei lielākas prasības tiek izvirzītas institucionālai videi un infrastruktūrai. Latvijas institucionālai videi ir vairākas nepilnības - kā izteiktākie ir lielais ēnu ekonomikas īpatsvars un nekvalitatīvie publiskie pakalpojumi (t.sk. izaicinājumi tiesu sistēmā).</w:t>
      </w:r>
    </w:p>
    <w:p w14:paraId="1F5D4A2B" w14:textId="77777777" w:rsidR="00D87E57" w:rsidRPr="00F17E86" w:rsidRDefault="00D87E57" w:rsidP="00D87E57">
      <w:pPr>
        <w:spacing w:before="60" w:after="60"/>
        <w:ind w:firstLine="720"/>
      </w:pPr>
    </w:p>
    <w:p w14:paraId="58F30B5E" w14:textId="77777777" w:rsidR="00D87E57" w:rsidRPr="00F17E86" w:rsidRDefault="00D87E57" w:rsidP="00D87E57">
      <w:pPr>
        <w:spacing w:before="60" w:after="60"/>
      </w:pPr>
      <w:r w:rsidRPr="00F17E86">
        <w:lastRenderedPageBreak/>
        <w:t>Transformācijas procesa veicējs ir uzņēmējs – viņš pieņem lēmumu modernizēt ražošanu vai pārvietot resursus uz citu nozari/ reģionu/ valsti. Pie pastāvošās resursu mobilitātes – uzņēmēju motivācijas veicināšana biznesa modeļa maiņai un jaunu konkurētspējas priekšrocību izzināšanai un veidošanai ir galvenais politikas mērķis.</w:t>
      </w:r>
    </w:p>
    <w:p w14:paraId="7F07FFE1" w14:textId="77777777" w:rsidR="00D87E57" w:rsidRPr="00F17E86" w:rsidRDefault="00D87E57" w:rsidP="00D87E57">
      <w:pPr>
        <w:spacing w:before="60" w:after="60"/>
      </w:pPr>
      <w:r w:rsidRPr="00F17E86">
        <w:t xml:space="preserve">Saprotot konkurētspējas celšanas sarežģīto dabu, resursu pieejamību un attiecīgi nepieciešamību tos koncentrēt, kā arī ievērojami lielo iesaistīto pušu skaitu, ir vēl sagaidāmas daudzas diskusijas par konkurētspējas tēmu. Daži no diskusiju tematiem, kas jebkurā gadījumā ir jāapskata, domājot par valsts konkurētspējas celšanu, ir: </w:t>
      </w:r>
    </w:p>
    <w:p w14:paraId="70F06474" w14:textId="77777777" w:rsidR="00D87E57" w:rsidRPr="00F17E86" w:rsidRDefault="00D87E57" w:rsidP="00D87E57">
      <w:pPr>
        <w:pStyle w:val="ListParagraph"/>
        <w:numPr>
          <w:ilvl w:val="0"/>
          <w:numId w:val="32"/>
        </w:numPr>
        <w:spacing w:before="60" w:after="60"/>
        <w:ind w:left="426" w:hanging="141"/>
        <w:rPr>
          <w:szCs w:val="22"/>
        </w:rPr>
      </w:pPr>
      <w:r w:rsidRPr="00F17E86">
        <w:rPr>
          <w:b/>
          <w:i/>
          <w:szCs w:val="22"/>
          <w:u w:val="single"/>
        </w:rPr>
        <w:t>valsts pārvaldes resursu koncentrācija vs. atbalsts visiem:</w:t>
      </w:r>
      <w:r w:rsidRPr="00F17E86">
        <w:rPr>
          <w:szCs w:val="22"/>
        </w:rPr>
        <w:t xml:space="preserve"> Situācijā, kad vajadzību ir krietni vairāk nekā resursu šo vajadzību apmierināšanai, ir nepieciešams domāt par resursu koncentrāciju jeb prioritizēšanu. Valsts sniegtajam atbalstam (primāri institucionālais resurss – valsts pārvalde kā sadarbības partneris) uzņēmējdarbībai tiek piedāvāts risinājums atbalstīt t.s. “čempionu” uzņēmumus. T.i., uzņēmumus, kas ir pietiekami lieli, attīstīti un būtiskākais – inovēt spējīgi (iesaistot vairākas industrijas – horizontāla ietekme), lai šādi uzņēmumi kļūtu par ekonomikas pieauguma dzinējspēkiem. Šādiem uzņēmumiem intensīvāk attīstoties, rastos labums arī apkārt esošai ekosistēmai jeb klasteriem </w:t>
      </w:r>
      <w:r w:rsidRPr="00F17E86">
        <w:rPr>
          <w:i/>
          <w:szCs w:val="22"/>
        </w:rPr>
        <w:t xml:space="preserve">(t.sk. start-up </w:t>
      </w:r>
      <w:r w:rsidRPr="00F17E86">
        <w:rPr>
          <w:szCs w:val="22"/>
        </w:rPr>
        <w:t>uzņēmumiem</w:t>
      </w:r>
      <w:r w:rsidRPr="00F17E86">
        <w:rPr>
          <w:i/>
          <w:szCs w:val="22"/>
        </w:rPr>
        <w:t>),</w:t>
      </w:r>
      <w:r w:rsidRPr="00F17E86">
        <w:rPr>
          <w:szCs w:val="22"/>
        </w:rPr>
        <w:t xml:space="preserve"> kā arī “čempionu” uzņēmumu intensificēta attīstība sekmētu minēto ekosistēmu/ klasteru attīstību – tā būtu abu virzienu sadarbība. Pie “čempionu” pieejas ir būtiski minēt koncentrētu atbalstu deviņu lielo pilsētu un to sadarbības teritoriju attīstībai, īpaši izceļot Rīgas kā starptautiska darījumu centra attīstību, ļaujot augstražīgākajai uzņēmējdarbībai ģeogrāfiski klasterēties Rīgā un tās sadarbības teritorijās; </w:t>
      </w:r>
    </w:p>
    <w:p w14:paraId="514AB0CC" w14:textId="77777777" w:rsidR="00D87E57" w:rsidRPr="00F17E86" w:rsidRDefault="00D87E57" w:rsidP="00D87E57">
      <w:pPr>
        <w:pStyle w:val="ListParagraph"/>
        <w:numPr>
          <w:ilvl w:val="0"/>
          <w:numId w:val="32"/>
        </w:numPr>
        <w:spacing w:after="60"/>
        <w:ind w:left="426" w:hanging="142"/>
        <w:contextualSpacing w:val="0"/>
        <w:rPr>
          <w:szCs w:val="22"/>
        </w:rPr>
      </w:pPr>
      <w:r w:rsidRPr="00F17E86">
        <w:rPr>
          <w:b/>
          <w:i/>
          <w:szCs w:val="22"/>
          <w:u w:val="single"/>
        </w:rPr>
        <w:t>rentabilitāte vs. inovācija/produktivitāte:</w:t>
      </w:r>
      <w:r w:rsidRPr="00F17E86">
        <w:rPr>
          <w:szCs w:val="22"/>
        </w:rPr>
        <w:t xml:space="preserve"> Dati parāda, ka Latvijas uzņēmumu rentabilitāte relatīvi ir augstāka nekā uzņēmumu rentabilitāte Eiropā. Vienlaikus uzņēmumi Latvijā daudz kūtrāk investē ar produktivitāti saistītās ieguldījumu pozīcijās. Attiecīgi ir skaidrs, ka vismaz daļai Latvijas uzņēmēju ir brīvie līdzekļi, kurus varētu investēt produktivitātes celšanā. Tas gan nozīmētu mazāku peļņu īstermiņā, taču ievērojami palielinātu iespēju turpināt darbu arī ilgtermiņā, nodrošinot uzņēmuma reģionālo/globālo konkurētspēju; </w:t>
      </w:r>
    </w:p>
    <w:p w14:paraId="396D6949" w14:textId="77777777" w:rsidR="00D87E57" w:rsidRPr="00F17E86" w:rsidRDefault="00D87E57" w:rsidP="00D87E57">
      <w:pPr>
        <w:pStyle w:val="ListParagraph"/>
        <w:numPr>
          <w:ilvl w:val="0"/>
          <w:numId w:val="32"/>
        </w:numPr>
        <w:spacing w:before="60" w:after="60"/>
        <w:ind w:left="426" w:hanging="141"/>
        <w:rPr>
          <w:szCs w:val="22"/>
        </w:rPr>
      </w:pPr>
      <w:r w:rsidRPr="00F17E86">
        <w:rPr>
          <w:b/>
          <w:i/>
          <w:szCs w:val="22"/>
          <w:u w:val="single"/>
        </w:rPr>
        <w:t>vietējā cilvēkkapitāla attīstīšana (izmantošana) vs. cilvēkkapitāla ievešana</w:t>
      </w:r>
      <w:r w:rsidRPr="00F17E86">
        <w:rPr>
          <w:i/>
          <w:szCs w:val="22"/>
          <w:u w:val="single"/>
        </w:rPr>
        <w:t>:</w:t>
      </w:r>
      <w:r w:rsidRPr="00F17E86">
        <w:rPr>
          <w:szCs w:val="22"/>
        </w:rPr>
        <w:t xml:space="preserve"> Valsts uzdevums primāri ir nodrošināt tās iedzīvotājiem labklājības pieaugumu. Daļa no labklājības pieauguma priekšnosacījumiem ir cienīgs darbs un darbu cienošs darba darītājs. Attiecīgi valsts primāri rūpējas par tās iedzīvotāju darba potenciāla kāpināšanu, ļaujot iedzīvotājiem maksimāli piedalīties valstī notiekošajos tautsaimniecības procesos. Vienlaikus ir skaidrs, ka pie esošās situācijas, kad vietējā atbilstoši kvalificētā darbaspēka atsevišķās nozarēs jau šobrīd nepietiek, nespējot pietiekami attīstīt vietējo cilvēkkapitālu, loģisks solis būs intensificēt cilvēkkapitāla piesaisti no citām valstīm, iepriekš nodrošinot skaidrus noteikumus tā ievešanai. Uzsvars būtu liekams uz augsti kvalificēta darbaspēka ievešanu, sekmējot produktīvo nozaru attīstīšanu un zināšanu pārnesi konkrētās jomās. </w:t>
      </w:r>
    </w:p>
    <w:p w14:paraId="356CF3EE" w14:textId="77777777" w:rsidR="00D87E57" w:rsidRPr="00F17E86" w:rsidRDefault="00D87E57" w:rsidP="00D87E57">
      <w:pPr>
        <w:spacing w:before="60" w:after="60"/>
        <w:ind w:firstLine="720"/>
        <w:rPr>
          <w:sz w:val="16"/>
        </w:rPr>
      </w:pPr>
    </w:p>
    <w:p w14:paraId="2FD6C635" w14:textId="77777777" w:rsidR="00D87E57" w:rsidRPr="00F17E86" w:rsidRDefault="00D87E57" w:rsidP="00D87E57">
      <w:pPr>
        <w:spacing w:before="60" w:after="60"/>
      </w:pPr>
      <w:r w:rsidRPr="00F17E86">
        <w:t xml:space="preserve">Analizējot esošo stāvokli un nepieciešamo rīcību Latvijas konkurētspējas celšanai, iezīmējas nepieciešamība pēc mērķētas un resursus koncentrējošas rīcības labklājības straujākai vairošanai. Par ekonomikas izaugsmes dzinējspēku ir nosakāms ienākums no eksporta. Lai eksporta ienākumi būtu ilgtspējīgi, tie nedrīkst būt balstīti vienīgi cenu konkurētspējā, bet tiem jābūt balstītiem produktivitātē. Attiecīgi produktivitātes paaugstināšanai ir nepieciešamas konkrētas rīcības trīs virzienos – investīcijās, inovācijā un cilvēkkapitālā. Vienlaikus jāņem vērā, ka iniciatīvas jebkurā no šiem blokiem ir nesaraujami saistītas ar institucionālo ietvaru, kuru raksturo uzņēmējdarbības vides kvalitāte un pārvaldības efektivitāte. Zemāk esošajā shēmā ir redzama trīs minēto </w:t>
      </w:r>
      <w:r w:rsidRPr="00F17E86">
        <w:lastRenderedPageBreak/>
        <w:t xml:space="preserve">virzienu un institucionālā ietvara mijiedarbība, kur katram no minētajiem virzieniem ir uzskaitīti galvenie rīcības virzieni. </w:t>
      </w:r>
    </w:p>
    <w:p w14:paraId="5D7EA370" w14:textId="77777777" w:rsidR="00D87E57" w:rsidRDefault="00D87E57" w:rsidP="00D87E57">
      <w:pPr>
        <w:rPr>
          <w:rFonts w:eastAsia="Times New Roman"/>
          <w:b/>
          <w:color w:val="000000" w:themeColor="text1"/>
          <w:lang w:eastAsia="lv-LV"/>
        </w:rPr>
      </w:pPr>
      <w:r>
        <w:rPr>
          <w:rFonts w:eastAsia="Times New Roman"/>
          <w:b/>
          <w:noProof/>
          <w:color w:val="000000" w:themeColor="text1"/>
          <w:lang w:val="lv-LV" w:eastAsia="lv-LV"/>
        </w:rPr>
        <mc:AlternateContent>
          <mc:Choice Requires="wpg">
            <w:drawing>
              <wp:anchor distT="0" distB="0" distL="114300" distR="114300" simplePos="0" relativeHeight="251697664" behindDoc="0" locked="0" layoutInCell="1" allowOverlap="1" wp14:anchorId="37D2F3C3" wp14:editId="5FCA2F7E">
                <wp:simplePos x="0" y="0"/>
                <wp:positionH relativeFrom="column">
                  <wp:posOffset>23693</wp:posOffset>
                </wp:positionH>
                <wp:positionV relativeFrom="paragraph">
                  <wp:posOffset>81915</wp:posOffset>
                </wp:positionV>
                <wp:extent cx="5297016" cy="3161238"/>
                <wp:effectExtent l="0" t="0" r="18415" b="20320"/>
                <wp:wrapNone/>
                <wp:docPr id="288" name="Group 288"/>
                <wp:cNvGraphicFramePr/>
                <a:graphic xmlns:a="http://schemas.openxmlformats.org/drawingml/2006/main">
                  <a:graphicData uri="http://schemas.microsoft.com/office/word/2010/wordprocessingGroup">
                    <wpg:wgp>
                      <wpg:cNvGrpSpPr/>
                      <wpg:grpSpPr>
                        <a:xfrm>
                          <a:off x="0" y="0"/>
                          <a:ext cx="5297016" cy="3161238"/>
                          <a:chOff x="0" y="0"/>
                          <a:chExt cx="5534506" cy="3477361"/>
                        </a:xfrm>
                      </wpg:grpSpPr>
                      <wps:wsp>
                        <wps:cNvPr id="238" name="Text Box 2"/>
                        <wps:cNvSpPr txBox="1">
                          <a:spLocks noChangeArrowheads="1"/>
                        </wps:cNvSpPr>
                        <wps:spPr bwMode="auto">
                          <a:xfrm>
                            <a:off x="1606923" y="712694"/>
                            <a:ext cx="1619250" cy="395605"/>
                          </a:xfrm>
                          <a:prstGeom prst="rect">
                            <a:avLst/>
                          </a:prstGeom>
                          <a:solidFill>
                            <a:schemeClr val="bg1">
                              <a:lumMod val="95000"/>
                            </a:schemeClr>
                          </a:solidFill>
                          <a:ln w="9525">
                            <a:solidFill>
                              <a:srgbClr val="000000"/>
                            </a:solidFill>
                            <a:miter lim="800000"/>
                            <a:headEnd/>
                            <a:tailEnd/>
                          </a:ln>
                        </wps:spPr>
                        <wps:txbx>
                          <w:txbxContent>
                            <w:p w14:paraId="75A90F7D" w14:textId="77777777" w:rsidR="0047559B" w:rsidRPr="008E61C0" w:rsidRDefault="0047559B" w:rsidP="00D87E57">
                              <w:pPr>
                                <w:spacing w:before="60" w:after="60"/>
                                <w:rPr>
                                  <w:rFonts w:ascii="Calibri Light" w:hAnsi="Calibri Light"/>
                                  <w:b/>
                                  <w:sz w:val="24"/>
                                </w:rPr>
                              </w:pPr>
                              <w:r w:rsidRPr="008E61C0">
                                <w:rPr>
                                  <w:rFonts w:ascii="Calibri Light" w:hAnsi="Calibri Light"/>
                                  <w:b/>
                                  <w:sz w:val="24"/>
                                </w:rPr>
                                <w:t>Ekonomikas izaugsme</w:t>
                              </w:r>
                            </w:p>
                          </w:txbxContent>
                        </wps:txbx>
                        <wps:bodyPr rot="0" vert="horz" wrap="square" lIns="91440" tIns="45720" rIns="91440" bIns="45720" anchor="t" anchorCtr="0">
                          <a:noAutofit/>
                        </wps:bodyPr>
                      </wps:wsp>
                      <pic:pic xmlns:pic="http://schemas.openxmlformats.org/drawingml/2006/picture">
                        <pic:nvPicPr>
                          <pic:cNvPr id="255" name="Picture 255" descr="http://www.pngall.com/wp-content/uploads/2016/07/Target-PNG-Picture.pn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flipV="1">
                            <a:off x="1082488" y="329453"/>
                            <a:ext cx="352425" cy="352425"/>
                          </a:xfrm>
                          <a:prstGeom prst="rect">
                            <a:avLst/>
                          </a:prstGeom>
                          <a:noFill/>
                          <a:ln>
                            <a:noFill/>
                          </a:ln>
                        </pic:spPr>
                      </pic:pic>
                      <wps:wsp>
                        <wps:cNvPr id="239" name="Text Box 2"/>
                        <wps:cNvSpPr txBox="1">
                          <a:spLocks noChangeArrowheads="1"/>
                        </wps:cNvSpPr>
                        <wps:spPr bwMode="auto">
                          <a:xfrm>
                            <a:off x="2205318" y="443753"/>
                            <a:ext cx="400050" cy="342900"/>
                          </a:xfrm>
                          <a:prstGeom prst="rect">
                            <a:avLst/>
                          </a:prstGeom>
                          <a:noFill/>
                          <a:ln w="9525">
                            <a:noFill/>
                            <a:miter lim="800000"/>
                            <a:headEnd/>
                            <a:tailEnd/>
                          </a:ln>
                        </wps:spPr>
                        <wps:txbx>
                          <w:txbxContent>
                            <w:p w14:paraId="71C42CA9"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40" name="Text Box 2"/>
                        <wps:cNvSpPr txBox="1">
                          <a:spLocks noChangeArrowheads="1"/>
                        </wps:cNvSpPr>
                        <wps:spPr bwMode="auto">
                          <a:xfrm>
                            <a:off x="1277470" y="0"/>
                            <a:ext cx="2286000" cy="509905"/>
                          </a:xfrm>
                          <a:prstGeom prst="rect">
                            <a:avLst/>
                          </a:prstGeom>
                          <a:noFill/>
                          <a:ln w="9525">
                            <a:noFill/>
                            <a:miter lim="800000"/>
                            <a:headEnd/>
                            <a:tailEnd/>
                          </a:ln>
                        </wps:spPr>
                        <wps:txbx>
                          <w:txbxContent>
                            <w:p w14:paraId="0DF25226" w14:textId="77777777" w:rsidR="0047559B" w:rsidRPr="00E44874" w:rsidRDefault="0047559B" w:rsidP="00D87E57">
                              <w:pPr>
                                <w:spacing w:before="60" w:after="60"/>
                                <w:jc w:val="center"/>
                                <w:rPr>
                                  <w:rFonts w:ascii="Calibri Light" w:hAnsi="Calibri Light"/>
                                  <w:sz w:val="20"/>
                                </w:rPr>
                              </w:pPr>
                              <w:r w:rsidRPr="00E44874">
                                <w:rPr>
                                  <w:rFonts w:ascii="Calibri Light" w:hAnsi="Calibri Light"/>
                                  <w:sz w:val="20"/>
                                </w:rPr>
                                <w:t>Iedzīvotāju dzīves līmenis, ienākumi, labklājība</w:t>
                              </w:r>
                            </w:p>
                          </w:txbxContent>
                        </wps:txbx>
                        <wps:bodyPr rot="0" vert="horz" wrap="square" lIns="91440" tIns="45720" rIns="91440" bIns="45720" anchor="t" anchorCtr="0">
                          <a:noAutofit/>
                        </wps:bodyPr>
                      </wps:wsp>
                      <wps:wsp>
                        <wps:cNvPr id="241" name="Text Box 2"/>
                        <wps:cNvSpPr txBox="1">
                          <a:spLocks noChangeArrowheads="1"/>
                        </wps:cNvSpPr>
                        <wps:spPr bwMode="auto">
                          <a:xfrm>
                            <a:off x="2205318" y="1055594"/>
                            <a:ext cx="400050" cy="342900"/>
                          </a:xfrm>
                          <a:prstGeom prst="rect">
                            <a:avLst/>
                          </a:prstGeom>
                          <a:noFill/>
                          <a:ln w="9525">
                            <a:noFill/>
                            <a:miter lim="800000"/>
                            <a:headEnd/>
                            <a:tailEnd/>
                          </a:ln>
                        </wps:spPr>
                        <wps:txbx>
                          <w:txbxContent>
                            <w:p w14:paraId="24462DEF"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42" name="Text Box 2"/>
                        <wps:cNvSpPr txBox="1">
                          <a:spLocks noChangeArrowheads="1"/>
                        </wps:cNvSpPr>
                        <wps:spPr bwMode="auto">
                          <a:xfrm>
                            <a:off x="1277470" y="1324535"/>
                            <a:ext cx="2286000" cy="539750"/>
                          </a:xfrm>
                          <a:prstGeom prst="rect">
                            <a:avLst/>
                          </a:prstGeom>
                          <a:solidFill>
                            <a:schemeClr val="bg1">
                              <a:lumMod val="95000"/>
                            </a:schemeClr>
                          </a:solidFill>
                          <a:ln w="9525">
                            <a:solidFill>
                              <a:srgbClr val="000000"/>
                            </a:solidFill>
                            <a:miter lim="800000"/>
                            <a:headEnd/>
                            <a:tailEnd/>
                          </a:ln>
                        </wps:spPr>
                        <wps:txbx>
                          <w:txbxContent>
                            <w:p w14:paraId="335CF128" w14:textId="77777777" w:rsidR="0047559B" w:rsidRPr="008E61C0" w:rsidRDefault="0047559B" w:rsidP="00D87E57">
                              <w:pPr>
                                <w:spacing w:before="60" w:after="60"/>
                                <w:jc w:val="center"/>
                                <w:rPr>
                                  <w:rFonts w:ascii="Calibri Light" w:hAnsi="Calibri Light"/>
                                  <w:b/>
                                  <w:sz w:val="24"/>
                                </w:rPr>
                              </w:pPr>
                              <w:r w:rsidRPr="009B35EE">
                                <w:rPr>
                                  <w:rFonts w:ascii="Calibri Light" w:hAnsi="Calibri Light"/>
                                  <w:sz w:val="20"/>
                                </w:rPr>
                                <w:t>Ekonomikas attīstības dzinulis –</w:t>
                              </w:r>
                              <w:r w:rsidRPr="009B35EE">
                                <w:rPr>
                                  <w:rFonts w:ascii="Calibri Light" w:hAnsi="Calibri Light"/>
                                  <w:b/>
                                  <w:sz w:val="20"/>
                                </w:rPr>
                                <w:t xml:space="preserve"> </w:t>
                              </w:r>
                              <w:r>
                                <w:rPr>
                                  <w:rFonts w:ascii="Calibri Light" w:hAnsi="Calibri Light"/>
                                  <w:b/>
                                  <w:sz w:val="24"/>
                                </w:rPr>
                                <w:t>ienākumu pieaugums no eksporta</w:t>
                              </w:r>
                            </w:p>
                          </w:txbxContent>
                        </wps:txbx>
                        <wps:bodyPr rot="0" vert="horz" wrap="square" lIns="91440" tIns="45720" rIns="91440" bIns="45720" anchor="t" anchorCtr="0">
                          <a:noAutofit/>
                        </wps:bodyPr>
                      </wps:wsp>
                      <wps:wsp>
                        <wps:cNvPr id="243" name="Text Box 2"/>
                        <wps:cNvSpPr txBox="1">
                          <a:spLocks noChangeArrowheads="1"/>
                        </wps:cNvSpPr>
                        <wps:spPr bwMode="auto">
                          <a:xfrm>
                            <a:off x="2185147" y="1828800"/>
                            <a:ext cx="400050" cy="342900"/>
                          </a:xfrm>
                          <a:prstGeom prst="rect">
                            <a:avLst/>
                          </a:prstGeom>
                          <a:noFill/>
                          <a:ln w="9525">
                            <a:noFill/>
                            <a:miter lim="800000"/>
                            <a:headEnd/>
                            <a:tailEnd/>
                          </a:ln>
                        </wps:spPr>
                        <wps:txbx>
                          <w:txbxContent>
                            <w:p w14:paraId="0F9C6260"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44" name="Text Box 2"/>
                        <wps:cNvSpPr txBox="1">
                          <a:spLocks noChangeArrowheads="1"/>
                        </wps:cNvSpPr>
                        <wps:spPr bwMode="auto">
                          <a:xfrm>
                            <a:off x="806823" y="2084294"/>
                            <a:ext cx="3200400" cy="539750"/>
                          </a:xfrm>
                          <a:prstGeom prst="rect">
                            <a:avLst/>
                          </a:prstGeom>
                          <a:solidFill>
                            <a:schemeClr val="bg1">
                              <a:lumMod val="95000"/>
                            </a:schemeClr>
                          </a:solidFill>
                          <a:ln w="9525">
                            <a:solidFill>
                              <a:srgbClr val="000000"/>
                            </a:solidFill>
                            <a:miter lim="800000"/>
                            <a:headEnd/>
                            <a:tailEnd/>
                          </a:ln>
                        </wps:spPr>
                        <wps:txbx>
                          <w:txbxContent>
                            <w:p w14:paraId="7D76C45A" w14:textId="77777777" w:rsidR="0047559B" w:rsidRPr="008E61C0" w:rsidRDefault="0047559B" w:rsidP="00D87E57">
                              <w:pPr>
                                <w:spacing w:before="60" w:after="60"/>
                                <w:jc w:val="center"/>
                                <w:rPr>
                                  <w:rFonts w:ascii="Calibri Light" w:hAnsi="Calibri Light"/>
                                  <w:b/>
                                  <w:sz w:val="24"/>
                                </w:rPr>
                              </w:pPr>
                              <w:r w:rsidRPr="00D17A72">
                                <w:rPr>
                                  <w:rFonts w:ascii="Calibri Light" w:hAnsi="Calibri Light"/>
                                  <w:sz w:val="20"/>
                                </w:rPr>
                                <w:t xml:space="preserve">Eksporta pieaugumam izšķiroša ir globālā konkurētspēja </w:t>
                              </w:r>
                              <w:r>
                                <w:rPr>
                                  <w:rFonts w:ascii="Calibri Light" w:hAnsi="Calibri Light"/>
                                  <w:sz w:val="24"/>
                                </w:rPr>
                                <w:t xml:space="preserve">– </w:t>
                              </w:r>
                              <w:r w:rsidRPr="00D17A72">
                                <w:rPr>
                                  <w:rFonts w:ascii="Calibri Light" w:hAnsi="Calibri Light"/>
                                  <w:b/>
                                  <w:sz w:val="24"/>
                                </w:rPr>
                                <w:t>produktivitātes palielināšana</w:t>
                              </w:r>
                            </w:p>
                          </w:txbxContent>
                        </wps:txbx>
                        <wps:bodyPr rot="0" vert="horz" wrap="square" lIns="91440" tIns="45720" rIns="91440" bIns="45720" anchor="t" anchorCtr="0">
                          <a:noAutofit/>
                        </wps:bodyPr>
                      </wps:wsp>
                      <wps:wsp>
                        <wps:cNvPr id="245" name="Text Box 2"/>
                        <wps:cNvSpPr txBox="1">
                          <a:spLocks noChangeArrowheads="1"/>
                        </wps:cNvSpPr>
                        <wps:spPr bwMode="auto">
                          <a:xfrm>
                            <a:off x="0" y="3018865"/>
                            <a:ext cx="1428750" cy="457200"/>
                          </a:xfrm>
                          <a:prstGeom prst="rect">
                            <a:avLst/>
                          </a:prstGeom>
                          <a:solidFill>
                            <a:schemeClr val="bg1">
                              <a:lumMod val="95000"/>
                            </a:schemeClr>
                          </a:solidFill>
                          <a:ln w="9525">
                            <a:solidFill>
                              <a:srgbClr val="000000"/>
                            </a:solidFill>
                            <a:miter lim="800000"/>
                            <a:headEnd/>
                            <a:tailEnd/>
                          </a:ln>
                        </wps:spPr>
                        <wps:txbx>
                          <w:txbxContent>
                            <w:p w14:paraId="5057BBD6" w14:textId="77777777" w:rsidR="0047559B" w:rsidRPr="00E44874" w:rsidRDefault="0047559B" w:rsidP="00D87E57">
                              <w:pPr>
                                <w:spacing w:before="60" w:after="60"/>
                                <w:jc w:val="center"/>
                                <w:rPr>
                                  <w:rFonts w:ascii="Calibri Light" w:hAnsi="Calibri Light"/>
                                  <w:sz w:val="16"/>
                                  <w:szCs w:val="16"/>
                                </w:rPr>
                              </w:pPr>
                              <w:r>
                                <w:rPr>
                                  <w:rFonts w:ascii="Calibri Light" w:hAnsi="Calibri Light"/>
                                  <w:b/>
                                  <w:sz w:val="24"/>
                                </w:rPr>
                                <w:t xml:space="preserve">Investīcijas </w:t>
                              </w:r>
                              <w:r>
                                <w:rPr>
                                  <w:rFonts w:ascii="Calibri Light" w:hAnsi="Calibri Light"/>
                                  <w:b/>
                                  <w:sz w:val="24"/>
                                </w:rPr>
                                <w:br/>
                              </w:r>
                              <w:r w:rsidRPr="00E44874">
                                <w:rPr>
                                  <w:rFonts w:ascii="Calibri Light" w:hAnsi="Calibri Light"/>
                                  <w:sz w:val="14"/>
                                  <w:szCs w:val="16"/>
                                </w:rPr>
                                <w:t>(vietējās &amp; ārvalstu)</w:t>
                              </w:r>
                            </w:p>
                            <w:p w14:paraId="50CDE66B" w14:textId="77777777" w:rsidR="0047559B" w:rsidRPr="008E61C0" w:rsidRDefault="0047559B" w:rsidP="00D87E57">
                              <w:pPr>
                                <w:spacing w:before="60" w:after="60"/>
                                <w:jc w:val="center"/>
                                <w:rPr>
                                  <w:rFonts w:ascii="Calibri Light" w:hAnsi="Calibri Light"/>
                                  <w:b/>
                                  <w:sz w:val="24"/>
                                </w:rPr>
                              </w:pPr>
                            </w:p>
                          </w:txbxContent>
                        </wps:txbx>
                        <wps:bodyPr rot="0" vert="horz" wrap="square" lIns="91440" tIns="45720" rIns="91440" bIns="45720" anchor="t" anchorCtr="0">
                          <a:noAutofit/>
                        </wps:bodyPr>
                      </wps:wsp>
                      <wps:wsp>
                        <wps:cNvPr id="246" name="Text Box 2"/>
                        <wps:cNvSpPr txBox="1">
                          <a:spLocks noChangeArrowheads="1"/>
                        </wps:cNvSpPr>
                        <wps:spPr bwMode="auto">
                          <a:xfrm>
                            <a:off x="1492623" y="3018865"/>
                            <a:ext cx="1428750" cy="457200"/>
                          </a:xfrm>
                          <a:prstGeom prst="rect">
                            <a:avLst/>
                          </a:prstGeom>
                          <a:solidFill>
                            <a:schemeClr val="bg1">
                              <a:lumMod val="95000"/>
                            </a:schemeClr>
                          </a:solidFill>
                          <a:ln w="9525">
                            <a:solidFill>
                              <a:srgbClr val="000000"/>
                            </a:solidFill>
                            <a:miter lim="800000"/>
                            <a:headEnd/>
                            <a:tailEnd/>
                          </a:ln>
                        </wps:spPr>
                        <wps:txbx>
                          <w:txbxContent>
                            <w:p w14:paraId="060D835F"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Inovācija</w:t>
                              </w:r>
                            </w:p>
                          </w:txbxContent>
                        </wps:txbx>
                        <wps:bodyPr rot="0" vert="horz" wrap="square" lIns="91440" tIns="45720" rIns="91440" bIns="45720" anchor="t" anchorCtr="0">
                          <a:noAutofit/>
                        </wps:bodyPr>
                      </wps:wsp>
                      <wps:wsp>
                        <wps:cNvPr id="247" name="Text Box 2"/>
                        <wps:cNvSpPr txBox="1">
                          <a:spLocks noChangeArrowheads="1"/>
                        </wps:cNvSpPr>
                        <wps:spPr bwMode="auto">
                          <a:xfrm>
                            <a:off x="2965076" y="3025588"/>
                            <a:ext cx="1428750" cy="448310"/>
                          </a:xfrm>
                          <a:prstGeom prst="rect">
                            <a:avLst/>
                          </a:prstGeom>
                          <a:solidFill>
                            <a:schemeClr val="bg1">
                              <a:lumMod val="95000"/>
                            </a:schemeClr>
                          </a:solidFill>
                          <a:ln w="9525">
                            <a:solidFill>
                              <a:srgbClr val="000000"/>
                            </a:solidFill>
                            <a:miter lim="800000"/>
                            <a:headEnd/>
                            <a:tailEnd/>
                          </a:ln>
                        </wps:spPr>
                        <wps:txbx>
                          <w:txbxContent>
                            <w:p w14:paraId="4F758796"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Cilvēkkapitāls</w:t>
                              </w:r>
                            </w:p>
                          </w:txbxContent>
                        </wps:txbx>
                        <wps:bodyPr rot="0" vert="horz" wrap="square" lIns="91440" tIns="45720" rIns="91440" bIns="45720" anchor="t" anchorCtr="0">
                          <a:noAutofit/>
                        </wps:bodyPr>
                      </wps:wsp>
                      <wps:wsp>
                        <wps:cNvPr id="248" name="Text Box 2"/>
                        <wps:cNvSpPr txBox="1">
                          <a:spLocks noChangeArrowheads="1"/>
                        </wps:cNvSpPr>
                        <wps:spPr bwMode="auto">
                          <a:xfrm>
                            <a:off x="921123" y="2675965"/>
                            <a:ext cx="400050" cy="342900"/>
                          </a:xfrm>
                          <a:prstGeom prst="rect">
                            <a:avLst/>
                          </a:prstGeom>
                          <a:noFill/>
                          <a:ln w="9525">
                            <a:noFill/>
                            <a:miter lim="800000"/>
                            <a:headEnd/>
                            <a:tailEnd/>
                          </a:ln>
                        </wps:spPr>
                        <wps:txbx>
                          <w:txbxContent>
                            <w:p w14:paraId="6ADF688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49" name="Text Box 2"/>
                        <wps:cNvSpPr txBox="1">
                          <a:spLocks noChangeArrowheads="1"/>
                        </wps:cNvSpPr>
                        <wps:spPr bwMode="auto">
                          <a:xfrm>
                            <a:off x="2965076" y="2675965"/>
                            <a:ext cx="400050" cy="342900"/>
                          </a:xfrm>
                          <a:prstGeom prst="rect">
                            <a:avLst/>
                          </a:prstGeom>
                          <a:noFill/>
                          <a:ln w="9525">
                            <a:noFill/>
                            <a:miter lim="800000"/>
                            <a:headEnd/>
                            <a:tailEnd/>
                          </a:ln>
                        </wps:spPr>
                        <wps:txbx>
                          <w:txbxContent>
                            <w:p w14:paraId="17BAA1A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50" name="Text Box 2"/>
                        <wps:cNvSpPr txBox="1">
                          <a:spLocks noChangeArrowheads="1"/>
                        </wps:cNvSpPr>
                        <wps:spPr bwMode="auto">
                          <a:xfrm>
                            <a:off x="1949823" y="2655794"/>
                            <a:ext cx="400050" cy="342900"/>
                          </a:xfrm>
                          <a:prstGeom prst="rect">
                            <a:avLst/>
                          </a:prstGeom>
                          <a:noFill/>
                          <a:ln w="9525">
                            <a:noFill/>
                            <a:miter lim="800000"/>
                            <a:headEnd/>
                            <a:tailEnd/>
                          </a:ln>
                        </wps:spPr>
                        <wps:txbx>
                          <w:txbxContent>
                            <w:p w14:paraId="6DD8083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51" name="Text Box 2"/>
                        <wps:cNvSpPr txBox="1">
                          <a:spLocks noChangeArrowheads="1"/>
                        </wps:cNvSpPr>
                        <wps:spPr bwMode="auto">
                          <a:xfrm rot="16200000">
                            <a:off x="3960723" y="1903578"/>
                            <a:ext cx="2421761" cy="725805"/>
                          </a:xfrm>
                          <a:prstGeom prst="rect">
                            <a:avLst/>
                          </a:prstGeom>
                          <a:solidFill>
                            <a:schemeClr val="bg1">
                              <a:lumMod val="95000"/>
                            </a:schemeClr>
                          </a:solidFill>
                          <a:ln w="9525">
                            <a:solidFill>
                              <a:srgbClr val="000000"/>
                            </a:solidFill>
                            <a:miter lim="800000"/>
                            <a:headEnd/>
                            <a:tailEnd/>
                          </a:ln>
                        </wps:spPr>
                        <wps:txbx>
                          <w:txbxContent>
                            <w:p w14:paraId="13C0E913" w14:textId="77777777" w:rsidR="0047559B" w:rsidRDefault="0047559B" w:rsidP="00D87E57">
                              <w:pPr>
                                <w:spacing w:before="60" w:after="60"/>
                                <w:jc w:val="center"/>
                                <w:rPr>
                                  <w:rFonts w:ascii="Calibri Light" w:hAnsi="Calibri Light"/>
                                  <w:b/>
                                  <w:sz w:val="24"/>
                                </w:rPr>
                              </w:pPr>
                              <w:r>
                                <w:rPr>
                                  <w:rFonts w:ascii="Calibri Light" w:hAnsi="Calibri Light"/>
                                  <w:b/>
                                  <w:sz w:val="24"/>
                                </w:rPr>
                                <w:t>Institucionālais ietvars:</w:t>
                              </w:r>
                            </w:p>
                            <w:p w14:paraId="6ABA3A5E"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sidRPr="00D4308A">
                                <w:rPr>
                                  <w:rFonts w:ascii="Calibri Light" w:hAnsi="Calibri Light"/>
                                  <w:b/>
                                  <w:sz w:val="18"/>
                                </w:rPr>
                                <w:t>uzņēmējdarbības vide</w:t>
                              </w:r>
                              <w:r>
                                <w:rPr>
                                  <w:rFonts w:ascii="Calibri Light" w:hAnsi="Calibri Light"/>
                                  <w:b/>
                                  <w:sz w:val="18"/>
                                </w:rPr>
                                <w:t>s kvalitāte</w:t>
                              </w:r>
                            </w:p>
                            <w:p w14:paraId="055E1865"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Pr>
                                  <w:rFonts w:ascii="Calibri Light" w:hAnsi="Calibri Light"/>
                                  <w:b/>
                                  <w:sz w:val="18"/>
                                </w:rPr>
                                <w:t>pārvaldības efektivitāte</w:t>
                              </w:r>
                            </w:p>
                            <w:p w14:paraId="05DA91EB" w14:textId="77777777" w:rsidR="0047559B" w:rsidRPr="008E61C0" w:rsidRDefault="0047559B" w:rsidP="00D87E57">
                              <w:pPr>
                                <w:spacing w:before="60" w:after="60"/>
                                <w:rPr>
                                  <w:rFonts w:ascii="Calibri Light" w:hAnsi="Calibri Light"/>
                                  <w:b/>
                                  <w:sz w:val="24"/>
                                </w:rPr>
                              </w:pPr>
                            </w:p>
                          </w:txbxContent>
                        </wps:txbx>
                        <wps:bodyPr rot="0" vert="horz" wrap="square" lIns="91440" tIns="45720" rIns="91440" bIns="45720" anchor="t" anchorCtr="0">
                          <a:noAutofit/>
                        </wps:bodyPr>
                      </wps:wsp>
                      <wps:wsp>
                        <wps:cNvPr id="252" name="Text Box 2"/>
                        <wps:cNvSpPr txBox="1">
                          <a:spLocks noChangeArrowheads="1"/>
                        </wps:cNvSpPr>
                        <wps:spPr bwMode="auto">
                          <a:xfrm rot="16200000">
                            <a:off x="4400550" y="1428750"/>
                            <a:ext cx="400050" cy="342900"/>
                          </a:xfrm>
                          <a:prstGeom prst="rect">
                            <a:avLst/>
                          </a:prstGeom>
                          <a:noFill/>
                          <a:ln w="9525">
                            <a:noFill/>
                            <a:miter lim="800000"/>
                            <a:headEnd/>
                            <a:tailEnd/>
                          </a:ln>
                        </wps:spPr>
                        <wps:txbx>
                          <w:txbxContent>
                            <w:p w14:paraId="2D1C92D4"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53" name="Text Box 2"/>
                        <wps:cNvSpPr txBox="1">
                          <a:spLocks noChangeArrowheads="1"/>
                        </wps:cNvSpPr>
                        <wps:spPr bwMode="auto">
                          <a:xfrm rot="16200000">
                            <a:off x="4420720" y="3022227"/>
                            <a:ext cx="400050" cy="342900"/>
                          </a:xfrm>
                          <a:prstGeom prst="rect">
                            <a:avLst/>
                          </a:prstGeom>
                          <a:noFill/>
                          <a:ln w="9525">
                            <a:noFill/>
                            <a:miter lim="800000"/>
                            <a:headEnd/>
                            <a:tailEnd/>
                          </a:ln>
                        </wps:spPr>
                        <wps:txbx>
                          <w:txbxContent>
                            <w:p w14:paraId="3C399A2B"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s:wsp>
                        <wps:cNvPr id="254" name="Text Box 2"/>
                        <wps:cNvSpPr txBox="1">
                          <a:spLocks noChangeArrowheads="1"/>
                        </wps:cNvSpPr>
                        <wps:spPr bwMode="auto">
                          <a:xfrm rot="16200000">
                            <a:off x="4400550" y="2181785"/>
                            <a:ext cx="400050" cy="342900"/>
                          </a:xfrm>
                          <a:prstGeom prst="rect">
                            <a:avLst/>
                          </a:prstGeom>
                          <a:noFill/>
                          <a:ln w="9525">
                            <a:noFill/>
                            <a:miter lim="800000"/>
                            <a:headEnd/>
                            <a:tailEnd/>
                          </a:ln>
                        </wps:spPr>
                        <wps:txbx>
                          <w:txbxContent>
                            <w:p w14:paraId="08DC449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D2F3C3" id="Group 288" o:spid="_x0000_s1053" style="position:absolute;left:0;text-align:left;margin-left:1.85pt;margin-top:6.45pt;width:417.1pt;height:248.9pt;z-index:251697664;mso-position-horizontal-relative:text;mso-position-vertical-relative:text;mso-width-relative:margin;mso-height-relative:margin" coordsize="55345,3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">
                <v:shape id="_x0000_s1054" type="#_x0000_t202" style="position:absolute;left:16069;top:7126;width:16192;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axMIA&#10;AADcAAAADwAAAGRycy9kb3ducmV2LnhtbERPy2rCQBTdC/7DcIXudFILQVMnUloKJVCKiS66u2Zu&#10;Hpi5E2ZGTf++syh0eTjv3X4yg7iR871lBY+rBARxbXXPrYJj9b7cgPABWeNgmRT8kId9Pp/tMNP2&#10;zge6laEVMYR9hgq6EMZMSl93ZNCv7EgcucY6gyFC10rt8B7DzSDXSZJKgz3Hhg5Heu2ovpRXo8B8&#10;nrn45sJqfa3cW0i/TrRtlHpYTC/PIAJN4V/85/7QCtZP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NrEwgAAANwAAAAPAAAAAAAAAAAAAAAAAJgCAABkcnMvZG93&#10;bnJldi54bWxQSwUGAAAAAAQABAD1AAAAhwMAAAAA&#10;" fillcolor="#f2f2f2 [3052]">
                  <v:textbox>
                    <w:txbxContent>
                      <w:p w14:paraId="75A90F7D" w14:textId="77777777" w:rsidR="0047559B" w:rsidRPr="008E61C0" w:rsidRDefault="0047559B" w:rsidP="00D87E57">
                        <w:pPr>
                          <w:spacing w:before="60" w:after="60"/>
                          <w:rPr>
                            <w:rFonts w:ascii="Calibri Light" w:hAnsi="Calibri Light"/>
                            <w:b/>
                            <w:sz w:val="24"/>
                          </w:rPr>
                        </w:pPr>
                        <w:r w:rsidRPr="008E61C0">
                          <w:rPr>
                            <w:rFonts w:ascii="Calibri Light" w:hAnsi="Calibri Light"/>
                            <w:b/>
                            <w:sz w:val="24"/>
                          </w:rPr>
                          <w:t>Ekonomikas izaugsme</w:t>
                        </w:r>
                      </w:p>
                    </w:txbxContent>
                  </v:textbox>
                </v:shape>
                <v:shape id="Picture 255" o:spid="_x0000_s1055" type="#_x0000_t75" alt="http://www.pngall.com/wp-content/uploads/2016/07/Target-PNG-Picture.png" style="position:absolute;left:10824;top:3294;width:3525;height:3524;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XnrAAAAA3AAAAA8AAABkcnMvZG93bnJldi54bWxEj82qwjAUhPeC7xCO4E5TC4pUo6gg6vL6&#10;Ay7Pbc5tis1JaaLWt78RBJfDzHzDzJetrcSDGl86VjAaJiCIc6dLLhScT9vBFIQPyBorx6TgRR6W&#10;i25njpl2T/6hxzEUIkLYZ6jAhFBnUvrckEU/dDVx9P5cYzFE2RRSN/iMcFvJNEkm0mLJccFgTRtD&#10;+e14twrur/UvpdPd4XrZ0EjXks0JWal+r13NQARqwzf8ae+1gnQ8hveZeAT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xeesAAAADcAAAADwAAAAAAAAAAAAAAAACfAgAA&#10;ZHJzL2Rvd25yZXYueG1sUEsFBgAAAAAEAAQA9wAAAIwDAAAAAA==&#10;">
                  <v:imagedata r:id="rId81" o:title="Target-PNG-Picture"/>
                  <v:path arrowok="t"/>
                </v:shape>
                <v:shape id="_x0000_s1056" type="#_x0000_t202" style="position:absolute;left:22053;top:4437;width:40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71C42CA9"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57" type="#_x0000_t202" style="position:absolute;left:12774;width:22860;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0DF25226" w14:textId="77777777" w:rsidR="0047559B" w:rsidRPr="00E44874" w:rsidRDefault="0047559B" w:rsidP="00D87E57">
                        <w:pPr>
                          <w:spacing w:before="60" w:after="60"/>
                          <w:jc w:val="center"/>
                          <w:rPr>
                            <w:rFonts w:ascii="Calibri Light" w:hAnsi="Calibri Light"/>
                            <w:sz w:val="20"/>
                          </w:rPr>
                        </w:pPr>
                        <w:r w:rsidRPr="00E44874">
                          <w:rPr>
                            <w:rFonts w:ascii="Calibri Light" w:hAnsi="Calibri Light"/>
                            <w:sz w:val="20"/>
                          </w:rPr>
                          <w:t>Iedzīvotāju dzīves līmenis, ienākumi, labklājība</w:t>
                        </w:r>
                      </w:p>
                    </w:txbxContent>
                  </v:textbox>
                </v:shape>
                <v:shape id="_x0000_s1058" type="#_x0000_t202" style="position:absolute;left:22053;top:10555;width:40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24462DEF"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59" type="#_x0000_t202" style="position:absolute;left:12774;top:13245;width:2286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eU8UA&#10;AADcAAAADwAAAGRycy9kb3ducmV2LnhtbESPzWrDMBCE74W8g9hAbo0cE0zrRgkhoVAMoTQ/h962&#10;1sY2tVZGkh3n7atCocdhZr5hVpvRtGIg5xvLChbzBARxaXXDlYLz6fXxCYQPyBpby6TgTh4268nD&#10;CnNtb/xBwzFUIkLY56igDqHLpfRlTQb93HbE0btaZzBE6SqpHd4i3LQyTZJMGmw4LtTY0a6m8vvY&#10;GwXm8MXFJxdW6/7k9iF7v9DzVanZdNy+gAg0hv/wX/tNK0iX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p5TxQAAANwAAAAPAAAAAAAAAAAAAAAAAJgCAABkcnMv&#10;ZG93bnJldi54bWxQSwUGAAAAAAQABAD1AAAAigMAAAAA&#10;" fillcolor="#f2f2f2 [3052]">
                  <v:textbox>
                    <w:txbxContent>
                      <w:p w14:paraId="335CF128" w14:textId="77777777" w:rsidR="0047559B" w:rsidRPr="008E61C0" w:rsidRDefault="0047559B" w:rsidP="00D87E57">
                        <w:pPr>
                          <w:spacing w:before="60" w:after="60"/>
                          <w:jc w:val="center"/>
                          <w:rPr>
                            <w:rFonts w:ascii="Calibri Light" w:hAnsi="Calibri Light"/>
                            <w:b/>
                            <w:sz w:val="24"/>
                          </w:rPr>
                        </w:pPr>
                        <w:r w:rsidRPr="009B35EE">
                          <w:rPr>
                            <w:rFonts w:ascii="Calibri Light" w:hAnsi="Calibri Light"/>
                            <w:sz w:val="20"/>
                          </w:rPr>
                          <w:t>Ekonomikas attīstības dzinulis –</w:t>
                        </w:r>
                        <w:r w:rsidRPr="009B35EE">
                          <w:rPr>
                            <w:rFonts w:ascii="Calibri Light" w:hAnsi="Calibri Light"/>
                            <w:b/>
                            <w:sz w:val="20"/>
                          </w:rPr>
                          <w:t xml:space="preserve"> </w:t>
                        </w:r>
                        <w:r>
                          <w:rPr>
                            <w:rFonts w:ascii="Calibri Light" w:hAnsi="Calibri Light"/>
                            <w:b/>
                            <w:sz w:val="24"/>
                          </w:rPr>
                          <w:t>ienākumu pieaugums no eksporta</w:t>
                        </w:r>
                      </w:p>
                    </w:txbxContent>
                  </v:textbox>
                </v:shape>
                <v:shape id="_x0000_s1060" type="#_x0000_t202" style="position:absolute;left:21851;top:18288;width:40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0F9C6260"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61" type="#_x0000_t202" style="position:absolute;left:8068;top:20842;width:32004;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vMUA&#10;AADcAAAADwAAAGRycy9kb3ducmV2LnhtbESPQWvCQBSE7wX/w/IKvTWbioQ2zSpFEUpApKY99Paa&#10;fSah2bdhd9X4711B8DjMzDdMsRhNL47kfGdZwUuSgiCure64UfBdrZ9fQfiArLG3TArO5GExnzwU&#10;mGt74i867kIjIoR9jgraEIZcSl+3ZNAndiCO3t46gyFK10jt8BThppfTNM2kwY7jQosDLVuq/3cH&#10;o8Bs/rj85dJqfajcKmTbH3rbK/X0OH68gwg0hnv41v7UCqazGVzPx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6O8xQAAANwAAAAPAAAAAAAAAAAAAAAAAJgCAABkcnMv&#10;ZG93bnJldi54bWxQSwUGAAAAAAQABAD1AAAAigMAAAAA&#10;" fillcolor="#f2f2f2 [3052]">
                  <v:textbox>
                    <w:txbxContent>
                      <w:p w14:paraId="7D76C45A" w14:textId="77777777" w:rsidR="0047559B" w:rsidRPr="008E61C0" w:rsidRDefault="0047559B" w:rsidP="00D87E57">
                        <w:pPr>
                          <w:spacing w:before="60" w:after="60"/>
                          <w:jc w:val="center"/>
                          <w:rPr>
                            <w:rFonts w:ascii="Calibri Light" w:hAnsi="Calibri Light"/>
                            <w:b/>
                            <w:sz w:val="24"/>
                          </w:rPr>
                        </w:pPr>
                        <w:r w:rsidRPr="00D17A72">
                          <w:rPr>
                            <w:rFonts w:ascii="Calibri Light" w:hAnsi="Calibri Light"/>
                            <w:sz w:val="20"/>
                          </w:rPr>
                          <w:t xml:space="preserve">Eksporta pieaugumam izšķiroša ir globālā konkurētspēja </w:t>
                        </w:r>
                        <w:r>
                          <w:rPr>
                            <w:rFonts w:ascii="Calibri Light" w:hAnsi="Calibri Light"/>
                            <w:sz w:val="24"/>
                          </w:rPr>
                          <w:t xml:space="preserve">– </w:t>
                        </w:r>
                        <w:r w:rsidRPr="00D17A72">
                          <w:rPr>
                            <w:rFonts w:ascii="Calibri Light" w:hAnsi="Calibri Light"/>
                            <w:b/>
                            <w:sz w:val="24"/>
                          </w:rPr>
                          <w:t>produktivitātes palielināšana</w:t>
                        </w:r>
                      </w:p>
                    </w:txbxContent>
                  </v:textbox>
                </v:shape>
                <v:shape id="_x0000_s1062" type="#_x0000_t202" style="position:absolute;top:30188;width:14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GJ8MA&#10;AADcAAAADwAAAGRycy9kb3ducmV2LnhtbESPT4vCMBTE7wt+h/AEb2uquKLVKKIIIsjiv4O3Z/Ns&#10;i81LSaJ2v71ZWNjjMDO/YabzxlTiSc6XlhX0ugkI4szqknMFp+P6cwTCB2SNlWVS8EMe5rPWxxRT&#10;bV+8p+ch5CJC2KeooAihTqX0WUEGfdfWxNG7WWcwROlyqR2+ItxUsp8kQ2mw5LhQYE3LgrL74WEU&#10;mN2VtxfeWq0fR7cKw+8zjW9KddrNYgIiUBP+w3/tjVbQH3zB75l4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sGJ8MAAADcAAAADwAAAAAAAAAAAAAAAACYAgAAZHJzL2Rv&#10;d25yZXYueG1sUEsFBgAAAAAEAAQA9QAAAIgDAAAAAA==&#10;" fillcolor="#f2f2f2 [3052]">
                  <v:textbox>
                    <w:txbxContent>
                      <w:p w14:paraId="5057BBD6" w14:textId="77777777" w:rsidR="0047559B" w:rsidRPr="00E44874" w:rsidRDefault="0047559B" w:rsidP="00D87E57">
                        <w:pPr>
                          <w:spacing w:before="60" w:after="60"/>
                          <w:jc w:val="center"/>
                          <w:rPr>
                            <w:rFonts w:ascii="Calibri Light" w:hAnsi="Calibri Light"/>
                            <w:sz w:val="16"/>
                            <w:szCs w:val="16"/>
                          </w:rPr>
                        </w:pPr>
                        <w:r>
                          <w:rPr>
                            <w:rFonts w:ascii="Calibri Light" w:hAnsi="Calibri Light"/>
                            <w:b/>
                            <w:sz w:val="24"/>
                          </w:rPr>
                          <w:t xml:space="preserve">Investīcijas </w:t>
                        </w:r>
                        <w:r>
                          <w:rPr>
                            <w:rFonts w:ascii="Calibri Light" w:hAnsi="Calibri Light"/>
                            <w:b/>
                            <w:sz w:val="24"/>
                          </w:rPr>
                          <w:br/>
                        </w:r>
                        <w:r w:rsidRPr="00E44874">
                          <w:rPr>
                            <w:rFonts w:ascii="Calibri Light" w:hAnsi="Calibri Light"/>
                            <w:sz w:val="14"/>
                            <w:szCs w:val="16"/>
                          </w:rPr>
                          <w:t>(vietējās &amp; ārvalstu)</w:t>
                        </w:r>
                      </w:p>
                      <w:p w14:paraId="50CDE66B" w14:textId="77777777" w:rsidR="0047559B" w:rsidRPr="008E61C0" w:rsidRDefault="0047559B" w:rsidP="00D87E57">
                        <w:pPr>
                          <w:spacing w:before="60" w:after="60"/>
                          <w:jc w:val="center"/>
                          <w:rPr>
                            <w:rFonts w:ascii="Calibri Light" w:hAnsi="Calibri Light"/>
                            <w:b/>
                            <w:sz w:val="24"/>
                          </w:rPr>
                        </w:pPr>
                      </w:p>
                    </w:txbxContent>
                  </v:textbox>
                </v:shape>
                <v:shape id="_x0000_s1063" type="#_x0000_t202" style="position:absolute;left:14926;top:30188;width:14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YUMUA&#10;AADcAAAADwAAAGRycy9kb3ducmV2LnhtbESPQWvCQBSE7wX/w/IEb81GkdCmriJKoQSkNNFDb6/Z&#10;ZxKafRt2V43/vlso9DjMzDfMajOaXlzJ+c6ygnmSgiCure64UXCsXh+fQPiArLG3TAru5GGznjys&#10;MNf2xh90LUMjIoR9jgraEIZcSl+3ZNAndiCO3tk6gyFK10jt8BbhppeLNM2kwY7jQosD7Vqqv8uL&#10;UWAOX1x8cmG1vlRuH7L3Ez2flZpNx+0LiEBj+A//td+0gsUy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ZhQxQAAANwAAAAPAAAAAAAAAAAAAAAAAJgCAABkcnMv&#10;ZG93bnJldi54bWxQSwUGAAAAAAQABAD1AAAAigMAAAAA&#10;" fillcolor="#f2f2f2 [3052]">
                  <v:textbox>
                    <w:txbxContent>
                      <w:p w14:paraId="060D835F"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Inovācija</w:t>
                        </w:r>
                      </w:p>
                    </w:txbxContent>
                  </v:textbox>
                </v:shape>
                <v:shape id="_x0000_s1064" type="#_x0000_t202" style="position:absolute;left:29650;top:30255;width:1428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9y8QA&#10;AADcAAAADwAAAGRycy9kb3ducmV2LnhtbESPT4vCMBTE7wt+h/AEb5oq4rrVKKIIIsjinz3s7W3z&#10;bIvNS0mi1m9vBGGPw8z8hpnOG1OJGzlfWlbQ7yUgiDOrS84VnI7r7hiED8gaK8uk4EEe5rPWxxRT&#10;be+8p9sh5CJC2KeooAihTqX0WUEGfc/WxNE7W2cwROlyqR3eI9xUcpAkI2mw5LhQYE3LgrLL4WoU&#10;mN0fb395a7W+Ht0qjL5/6OusVKfdLCYgAjXhP/xub7SCwfAT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PcvEAAAA3AAAAA8AAAAAAAAAAAAAAAAAmAIAAGRycy9k&#10;b3ducmV2LnhtbFBLBQYAAAAABAAEAPUAAACJAwAAAAA=&#10;" fillcolor="#f2f2f2 [3052]">
                  <v:textbox>
                    <w:txbxContent>
                      <w:p w14:paraId="4F758796"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Cilvēkkapitāls</w:t>
                        </w:r>
                      </w:p>
                    </w:txbxContent>
                  </v:textbox>
                </v:shape>
                <v:shape id="_x0000_s1065" type="#_x0000_t202" style="position:absolute;left:9211;top:26759;width:40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6ADF688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66" type="#_x0000_t202" style="position:absolute;left:29650;top:26759;width:4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17BAA1A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67" type="#_x0000_t202" style="position:absolute;left:19498;top:26557;width:40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14:paraId="6DD8083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68" type="#_x0000_t202" style="position:absolute;left:39607;top:19036;width:24217;height:72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saccA&#10;AADcAAAADwAAAGRycy9kb3ducmV2LnhtbESPQWvCQBSE70L/w/KEXkQ3RlokZiPSYikISq2C3h7Z&#10;Z5KafZtmtxr/fVco9DjMzDdMOu9MLS7UusqygvEoAkGcW11xoWD3uRxOQTiPrLG2TApu5GCePfRS&#10;TLS98gddtr4QAcIuQQWl900ipctLMuhGtiEO3sm2Bn2QbSF1i9cAN7WMo+hZGqw4LJTY0EtJ+Xn7&#10;YxS86en35KZjPG4OXf31uhos93Kt1GO/W8xAeOr8f/iv/a4VxE9juJ8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DbGnHAAAA3AAAAA8AAAAAAAAAAAAAAAAAmAIAAGRy&#10;cy9kb3ducmV2LnhtbFBLBQYAAAAABAAEAPUAAACMAwAAAAA=&#10;" fillcolor="#f2f2f2 [3052]">
                  <v:textbox>
                    <w:txbxContent>
                      <w:p w14:paraId="13C0E913" w14:textId="77777777" w:rsidR="0047559B" w:rsidRDefault="0047559B" w:rsidP="00D87E57">
                        <w:pPr>
                          <w:spacing w:before="60" w:after="60"/>
                          <w:jc w:val="center"/>
                          <w:rPr>
                            <w:rFonts w:ascii="Calibri Light" w:hAnsi="Calibri Light"/>
                            <w:b/>
                            <w:sz w:val="24"/>
                          </w:rPr>
                        </w:pPr>
                        <w:r>
                          <w:rPr>
                            <w:rFonts w:ascii="Calibri Light" w:hAnsi="Calibri Light"/>
                            <w:b/>
                            <w:sz w:val="24"/>
                          </w:rPr>
                          <w:t>Institucionālais ietvars:</w:t>
                        </w:r>
                      </w:p>
                      <w:p w14:paraId="6ABA3A5E"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sidRPr="00D4308A">
                          <w:rPr>
                            <w:rFonts w:ascii="Calibri Light" w:hAnsi="Calibri Light"/>
                            <w:b/>
                            <w:sz w:val="18"/>
                          </w:rPr>
                          <w:t>uzņēmējdarbības vide</w:t>
                        </w:r>
                        <w:r>
                          <w:rPr>
                            <w:rFonts w:ascii="Calibri Light" w:hAnsi="Calibri Light"/>
                            <w:b/>
                            <w:sz w:val="18"/>
                          </w:rPr>
                          <w:t>s kvalitāte</w:t>
                        </w:r>
                      </w:p>
                      <w:p w14:paraId="055E1865"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Pr>
                            <w:rFonts w:ascii="Calibri Light" w:hAnsi="Calibri Light"/>
                            <w:b/>
                            <w:sz w:val="18"/>
                          </w:rPr>
                          <w:t>pārvaldības efektivitāte</w:t>
                        </w:r>
                      </w:p>
                      <w:p w14:paraId="05DA91EB" w14:textId="77777777" w:rsidR="0047559B" w:rsidRPr="008E61C0" w:rsidRDefault="0047559B" w:rsidP="00D87E57">
                        <w:pPr>
                          <w:spacing w:before="60" w:after="60"/>
                          <w:rPr>
                            <w:rFonts w:ascii="Calibri Light" w:hAnsi="Calibri Light"/>
                            <w:b/>
                            <w:sz w:val="24"/>
                          </w:rPr>
                        </w:pPr>
                      </w:p>
                    </w:txbxContent>
                  </v:textbox>
                </v:shape>
                <v:shape id="_x0000_s1069" type="#_x0000_t202" style="position:absolute;left:44005;top:14287;width:400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T8sEA&#10;AADcAAAADwAAAGRycy9kb3ducmV2LnhtbESPQWvCQBSE74X+h+UVvJS6MaCU1FVaRfBq1Psj+0xC&#10;s29D9mmSf+8KgsdhZr5hluvBNepGXag9G5hNE1DEhbc1lwZOx93XN6ggyBYbz2RgpADr1fvbEjPr&#10;ez7QLZdSRQiHDA1UIm2mdSgqchimviWO3sV3DiXKrtS2wz7CXaPTJFlohzXHhQpb2lRU/OdXZ0C2&#10;Unt7/kwu/tDP/8Z9HrQbjZl8DL8/oIQGeYWf7b01kM5TeJyJR0C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0/LBAAAA3AAAAA8AAAAAAAAAAAAAAAAAmAIAAGRycy9kb3du&#10;cmV2LnhtbFBLBQYAAAAABAAEAPUAAACGAwAAAAA=&#10;" filled="f" stroked="f">
                  <v:textbox>
                    <w:txbxContent>
                      <w:p w14:paraId="2D1C92D4"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70" type="#_x0000_t202" style="position:absolute;left:44206;top:30222;width:400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2acEA&#10;AADcAAAADwAAAGRycy9kb3ducmV2LnhtbESPQWvCQBSE7wX/w/IEL0U3tSgSXcUqBa9GvT+yzySY&#10;fRuyT5P8+26h0OMwM98wm13vavWiNlSeDXzMElDEubcVFwaul+/pClQQZIu1ZzIwUIDddvS2wdT6&#10;js/0yqRQEcIhRQOlSJNqHfKSHIaZb4ijd/etQ4myLbRtsYtwV+t5kiy1w4rjQokNHUrKH9nTGZCj&#10;VN7e3pO7P3eLr+GUBe0GYybjfr8GJdTLf/ivfbIG5otP+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dmnBAAAA3AAAAA8AAAAAAAAAAAAAAAAAmAIAAGRycy9kb3du&#10;cmV2LnhtbFBLBQYAAAAABAAEAPUAAACGAwAAAAA=&#10;" filled="f" stroked="f">
                  <v:textbox>
                    <w:txbxContent>
                      <w:p w14:paraId="3C399A2B"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shape id="_x0000_s1071" type="#_x0000_t202" style="position:absolute;left:44006;top:21817;width:4000;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uHcEA&#10;AADcAAAADwAAAGRycy9kb3ducmV2LnhtbESPQWvCQBSE7wX/w/IEL0U3lSoSXcUqBa9GvT+yzySY&#10;fRuyT5P8+26h0OMwM98wm13vavWiNlSeDXzMElDEubcVFwaul+/pClQQZIu1ZzIwUIDddvS2wdT6&#10;js/0yqRQEcIhRQOlSJNqHfKSHIaZb4ijd/etQ4myLbRtsYtwV+t5kiy1w4rjQokNHUrKH9nTGZCj&#10;VN7e3pO7P3eLr+GUBe0GYybjfr8GJdTLf/ivfbIG5otP+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7h3BAAAA3AAAAA8AAAAAAAAAAAAAAAAAmAIAAGRycy9kb3du&#10;cmV2LnhtbFBLBQYAAAAABAAEAPUAAACGAwAAAAA=&#10;" filled="f" stroked="f">
                  <v:textbox>
                    <w:txbxContent>
                      <w:p w14:paraId="08DC449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v:shape>
              </v:group>
            </w:pict>
          </mc:Fallback>
        </mc:AlternateContent>
      </w:r>
    </w:p>
    <w:p w14:paraId="5E50E4C4" w14:textId="77777777" w:rsidR="00D87E57" w:rsidRDefault="00D87E57" w:rsidP="00D87E57">
      <w:pPr>
        <w:rPr>
          <w:rFonts w:eastAsia="Times New Roman"/>
          <w:b/>
          <w:color w:val="000000" w:themeColor="text1"/>
          <w:lang w:eastAsia="lv-LV"/>
        </w:rPr>
      </w:pPr>
    </w:p>
    <w:p w14:paraId="60650E50" w14:textId="77777777" w:rsidR="00D87E57" w:rsidRDefault="00D87E57" w:rsidP="00D87E57">
      <w:pPr>
        <w:rPr>
          <w:rFonts w:eastAsia="Times New Roman"/>
          <w:b/>
          <w:color w:val="000000" w:themeColor="text1"/>
          <w:lang w:eastAsia="lv-LV"/>
        </w:rPr>
      </w:pPr>
    </w:p>
    <w:p w14:paraId="1FE30E79" w14:textId="77777777" w:rsidR="00D87E57" w:rsidRDefault="00D87E57" w:rsidP="00D87E57">
      <w:pPr>
        <w:rPr>
          <w:rFonts w:eastAsia="Times New Roman"/>
          <w:b/>
          <w:color w:val="000000" w:themeColor="text1"/>
          <w:lang w:eastAsia="lv-LV"/>
        </w:rPr>
      </w:pPr>
    </w:p>
    <w:p w14:paraId="64AEF1A6" w14:textId="77777777" w:rsidR="00D87E57" w:rsidRDefault="00D87E57" w:rsidP="00D87E57">
      <w:pPr>
        <w:rPr>
          <w:rFonts w:eastAsia="Times New Roman"/>
          <w:b/>
          <w:color w:val="000000" w:themeColor="text1"/>
          <w:lang w:eastAsia="lv-LV"/>
        </w:rPr>
      </w:pPr>
    </w:p>
    <w:p w14:paraId="26796844" w14:textId="77777777" w:rsidR="00D87E57" w:rsidRDefault="00D87E57" w:rsidP="00D87E57">
      <w:pPr>
        <w:rPr>
          <w:rFonts w:eastAsia="Times New Roman"/>
          <w:b/>
          <w:color w:val="000000" w:themeColor="text1"/>
          <w:lang w:eastAsia="lv-LV"/>
        </w:rPr>
      </w:pPr>
    </w:p>
    <w:p w14:paraId="1AA1AEF4" w14:textId="77777777" w:rsidR="00D87E57" w:rsidRDefault="00D87E57" w:rsidP="00D87E57">
      <w:pPr>
        <w:rPr>
          <w:rFonts w:eastAsia="Times New Roman"/>
          <w:b/>
          <w:color w:val="000000" w:themeColor="text1"/>
          <w:lang w:eastAsia="lv-LV"/>
        </w:rPr>
      </w:pPr>
    </w:p>
    <w:p w14:paraId="47C18D99" w14:textId="77777777" w:rsidR="00D87E57" w:rsidRDefault="00D87E57" w:rsidP="00D87E57">
      <w:pPr>
        <w:rPr>
          <w:rFonts w:eastAsia="Times New Roman"/>
          <w:b/>
          <w:color w:val="000000" w:themeColor="text1"/>
          <w:lang w:eastAsia="lv-LV"/>
        </w:rPr>
      </w:pPr>
    </w:p>
    <w:p w14:paraId="676200F2" w14:textId="77777777" w:rsidR="00D87E57" w:rsidRDefault="00D87E57" w:rsidP="00D87E57">
      <w:pPr>
        <w:rPr>
          <w:rFonts w:eastAsia="Times New Roman"/>
          <w:b/>
          <w:color w:val="000000" w:themeColor="text1"/>
          <w:lang w:eastAsia="lv-LV"/>
        </w:rPr>
      </w:pPr>
    </w:p>
    <w:p w14:paraId="35CB2000" w14:textId="77777777" w:rsidR="00D87E57" w:rsidRDefault="00D87E57" w:rsidP="00D87E57">
      <w:pPr>
        <w:rPr>
          <w:rFonts w:eastAsia="Times New Roman"/>
          <w:b/>
          <w:color w:val="000000" w:themeColor="text1"/>
          <w:lang w:eastAsia="lv-LV"/>
        </w:rPr>
      </w:pPr>
    </w:p>
    <w:p w14:paraId="4C9782E8" w14:textId="77777777" w:rsidR="00D87E57" w:rsidRDefault="00D87E57" w:rsidP="00D87E57">
      <w:pPr>
        <w:rPr>
          <w:rFonts w:eastAsia="Times New Roman"/>
          <w:b/>
          <w:color w:val="000000" w:themeColor="text1"/>
          <w:lang w:eastAsia="lv-LV"/>
        </w:rPr>
      </w:pPr>
    </w:p>
    <w:p w14:paraId="6B85CF20" w14:textId="77777777" w:rsidR="00D87E57" w:rsidRDefault="00D87E57" w:rsidP="00D87E57">
      <w:pPr>
        <w:rPr>
          <w:rFonts w:eastAsia="Times New Roman"/>
          <w:b/>
          <w:color w:val="000000" w:themeColor="text1"/>
          <w:lang w:eastAsia="lv-LV"/>
        </w:rPr>
      </w:pPr>
    </w:p>
    <w:p w14:paraId="0767FE75" w14:textId="77777777" w:rsidR="00D87E57" w:rsidRPr="00FF1CA4" w:rsidRDefault="00D87E57" w:rsidP="00D87E57">
      <w:pPr>
        <w:rPr>
          <w:rFonts w:eastAsia="Times New Roman"/>
          <w:b/>
          <w:color w:val="000000" w:themeColor="text1"/>
          <w:sz w:val="14"/>
          <w:lang w:eastAsia="lv-LV"/>
        </w:rPr>
      </w:pPr>
    </w:p>
    <w:p w14:paraId="0DA01395" w14:textId="77777777" w:rsidR="00D87E57" w:rsidRDefault="00D87E57" w:rsidP="00D87E57">
      <w:pPr>
        <w:rPr>
          <w:rFonts w:asciiTheme="majorHAnsi" w:hAnsiTheme="majorHAnsi"/>
          <w:b/>
          <w:sz w:val="24"/>
        </w:rPr>
      </w:pPr>
    </w:p>
    <w:p w14:paraId="511BF007" w14:textId="77777777" w:rsidR="00D87E57" w:rsidRPr="00F17E86" w:rsidRDefault="00D87E57" w:rsidP="00D87E57">
      <w:pPr>
        <w:rPr>
          <w:b/>
          <w:sz w:val="24"/>
        </w:rPr>
      </w:pPr>
    </w:p>
    <w:p w14:paraId="3B997D56" w14:textId="77777777" w:rsidR="00D87E57" w:rsidRPr="00F17E86" w:rsidRDefault="00D87E57" w:rsidP="00D87E57">
      <w:pPr>
        <w:rPr>
          <w:rFonts w:eastAsia="Times New Roman"/>
          <w:b/>
          <w:color w:val="000000" w:themeColor="text1"/>
          <w:sz w:val="24"/>
          <w:lang w:eastAsia="lv-LV"/>
        </w:rPr>
      </w:pPr>
      <w:r w:rsidRPr="00F17E86">
        <w:rPr>
          <w:b/>
          <w:sz w:val="24"/>
        </w:rPr>
        <w:t xml:space="preserve">INVESTĪCIJAS LATVIJAS EKONOMIKĀ </w:t>
      </w:r>
    </w:p>
    <w:p w14:paraId="0A6A13E1" w14:textId="77777777" w:rsidR="00D87E57" w:rsidRPr="00F17E86" w:rsidRDefault="00D87E57" w:rsidP="00D87E57">
      <w:pPr>
        <w:spacing w:before="60" w:after="60"/>
      </w:pPr>
      <w:r w:rsidRPr="00F17E86">
        <w:t>Inovatīvai ekonomikai būtisks priekšnoteikums ir augsts investīciju līmenis un dinamika, kas tiešā veidā ietekmē IKP ikgadējos pieauguma tempus. Kā produktīvās kapacitātes veidotājas investīcijas palielina uzkrātā kapitāla (producēto aktīvu) apjomu, kas ir viena no svarīgākajām valsts bagātības sastāvdaļām. Taču laika periodā no 2013. līdz 2016. gadam investīciju apjomi Latvijas tautsaimniecībā ik gadu samazinās vidēji par 2.2%, tai skaitā 2016. gadā investīcijas bija par 11.5% mazākā apjomā nekā pirms gada un veidoja 18.3% no IKP (2007. gadā – 36.4% no IKP). Investīcijas infrastruktūras objektu un mājokļu būvniecībā veido lielāko daļu iekšzemes investīciju kopējā apjomā. Tāpēc to samazinājums krīzes gados un lēnā atgūšanās pēckrīzes periodā rada vislielāko negatīvo ietekmi uz kopējo investīciju līmeni valstī. Vienlaikus Latvijā, salīdzinot ar pārējām Baltijas valstīm (it īpaši Igauniju), ir maza daļa no kopējām investīcijām ieguldījumiem mašīnās un iekārtās, kā arī intelektuāla īpašuma produktos.</w:t>
      </w:r>
    </w:p>
    <w:p w14:paraId="228944BB" w14:textId="77777777" w:rsidR="00D87E57" w:rsidRPr="00F17E86" w:rsidRDefault="00D87E57" w:rsidP="00D87E57">
      <w:pPr>
        <w:spacing w:before="60" w:after="60"/>
      </w:pPr>
      <w:r w:rsidRPr="00F17E86">
        <w:t>Pasaulē zināmā mērā veidojas jauna "pasaules kārtība", kur caur bilateriālo attiecību prizmu ne tikai starp valstīm, bet starp valstīm un starptautiskām multinacionālajām korporācijām veidojas "uzvarētāji/ zaudētāji" gan inovācijas vērtību ķēdēs, gan tirdzniecības kontekstā. Tāpēc ir jāstiprina Latvijas uzņēmēju spēja integrēties globālajās vērtību ķēdēs.</w:t>
      </w:r>
    </w:p>
    <w:p w14:paraId="071E70EF" w14:textId="77777777" w:rsidR="00D87E57" w:rsidRPr="00F17E86" w:rsidRDefault="00D87E57" w:rsidP="00D87E57">
      <w:pPr>
        <w:spacing w:before="60" w:after="60"/>
      </w:pPr>
      <w:r w:rsidRPr="00F17E86">
        <w:t>Lai panāktu biznesa ieinteresētību mainīt savus esošos biznesa modeļus, vienlaikus panākot tautsaimniecības transformāciju, nepieciešamas radikālākas rīcības. Jāveido proaktīva investīciju piesaiste, salīdzinot ar esošo praksi – jāiedzīvina iepriekš minētā čempionu pieeja. Šajā sakarā jāveic koordinētas rīcības divos virzienos:</w:t>
      </w:r>
    </w:p>
    <w:p w14:paraId="35DF40BD" w14:textId="77777777" w:rsidR="00D87E57" w:rsidRPr="00F17E86" w:rsidRDefault="00D87E57" w:rsidP="00D87E57">
      <w:pPr>
        <w:pStyle w:val="ListParagraph"/>
        <w:numPr>
          <w:ilvl w:val="0"/>
          <w:numId w:val="35"/>
        </w:numPr>
        <w:spacing w:before="60" w:after="60"/>
        <w:ind w:left="567"/>
        <w:rPr>
          <w:szCs w:val="22"/>
        </w:rPr>
      </w:pPr>
      <w:r w:rsidRPr="00F17E86">
        <w:rPr>
          <w:b/>
          <w:szCs w:val="22"/>
        </w:rPr>
        <w:t>Latvijā jau veiksmīgi strādājošu uzņēmumu/ projektu identificēšana</w:t>
      </w:r>
      <w:r w:rsidRPr="00F17E86">
        <w:rPr>
          <w:szCs w:val="22"/>
        </w:rPr>
        <w:t xml:space="preserve"> (pēc noteiktiem kvalitatīviem un kvantitatīviem kritērijiem). Projektu tvērums ietvers gan tradicionālās nozares (bioekonomika, apstrādes rūpniecība), gan arī ‒ nākotnes izaugsmes nozares. Kā vislielāko potenciālu (un attiecīgi arī valsts ieinteresētību palīdzēt) var prognozēt projektiem, kuri ir vairāku spēcīgāko uzņēmumu/ uzņēmēju starpnozaru sadarbības projekti (piemēram, elektronika/ </w:t>
      </w:r>
      <w:r w:rsidRPr="00F17E86">
        <w:rPr>
          <w:szCs w:val="22"/>
        </w:rPr>
        <w:lastRenderedPageBreak/>
        <w:t xml:space="preserve">mašīnbūve, IT/ medicīna, IT/ banku sektors, inteliģentie transporta risinājumi u.c. jomas) un kuros tiek piesaistīts Latvijas pētniecības potenciāls): </w:t>
      </w:r>
    </w:p>
    <w:p w14:paraId="50C36A2D" w14:textId="77777777" w:rsidR="00D87E57" w:rsidRPr="00F17E86" w:rsidRDefault="00D87E57" w:rsidP="00D87E57">
      <w:pPr>
        <w:pStyle w:val="ListParagraph"/>
        <w:numPr>
          <w:ilvl w:val="1"/>
          <w:numId w:val="39"/>
        </w:numPr>
        <w:spacing w:before="60" w:after="60"/>
        <w:ind w:left="1276"/>
        <w:rPr>
          <w:szCs w:val="22"/>
        </w:rPr>
      </w:pPr>
      <w:r w:rsidRPr="00F17E86">
        <w:rPr>
          <w:b/>
          <w:szCs w:val="22"/>
        </w:rPr>
        <w:t>Projektu ar augstu produktu eksportspēju identificēšana</w:t>
      </w:r>
      <w:r w:rsidRPr="00F17E86">
        <w:rPr>
          <w:szCs w:val="22"/>
        </w:rPr>
        <w:t xml:space="preserve"> sadarbībā ar valsts pārvaldes institūcijām. Pēc </w:t>
      </w:r>
      <w:r w:rsidRPr="00F17E86">
        <w:rPr>
          <w:i/>
          <w:szCs w:val="22"/>
        </w:rPr>
        <w:t>ex post</w:t>
      </w:r>
      <w:r w:rsidRPr="00F17E86">
        <w:rPr>
          <w:szCs w:val="22"/>
        </w:rPr>
        <w:t xml:space="preserve"> invertējuma un apstiprinājuma POLARIS procesa ietvaros šādu projektu realizācijai izveidot attiecīgu atbalstošu </w:t>
      </w:r>
      <w:r w:rsidRPr="00F17E86">
        <w:rPr>
          <w:i/>
          <w:szCs w:val="22"/>
        </w:rPr>
        <w:t>fast track</w:t>
      </w:r>
      <w:r w:rsidRPr="00F17E86">
        <w:rPr>
          <w:szCs w:val="22"/>
        </w:rPr>
        <w:t xml:space="preserve"> realizācijas mehānismu, kas sevī ietvertu paātrinātu birokrātisko procedūru risināšanu, LIAA nodrošinātu individuāli specializētu atbalstu u.c.), kurš būs optimāls tieši piedāvātajam projektam, lai nodrošinātu ātrāku realizāciju.</w:t>
      </w:r>
    </w:p>
    <w:p w14:paraId="73CD202E" w14:textId="77777777" w:rsidR="00D87E57" w:rsidRPr="00F17E86" w:rsidRDefault="00D87E57" w:rsidP="00D87E57">
      <w:pPr>
        <w:pStyle w:val="ListParagraph"/>
        <w:numPr>
          <w:ilvl w:val="0"/>
          <w:numId w:val="35"/>
        </w:numPr>
        <w:spacing w:before="60" w:after="60"/>
        <w:ind w:left="567"/>
        <w:rPr>
          <w:szCs w:val="22"/>
        </w:rPr>
      </w:pPr>
      <w:r w:rsidRPr="00F17E86">
        <w:rPr>
          <w:b/>
          <w:szCs w:val="22"/>
        </w:rPr>
        <w:t>Multinacionālo korporāciju uzrunāšana/ piesaistīšana Latvijā</w:t>
      </w:r>
      <w:r w:rsidRPr="00F17E86">
        <w:rPr>
          <w:szCs w:val="22"/>
        </w:rPr>
        <w:t xml:space="preserve"> (sadarbojoties valsts pārvaldei ar privāto sektoru) noteiktos segmentos (koncentrējoties ap RIS3 noteiktajām specializācijas jomām), kuros Latvijai ir konkurētspējas priekšrocības (jo īpaši zināšanu un prasmju ekselence). Latvijas ekonomikas viens no nākotnes izaicinājumiem ir ražošanas automatizācija. Ir jāmobilizē valsts pārvaldē un biznesa segmentā pieejamie resursi, lai izmantotu šo potenciālu tādos virzienos kā IKT un digitālās tehnoloģijas, transports un loģistika (t.sk. e-komercija). Šajā kontekstā ir veicami šādi pasākumi:</w:t>
      </w:r>
    </w:p>
    <w:p w14:paraId="1F586AC4" w14:textId="77777777" w:rsidR="00D87E57" w:rsidRPr="00F17E86" w:rsidRDefault="00D87E57" w:rsidP="00D87E57">
      <w:pPr>
        <w:pStyle w:val="ListParagraph"/>
        <w:numPr>
          <w:ilvl w:val="1"/>
          <w:numId w:val="39"/>
        </w:numPr>
        <w:spacing w:before="60" w:after="60"/>
        <w:ind w:left="1276"/>
        <w:rPr>
          <w:szCs w:val="22"/>
        </w:rPr>
      </w:pPr>
      <w:r w:rsidRPr="00F17E86">
        <w:rPr>
          <w:szCs w:val="22"/>
        </w:rPr>
        <w:t xml:space="preserve">Ekonomikas ministrijai ir jāizveido </w:t>
      </w:r>
      <w:r w:rsidRPr="00F17E86">
        <w:rPr>
          <w:b/>
          <w:szCs w:val="22"/>
        </w:rPr>
        <w:t>elastīgs sadarbības</w:t>
      </w:r>
      <w:r w:rsidRPr="00F17E86">
        <w:rPr>
          <w:szCs w:val="22"/>
        </w:rPr>
        <w:t xml:space="preserve"> </w:t>
      </w:r>
      <w:r w:rsidRPr="00F17E86">
        <w:rPr>
          <w:b/>
          <w:szCs w:val="22"/>
        </w:rPr>
        <w:t xml:space="preserve">modelis </w:t>
      </w:r>
      <w:r w:rsidRPr="00F17E86">
        <w:rPr>
          <w:szCs w:val="22"/>
        </w:rPr>
        <w:t xml:space="preserve">(valsts pārvalde/ uzņēmējdarbības organizācijas), kurš būtu orientēts uz starpnozaru piedāvājuma izstrādi stratēģiskas kopdarbības veidošanai ar multinacionālajām korporācijām (piemēram, </w:t>
      </w:r>
      <w:r w:rsidRPr="00F17E86">
        <w:rPr>
          <w:i/>
          <w:szCs w:val="22"/>
        </w:rPr>
        <w:t>Fortune 500</w:t>
      </w:r>
      <w:r w:rsidRPr="00F17E86">
        <w:rPr>
          <w:szCs w:val="22"/>
        </w:rPr>
        <w:t xml:space="preserve"> korporācijas).</w:t>
      </w:r>
    </w:p>
    <w:p w14:paraId="1E04A3D1" w14:textId="77777777" w:rsidR="00D87E57" w:rsidRPr="00F17E86" w:rsidRDefault="00D87E57" w:rsidP="00D87E57">
      <w:pPr>
        <w:pStyle w:val="ListParagraph"/>
        <w:numPr>
          <w:ilvl w:val="1"/>
          <w:numId w:val="39"/>
        </w:numPr>
        <w:spacing w:before="60" w:after="60"/>
        <w:ind w:left="1276"/>
        <w:rPr>
          <w:szCs w:val="22"/>
        </w:rPr>
      </w:pPr>
      <w:r w:rsidRPr="00F17E86">
        <w:rPr>
          <w:b/>
          <w:szCs w:val="22"/>
        </w:rPr>
        <w:t>klasteru programmas nosacījumu (starpsektoru/ industriju integrācija) papildināšana un īstenošana konkrētos projektos</w:t>
      </w:r>
      <w:r w:rsidRPr="00F17E86">
        <w:rPr>
          <w:szCs w:val="22"/>
        </w:rPr>
        <w:t xml:space="preserve"> (veidojot e-komercijas platformas klasteru ietvaros). Klasteru pieeja – katram publiskās pārvaldes ieguldītajam EUR ir jābūt saistītam/ papildinošam ar citu industrijas projektu/ biznesu. ERAF projektiem jābūt loģiski saistītiem ar citu nozaru projektiem, piemēram, pakalpojumu nozaru projektiem, un vērstiem uz pilnas ražošanas ķēdes nodrošināšanu (piemēram, lauksaimniecības produktu gadījumā – pārstrāde, </w:t>
      </w:r>
      <w:r w:rsidRPr="00F17E86">
        <w:rPr>
          <w:i/>
          <w:szCs w:val="22"/>
        </w:rPr>
        <w:t>clean tech</w:t>
      </w:r>
      <w:r w:rsidRPr="00F17E86">
        <w:rPr>
          <w:szCs w:val="22"/>
        </w:rPr>
        <w:t xml:space="preserve"> tehnoloģiju attīstība, pārtikas piegāžu ķēdes, blakusproduktu un atkritumu dziļāka pārstrāde).</w:t>
      </w:r>
    </w:p>
    <w:p w14:paraId="330D4EC3" w14:textId="77777777" w:rsidR="00D87E57" w:rsidRPr="00F17E86" w:rsidRDefault="00D87E57" w:rsidP="00D87E57">
      <w:pPr>
        <w:spacing w:before="60" w:after="60"/>
      </w:pPr>
      <w:r w:rsidRPr="00F17E86">
        <w:t xml:space="preserve">Augstāk minētā pieeja nediskriminē uzņēmumus pēc to kapitāla izcelsmes. Būtiskas ir investīcijas tautsaimniecībā – gan vietējā kapitāla, gan ārvalstu kapitāla, gan dalīta kapitāla uzņēmumi var būt čempionu uzņēmumi ar attiecīgu augstāk aprakstīto iedzīvināmo atbalsta mehānismu. </w:t>
      </w:r>
    </w:p>
    <w:p w14:paraId="20934D68" w14:textId="77777777" w:rsidR="00D87E57" w:rsidRPr="00F17E86" w:rsidRDefault="00D87E57" w:rsidP="00D87E57">
      <w:pPr>
        <w:spacing w:before="60" w:after="60"/>
      </w:pPr>
      <w:r w:rsidRPr="00F17E86">
        <w:t xml:space="preserve">Papildus iepriekš minētajai čempionu pieejai – ir jāveic arī rinda citu pasākumu investīciju sekmēšanai. Kā daži prioritārie ir minami: </w:t>
      </w:r>
    </w:p>
    <w:p w14:paraId="4E0D5BF5" w14:textId="77777777" w:rsidR="00D87E57" w:rsidRPr="00F17E86" w:rsidRDefault="00D87E57" w:rsidP="00D87E57">
      <w:pPr>
        <w:pStyle w:val="ListParagraph"/>
        <w:numPr>
          <w:ilvl w:val="0"/>
          <w:numId w:val="36"/>
        </w:numPr>
        <w:spacing w:before="60" w:after="60"/>
        <w:ind w:left="567"/>
        <w:rPr>
          <w:szCs w:val="22"/>
        </w:rPr>
      </w:pPr>
      <w:r w:rsidRPr="00F17E86">
        <w:rPr>
          <w:b/>
          <w:szCs w:val="22"/>
        </w:rPr>
        <w:t>Biržas attīstīšana kapitāla tirgus izmantošanas intensificēšanai</w:t>
      </w:r>
      <w:r w:rsidRPr="00F17E86">
        <w:rPr>
          <w:szCs w:val="22"/>
        </w:rPr>
        <w:t xml:space="preserve"> – nepieciešams maksimāli “iekustināt” Latvijā bāzēto un produktīvi neieguldīto kapitālu. Šobrīd privātpersonu noguldījumi Latvijas kredītiestādēs sasniedz 10 miljardus EUR. Pat ar nelielu daļu šo līdzekļu investēšanu produktīvajā sektorā iespējams panākt investīciju apjoma pieaugumu. </w:t>
      </w:r>
    </w:p>
    <w:p w14:paraId="718DA349" w14:textId="77777777" w:rsidR="00D87E57" w:rsidRPr="00F17E86" w:rsidRDefault="00D87E57" w:rsidP="00D87E57">
      <w:pPr>
        <w:pStyle w:val="ListParagraph"/>
        <w:numPr>
          <w:ilvl w:val="0"/>
          <w:numId w:val="36"/>
        </w:numPr>
        <w:spacing w:before="60" w:after="60"/>
        <w:ind w:left="567"/>
        <w:rPr>
          <w:szCs w:val="22"/>
        </w:rPr>
      </w:pPr>
      <w:r w:rsidRPr="00F17E86">
        <w:rPr>
          <w:b/>
          <w:szCs w:val="22"/>
        </w:rPr>
        <w:t>Ziemeļvalstu reģionā konkurētspējīgas elektroenerģijas nodrošinājums gala patērētājiem</w:t>
      </w:r>
      <w:r w:rsidRPr="00F17E86">
        <w:rPr>
          <w:szCs w:val="22"/>
        </w:rPr>
        <w:t xml:space="preserve"> – sabalansētu ar ES noteikto AER politikas mērķu un atbalsta instrumentu definēšana, veicot ietekmes vērtējumu uz dažādām patērētāju grupām. Vienlaikus jāveic ekonomiskā analīze, t.sk. kontekstā ar paredzamo darbaspēka atalgojuma pieaugumu vidējā termiņā, lai segmentētu patērētāju grupas, veidojot “aizsargājamos sektorus”. </w:t>
      </w:r>
    </w:p>
    <w:p w14:paraId="61BE2D31" w14:textId="77777777" w:rsidR="00D87E57" w:rsidRPr="00F17E86" w:rsidRDefault="00D87E57" w:rsidP="00D87E57">
      <w:pPr>
        <w:pStyle w:val="ListParagraph"/>
        <w:numPr>
          <w:ilvl w:val="0"/>
          <w:numId w:val="36"/>
        </w:numPr>
        <w:spacing w:before="60" w:after="60"/>
        <w:ind w:left="567"/>
        <w:rPr>
          <w:szCs w:val="22"/>
        </w:rPr>
      </w:pPr>
      <w:r w:rsidRPr="00F17E86">
        <w:rPr>
          <w:b/>
          <w:szCs w:val="22"/>
        </w:rPr>
        <w:t>Mājokļu pieejamības uzlabošana</w:t>
      </w:r>
      <w:r w:rsidRPr="00F17E86">
        <w:rPr>
          <w:szCs w:val="22"/>
        </w:rPr>
        <w:t xml:space="preserve"> – jāsakārto īres dzīvokļu normatīvais regulējums, nodrošinot ātru strīdus risināšanas kārtību. Vienlaikus jāsagatavo konceptuāls piedāvājums risinājumiem par investīciju piesaisti sociālo īres dzīvokļu būvniecībai sadarbībā ar pašvaldībām, kā arī iespējamajiem risinājumiem veidot nodarbinātības mobilitātes atbalsta programmas. </w:t>
      </w:r>
    </w:p>
    <w:p w14:paraId="57D88C70" w14:textId="77777777" w:rsidR="00D87E57" w:rsidRPr="00F17E86" w:rsidRDefault="00D87E57" w:rsidP="00D87E57">
      <w:pPr>
        <w:pStyle w:val="ListParagraph"/>
        <w:numPr>
          <w:ilvl w:val="0"/>
          <w:numId w:val="36"/>
        </w:numPr>
        <w:spacing w:before="60" w:after="60"/>
        <w:ind w:left="567"/>
        <w:rPr>
          <w:szCs w:val="22"/>
        </w:rPr>
      </w:pPr>
      <w:r w:rsidRPr="00F17E86">
        <w:rPr>
          <w:b/>
          <w:szCs w:val="22"/>
        </w:rPr>
        <w:lastRenderedPageBreak/>
        <w:t xml:space="preserve">Biroja nomas telpu piedāvājuma uzlabošana </w:t>
      </w:r>
      <w:r w:rsidRPr="00F17E86">
        <w:rPr>
          <w:szCs w:val="22"/>
        </w:rPr>
        <w:t xml:space="preserve">– biroja telpu (Rīgā īpaši A un B+ klases) attīstīšanas sekmēšana, īpaši pilsētu prioritāri noteiktajās attīstības teritorijās/ ražošanas attīstības teritorijās. </w:t>
      </w:r>
    </w:p>
    <w:p w14:paraId="29908426" w14:textId="77777777" w:rsidR="00D87E57" w:rsidRPr="00F17E86" w:rsidRDefault="00D87E57" w:rsidP="00D87E57">
      <w:pPr>
        <w:pStyle w:val="ListParagraph"/>
        <w:numPr>
          <w:ilvl w:val="0"/>
          <w:numId w:val="36"/>
        </w:numPr>
        <w:spacing w:before="60" w:after="60"/>
        <w:ind w:left="567"/>
        <w:rPr>
          <w:b/>
        </w:rPr>
      </w:pPr>
      <w:r w:rsidRPr="00F17E86">
        <w:rPr>
          <w:b/>
          <w:szCs w:val="22"/>
        </w:rPr>
        <w:t>Transporta infrastruktūras integrēts attīstības redzējums</w:t>
      </w:r>
      <w:r w:rsidRPr="00F17E86">
        <w:rPr>
          <w:szCs w:val="22"/>
        </w:rPr>
        <w:t xml:space="preserve"> – jāizstrādā komplekss rīcības plāns nozares politikai attiecībā uz dzelzceļa un autotransporta integrāciju. Tas attiecas gan uz starptautisko kravu pārvadājumu attīstīšanu un tirgu diversificēšanu, gan iekšzemes kravu pārvadājumu novirzīšanu no autopārvadājumiem uz dzelzceļu, kā arī pasažieru pārvadājumiem un dzelzceļa infrastruktūras attīstību kā ilgtspējīgāku pasažieru pārvadājuma veidu.</w:t>
      </w:r>
    </w:p>
    <w:p w14:paraId="282A6904" w14:textId="77777777" w:rsidR="00D87E57" w:rsidRPr="00F17E86" w:rsidRDefault="00D87E57" w:rsidP="00D87E57">
      <w:pPr>
        <w:spacing w:after="60"/>
        <w:ind w:left="207"/>
        <w:rPr>
          <w:b/>
        </w:rPr>
      </w:pPr>
    </w:p>
    <w:p w14:paraId="7E0B95AB" w14:textId="77777777" w:rsidR="00D87E57" w:rsidRPr="00F17E86" w:rsidRDefault="00D87E57" w:rsidP="00D87E57">
      <w:pPr>
        <w:rPr>
          <w:b/>
          <w:sz w:val="24"/>
        </w:rPr>
      </w:pPr>
      <w:r w:rsidRPr="00F17E86">
        <w:rPr>
          <w:b/>
          <w:sz w:val="24"/>
        </w:rPr>
        <w:t xml:space="preserve">INOVĀCIJA LATVIJAS EKONOMIKĀ </w:t>
      </w:r>
    </w:p>
    <w:p w14:paraId="1D79AB72" w14:textId="77777777" w:rsidR="00D87E57" w:rsidRPr="00F17E86" w:rsidRDefault="00D87E57" w:rsidP="00D87E57">
      <w:pPr>
        <w:spacing w:before="60" w:after="60"/>
      </w:pPr>
      <w:r w:rsidRPr="00F17E86">
        <w:t xml:space="preserve">Ar mērķi panākt straujāku tautsaimniecības transformācijas procesu valdībai sadarbībā ar uzņēmējiem un zinātnes pārstāvjiem ir mērķtiecīgi jāīsteno pasākumu kopums, kurš vērsts uz ekonomisko subjektu augstāku darba ražīgumu un vienkāršu, drošu un ātru publisko pakalpojumu saņemšanu, tādējādi stiprinot sabiedrības vēlmi iesaistīties dažādu ekonomisku un sociālu vērtību radīšanā. Latvijai ir visi priekšnoteikumi, lai kļūtu par Ziemeļeiropas ekonomisko aktivitāšu “magnētu”, kur attīstīt pasaules tirgū pieprasītus produktus/ risinājumus. Ņemot vērā digitalizācijas straujo attīstību un tās tiešo ietekmi uz produktivitāti (līdz šim produktivitātes pieaugums tika bāzēts cilvēkresursa izmaksu un procesu izmaiņu vadībā), jau šobrīd pasaule un arī Latvija saskaras ar izaicinājumiem, kas saistīti  ar lēno darbaspēka produktivitātes pieauguma tempu (1-2% pieaugumu gadā). Līdz ar to, tā kā Latvija vēlas panākt straujāku ekonomikas izaugsmi kā vidēji ES, ir jāveic virkne proaktīvu soļu, lai Latvija būtu atvērta un spējīga absorbēt digitalizācijas radītos izaicinājumus un – vēl vairāk – spējīga arī pati, izmantojot savu zinātnes potenciālu un uzņēmēju spējas, radīt pasaulē pieprasītus, eksportspējīgus produktus/ risinājumus. Pie primāri veicamajiem pasākumiem šeit ir minami: </w:t>
      </w:r>
    </w:p>
    <w:p w14:paraId="5FB304A9" w14:textId="77777777" w:rsidR="00D87E57" w:rsidRPr="00F17E86" w:rsidRDefault="00D87E57" w:rsidP="00D87E57">
      <w:pPr>
        <w:pStyle w:val="ListParagraph"/>
        <w:numPr>
          <w:ilvl w:val="0"/>
          <w:numId w:val="37"/>
        </w:numPr>
        <w:spacing w:before="60" w:after="60"/>
        <w:ind w:left="709"/>
        <w:rPr>
          <w:szCs w:val="22"/>
        </w:rPr>
      </w:pPr>
      <w:r w:rsidRPr="00F17E86">
        <w:rPr>
          <w:b/>
          <w:szCs w:val="22"/>
        </w:rPr>
        <w:t>Valsts datubāzu atvēršana un valsts institūciju sniegto pakalpojumu tehnoloģiskā transformācija</w:t>
      </w:r>
      <w:r w:rsidRPr="00F17E86">
        <w:rPr>
          <w:szCs w:val="22"/>
        </w:rPr>
        <w:t xml:space="preserve"> – valsts pasūtījuma definēšana noteiktos segmentos (publisko pakalpojumu uzlabošanai – piemēram, veselība, izglītība, transports), kas tiek izmantoti kā pilotprojekti, parādot lielo datu pielietojuma efektivitāti. Vienlaikus valsts pārvaldē jāizstrādā elastīgs normatīvais regulējums šādu pakalpojumu testēšanai reālā vidē (valsts sniegtie pakalpojumi kā “</w:t>
      </w:r>
      <w:r w:rsidRPr="00F17E86">
        <w:rPr>
          <w:i/>
          <w:szCs w:val="22"/>
        </w:rPr>
        <w:t>sandbox</w:t>
      </w:r>
      <w:r w:rsidRPr="00F17E86">
        <w:rPr>
          <w:szCs w:val="22"/>
        </w:rPr>
        <w:t xml:space="preserve">” tehnoloģisko jauninājumu ieviešanai). </w:t>
      </w:r>
    </w:p>
    <w:p w14:paraId="71C6B5D6" w14:textId="77777777" w:rsidR="00D87E57" w:rsidRPr="00F17E86" w:rsidRDefault="00D87E57" w:rsidP="00D87E57">
      <w:pPr>
        <w:pStyle w:val="ListParagraph"/>
        <w:numPr>
          <w:ilvl w:val="0"/>
          <w:numId w:val="37"/>
        </w:numPr>
        <w:spacing w:before="60" w:after="60"/>
        <w:ind w:left="709"/>
        <w:rPr>
          <w:szCs w:val="22"/>
        </w:rPr>
      </w:pPr>
      <w:r w:rsidRPr="00F17E86">
        <w:rPr>
          <w:b/>
          <w:szCs w:val="22"/>
        </w:rPr>
        <w:t>Augstākās izglītības institūcijās (sadarbībā starp vairākām augstskolām) jāizveido vienota IT studiju programma</w:t>
      </w:r>
      <w:r w:rsidRPr="00F17E86">
        <w:rPr>
          <w:szCs w:val="22"/>
        </w:rPr>
        <w:t>, kurā tiktu nodrošināta starptautiski konkurētspējīga akadēmiskā vide (</w:t>
      </w:r>
      <w:r w:rsidRPr="00F17E86">
        <w:rPr>
          <w:i/>
          <w:szCs w:val="22"/>
        </w:rPr>
        <w:t>data scientists, data analytics, data arhitecture</w:t>
      </w:r>
      <w:r w:rsidRPr="00F17E86">
        <w:rPr>
          <w:szCs w:val="22"/>
        </w:rPr>
        <w:t xml:space="preserve">), piesaistot spējīgākos vietējos un ārvalstu mācībspēkus un ārvalstu studentus, kā arī nodrošinot adekvātu materiāltehnisko bāzi. </w:t>
      </w:r>
    </w:p>
    <w:p w14:paraId="6F3AC8E7" w14:textId="77777777" w:rsidR="00D87E57" w:rsidRPr="00F17E86" w:rsidRDefault="00D87E57" w:rsidP="00D87E57">
      <w:pPr>
        <w:pStyle w:val="ListParagraph"/>
        <w:numPr>
          <w:ilvl w:val="0"/>
          <w:numId w:val="37"/>
        </w:numPr>
        <w:spacing w:before="60" w:after="60"/>
        <w:ind w:left="709"/>
        <w:rPr>
          <w:szCs w:val="22"/>
        </w:rPr>
      </w:pPr>
      <w:r w:rsidRPr="00F17E86">
        <w:rPr>
          <w:b/>
          <w:szCs w:val="22"/>
        </w:rPr>
        <w:t>Sadarbībā ar augstākās izglītības institūcijām un komersantiem izstrādāt profesionālo prasmju apmācības programmu</w:t>
      </w:r>
      <w:r w:rsidRPr="00F17E86">
        <w:rPr>
          <w:szCs w:val="22"/>
        </w:rPr>
        <w:t xml:space="preserve"> cilvēku apmācībai  darbā ar lielo datu projektiem un praktisko eksperimentēšanu (datu zinātnieki kopā ar dizaineriem pilotprojektu veidā palīdz nodrošināt publisko pakalpojumu procesu transformāciju).</w:t>
      </w:r>
    </w:p>
    <w:p w14:paraId="3D3A30FE" w14:textId="77777777" w:rsidR="00D87E57" w:rsidRPr="00F17E86" w:rsidRDefault="00D87E57" w:rsidP="00D87E57">
      <w:pPr>
        <w:pStyle w:val="ListParagraph"/>
        <w:numPr>
          <w:ilvl w:val="0"/>
          <w:numId w:val="37"/>
        </w:numPr>
        <w:spacing w:before="60" w:after="60"/>
        <w:ind w:left="709"/>
        <w:rPr>
          <w:szCs w:val="22"/>
        </w:rPr>
      </w:pPr>
      <w:r w:rsidRPr="00F17E86">
        <w:rPr>
          <w:b/>
          <w:szCs w:val="22"/>
        </w:rPr>
        <w:t>Organizējot publiskos iepirkumus saistībā ar IT sistēmām un publisko pakalpojumu un iekšējo pārvaldes procesu pilnveidi par prioritāti izmantojamu jānosaka “inovatīvā iepirkumu metode”</w:t>
      </w:r>
      <w:r w:rsidRPr="00F17E86">
        <w:rPr>
          <w:szCs w:val="22"/>
        </w:rPr>
        <w:t xml:space="preserve">, kura jau šobrīd ir iestrādāta Publisko iepirkumu likumā, kas ir laba platforma, kā valsts iestādes var veicināt jaunu produktu radīšanu. Jāizvērtē nepieciešamība par definētas “kvotas” noteikšanu regulējumā. </w:t>
      </w:r>
    </w:p>
    <w:p w14:paraId="7C76497A" w14:textId="77777777" w:rsidR="00D87E57" w:rsidRPr="00F17E86" w:rsidRDefault="00D87E57" w:rsidP="00D87E57">
      <w:pPr>
        <w:pStyle w:val="ListParagraph"/>
        <w:numPr>
          <w:ilvl w:val="0"/>
          <w:numId w:val="37"/>
        </w:numPr>
        <w:spacing w:before="60" w:after="60"/>
        <w:ind w:left="709"/>
        <w:rPr>
          <w:szCs w:val="22"/>
        </w:rPr>
      </w:pPr>
      <w:r w:rsidRPr="00F17E86">
        <w:rPr>
          <w:b/>
          <w:szCs w:val="22"/>
        </w:rPr>
        <w:t>Starpnozaru projektu princips kā prioritāte kompetences centru programmā</w:t>
      </w:r>
      <w:r w:rsidRPr="00F17E86">
        <w:rPr>
          <w:szCs w:val="22"/>
        </w:rPr>
        <w:t xml:space="preserve"> – atbalsts jāfokusē uz starpnozaru projektu atbalstu (Kompetenču </w:t>
      </w:r>
      <w:r w:rsidRPr="00F17E86">
        <w:rPr>
          <w:szCs w:val="22"/>
        </w:rPr>
        <w:lastRenderedPageBreak/>
        <w:t>centru valdēs iekļaujot pārstāvjus no dažādām nozarēm, vienlaikus arī precizējot projektu vērtēšanas kritērijus ar starpnozaru disciplīnu).</w:t>
      </w:r>
    </w:p>
    <w:p w14:paraId="60EDB8EA" w14:textId="77777777" w:rsidR="00D87E57" w:rsidRPr="00F17E86" w:rsidRDefault="00D87E57" w:rsidP="00D87E57">
      <w:pPr>
        <w:pStyle w:val="ListParagraph"/>
        <w:numPr>
          <w:ilvl w:val="0"/>
          <w:numId w:val="37"/>
        </w:numPr>
        <w:spacing w:before="60" w:after="60"/>
        <w:ind w:left="709"/>
        <w:rPr>
          <w:szCs w:val="22"/>
        </w:rPr>
      </w:pPr>
      <w:r w:rsidRPr="00F17E86">
        <w:rPr>
          <w:b/>
          <w:szCs w:val="22"/>
        </w:rPr>
        <w:t>"</w:t>
      </w:r>
      <w:r w:rsidRPr="00F17E86">
        <w:rPr>
          <w:b/>
          <w:i/>
          <w:szCs w:val="22"/>
        </w:rPr>
        <w:t>Front door</w:t>
      </w:r>
      <w:r w:rsidRPr="00F17E86">
        <w:rPr>
          <w:b/>
          <w:szCs w:val="22"/>
        </w:rPr>
        <w:t>" programma</w:t>
      </w:r>
      <w:r w:rsidRPr="00F17E86">
        <w:rPr>
          <w:szCs w:val="22"/>
        </w:rPr>
        <w:t xml:space="preserve"> – kuras mērķis ir strādāt ar uzņēmējiem un akadēmisko vidi ikdienā. Tiktu radīta datubāze par aktuālāko tirgū (sistemātiski uzturēta un atjaunota), kas palīdzētu "sarunāties" akadēmiskajai videi un uzņēmējiem. Šajā datubāzē varētu atrast, kas notiek uzņēmējdarbībā un P&amp;A konkrētās industrijās ar mērķi padziļināt industrijas un zinātnieku sadarbību. Tiktu izveidots apmaksāts "</w:t>
      </w:r>
      <w:r w:rsidRPr="00F17E86">
        <w:rPr>
          <w:i/>
          <w:szCs w:val="22"/>
        </w:rPr>
        <w:t>match making</w:t>
      </w:r>
      <w:r w:rsidRPr="00F17E86">
        <w:rPr>
          <w:szCs w:val="22"/>
        </w:rPr>
        <w:t>" fonds no lielākajām reģionu pilsētām, tādējādi veidojot sadarbības teritoriju starpsektoru specializāciju un savienojamību caur uzņēmējdarbības savstarpējo integrāciju.</w:t>
      </w:r>
    </w:p>
    <w:p w14:paraId="1ADBE2EB" w14:textId="77777777" w:rsidR="00D87E57" w:rsidRPr="00F17E86" w:rsidRDefault="00D87E57" w:rsidP="00D87E57">
      <w:pPr>
        <w:pStyle w:val="ListParagraph"/>
        <w:numPr>
          <w:ilvl w:val="0"/>
          <w:numId w:val="37"/>
        </w:numPr>
        <w:spacing w:before="60" w:after="60"/>
        <w:ind w:left="709"/>
        <w:rPr>
          <w:szCs w:val="22"/>
        </w:rPr>
      </w:pPr>
      <w:r w:rsidRPr="00F17E86">
        <w:rPr>
          <w:b/>
          <w:szCs w:val="22"/>
        </w:rPr>
        <w:t>Jāizstrādā starptautiski novērtējams indikatoru kopums, kas sniedz precīzu pielietojamās zinātnes atbalsta programmu efektivitātes novērtējumu</w:t>
      </w:r>
      <w:r w:rsidRPr="00F17E86">
        <w:rPr>
          <w:szCs w:val="22"/>
        </w:rPr>
        <w:t>, tādējādi vidējā termiņā paaugstinot ieguldījumu atdevi caur jauniem eksportspējīgiem produktiem.</w:t>
      </w:r>
    </w:p>
    <w:p w14:paraId="009D1928" w14:textId="77777777" w:rsidR="00D87E57" w:rsidRPr="00F17E86" w:rsidRDefault="00D87E57" w:rsidP="00D87E57">
      <w:pPr>
        <w:pStyle w:val="ListParagraph"/>
        <w:numPr>
          <w:ilvl w:val="0"/>
          <w:numId w:val="37"/>
        </w:numPr>
        <w:spacing w:before="60" w:after="60"/>
        <w:ind w:left="709"/>
        <w:rPr>
          <w:szCs w:val="22"/>
        </w:rPr>
      </w:pPr>
      <w:r w:rsidRPr="00F17E86">
        <w:rPr>
          <w:b/>
          <w:szCs w:val="22"/>
        </w:rPr>
        <w:t xml:space="preserve">Skaidra valsts pasūtījuma definēšana tai piederošajās </w:t>
      </w:r>
      <w:r w:rsidRPr="00F17E86">
        <w:rPr>
          <w:szCs w:val="22"/>
        </w:rPr>
        <w:t>(kā kapitāldaļu turētājai)</w:t>
      </w:r>
      <w:r w:rsidRPr="00F17E86">
        <w:rPr>
          <w:b/>
          <w:szCs w:val="22"/>
        </w:rPr>
        <w:t xml:space="preserve"> komercsabiedrībās</w:t>
      </w:r>
      <w:r w:rsidRPr="00F17E86">
        <w:rPr>
          <w:szCs w:val="22"/>
        </w:rPr>
        <w:t xml:space="preserve"> – nepieciešams izstrādāt normatīvo regulējumu (mehānismu), kurš skaidri nosaka valsts aktīvu pārvaldītājam tiesības un atbildību un konkrētus sasniedzamos mērķus starpnozaru produktu/ risinājumu attīstīšanai un uzņēmuma pētniecības, attīstības un inovāciju stratēģiju izstrādei.</w:t>
      </w:r>
    </w:p>
    <w:p w14:paraId="25DAC775" w14:textId="77777777" w:rsidR="00D87E57" w:rsidRPr="00F17E86" w:rsidRDefault="00D87E57" w:rsidP="00D87E57">
      <w:pPr>
        <w:pStyle w:val="ListParagraph"/>
        <w:numPr>
          <w:ilvl w:val="0"/>
          <w:numId w:val="37"/>
        </w:numPr>
        <w:spacing w:before="60" w:after="60"/>
        <w:ind w:left="709"/>
        <w:rPr>
          <w:szCs w:val="22"/>
        </w:rPr>
      </w:pPr>
      <w:r w:rsidRPr="00F17E86">
        <w:rPr>
          <w:b/>
          <w:szCs w:val="22"/>
        </w:rPr>
        <w:t xml:space="preserve">Atbalsts </w:t>
      </w:r>
      <w:r w:rsidRPr="00F17E86">
        <w:rPr>
          <w:b/>
          <w:i/>
          <w:szCs w:val="22"/>
        </w:rPr>
        <w:t>intermediate goods</w:t>
      </w:r>
      <w:r w:rsidRPr="00F17E86">
        <w:rPr>
          <w:b/>
          <w:szCs w:val="22"/>
        </w:rPr>
        <w:t xml:space="preserve"> izmantošanai tautsaimniecībā </w:t>
      </w:r>
      <w:r w:rsidRPr="00F17E86">
        <w:rPr>
          <w:szCs w:val="22"/>
        </w:rPr>
        <w:t xml:space="preserve">– saprotot, ka inovācijas komercializēšana ir ilgs un dārgs process, pēc iespējas jāatbalsta </w:t>
      </w:r>
      <w:r w:rsidRPr="00F17E86">
        <w:rPr>
          <w:i/>
          <w:szCs w:val="22"/>
        </w:rPr>
        <w:t>intermediate goods</w:t>
      </w:r>
      <w:r w:rsidRPr="00F17E86">
        <w:rPr>
          <w:szCs w:val="22"/>
        </w:rPr>
        <w:t xml:space="preserve"> (jeb produkti ar augstu pievienoto vērtību, kurus var izmantot produktu ar vēl augstāku pievienoto vērtību radīšanā) izmantošana, t.sk. paredzot šo kā pozitīvo vērtēšanas kritēriju ES fondu apsaimniekošanā. </w:t>
      </w:r>
    </w:p>
    <w:p w14:paraId="5522A89F" w14:textId="77777777" w:rsidR="00D87E57" w:rsidRPr="00F17E86" w:rsidRDefault="00D87E57" w:rsidP="00D87E57">
      <w:pPr>
        <w:pStyle w:val="ListParagraph"/>
        <w:numPr>
          <w:ilvl w:val="0"/>
          <w:numId w:val="37"/>
        </w:numPr>
        <w:spacing w:before="60" w:after="60"/>
        <w:ind w:left="709"/>
        <w:rPr>
          <w:szCs w:val="22"/>
        </w:rPr>
      </w:pPr>
      <w:r w:rsidRPr="00F17E86">
        <w:rPr>
          <w:b/>
          <w:szCs w:val="22"/>
        </w:rPr>
        <w:t>Valsts mārketings un amatpersonu ārējā komunikācija</w:t>
      </w:r>
      <w:r w:rsidRPr="00F17E86">
        <w:rPr>
          <w:szCs w:val="22"/>
        </w:rPr>
        <w:t xml:space="preserve"> – visu augstāko valsts amatpersonu un politikas veidotāju (vizītes, uzrunas, individuālās tikšanās) dienaskārtībā ir jānodrošina Latvijas digitālās transformācijas stratēģijas “</w:t>
      </w:r>
      <w:r w:rsidRPr="00F17E86">
        <w:rPr>
          <w:i/>
          <w:szCs w:val="22"/>
        </w:rPr>
        <w:t>Data-Driven Nation</w:t>
      </w:r>
      <w:r w:rsidRPr="00F17E86">
        <w:rPr>
          <w:szCs w:val="22"/>
        </w:rPr>
        <w:t xml:space="preserve">” galveno uzstādījumu atspoguļošana, vienlaikus jāpopularizē Latvijas IT produktu/ risinājumu sasniegumi globālā tirgū. </w:t>
      </w:r>
    </w:p>
    <w:p w14:paraId="2DABCE4B" w14:textId="77777777" w:rsidR="00D87E57" w:rsidRPr="00F17E86" w:rsidRDefault="00D87E57" w:rsidP="00D87E57">
      <w:pPr>
        <w:rPr>
          <w:b/>
          <w:sz w:val="24"/>
        </w:rPr>
      </w:pPr>
    </w:p>
    <w:p w14:paraId="3315CC0B" w14:textId="77777777" w:rsidR="00D87E57" w:rsidRPr="00F17E86" w:rsidRDefault="00D87E57" w:rsidP="00D87E57">
      <w:pPr>
        <w:rPr>
          <w:b/>
          <w:sz w:val="24"/>
        </w:rPr>
      </w:pPr>
      <w:r w:rsidRPr="00F17E86">
        <w:rPr>
          <w:b/>
          <w:sz w:val="24"/>
        </w:rPr>
        <w:t xml:space="preserve">CILVĒKKAPITĀLS LATVIJAS EKONOMIKĀ </w:t>
      </w:r>
    </w:p>
    <w:p w14:paraId="66418FB2" w14:textId="77777777" w:rsidR="00D87E57" w:rsidRPr="00F17E86" w:rsidRDefault="00D87E57" w:rsidP="00D87E57">
      <w:pPr>
        <w:spacing w:before="60" w:after="60"/>
      </w:pPr>
      <w:r w:rsidRPr="00F17E86">
        <w:t>Mēs dzīvojam strauji mainīgā pasaulē, un bieži vien lielas algas saņemšanai vairs nepietiek ar sen atpakaļ iegūtu specialitāti vai profesiju. Tehnoloģiskais progress neizstumj cilvēku no darba tirgus. Gluži pretēji – tas rada jaunas iespējas. Viens cilvēks spēj paveikt vairāk darba un attiecīgi arī saņemt lielāku algu. Taču jaunas tehnoloģijas prasa arī jaunas zināšanas. Pat šķietami vienkāršu darbu veikšanai vairs nepietek tikai ar pabeigtu vidējo izglītību. 21.gadsimta straujo zinātnes un tehnikas sasniegumu un augstas tehnoloģijas laikmetā zināšanas un prasmes noveco arvien ātrāk, tādēļ pastāvīgi nepieciešams tās pilnveidot un uzlabot, kā arī apgūt jaunas zināšanas un prasmes, lai spētu konkurēt darba tirgū. 2016.gadā vien 7.3% (77.7 tūkst.) no iedzīvotājiem vecumā no 25-64 gadiem bija iesaistīti mūžizglītības pasākumos – mērķis līdz 2020. gadam palielināt pieaugušo izglītībā iesaistīto īpatsvaru līdz 15% jeb aptuveni 120 tūkst.</w:t>
      </w:r>
    </w:p>
    <w:p w14:paraId="7C32875D" w14:textId="52E419A4" w:rsidR="00D87E57" w:rsidRPr="00F17E86" w:rsidRDefault="00D87E57" w:rsidP="00D87E57">
      <w:pPr>
        <w:spacing w:before="60" w:after="60"/>
        <w:rPr>
          <w:highlight w:val="yellow"/>
        </w:rPr>
      </w:pPr>
      <w:r w:rsidRPr="00F17E86">
        <w:t>Latvijas darba tirgū ir liels mazkvalificētā darbaspēka īpatsvars. Pašlaik vairāk nekā 90 tūkst. jeb aptuveni 9% no ekonomiski aktīvajiem iedzīvotājiem bija pamatizglītība vai nepabeigta pamatizglītība, turklāt nav sagaidāms, ka tuvākā nākotnē to īpatsvars varētu būtiski samazināties. Vienlaikus vakances netiek aizpildītas pat pie salīdzinoši aug</w:t>
      </w:r>
      <w:r w:rsidR="00F17E86">
        <w:t>s</w:t>
      </w:r>
      <w:r w:rsidRPr="00F17E86">
        <w:t>ta bezdarba līmeņa, būtiskas atšķirības ir vērojamas arī reģionālā griezumā. Tas liecina par strukturālam problēmām. Pašreizējam darbaspēka trūkumam ir divi galvenie iemesli – 1) pārāk zems atalgojums neproduktīvās nozarēs un darbiniekiem nav motivācija šādus darbus veikt (papildus augsts ēnu ekonomikas risks), 2) zināšanu un tehnoloģiju ietilpīgās nozarēs iztrūkst atbilstoši augsti kvalificēti speciālisti. Kā primāri veicamie pasākumi darba tirgus problēmu risināšanai minami:</w:t>
      </w:r>
    </w:p>
    <w:p w14:paraId="397FE39C" w14:textId="77777777" w:rsidR="00D87E57" w:rsidRPr="00F17E86" w:rsidRDefault="00D87E57" w:rsidP="00D87E57">
      <w:pPr>
        <w:spacing w:after="60"/>
        <w:rPr>
          <w:sz w:val="4"/>
        </w:rPr>
      </w:pPr>
    </w:p>
    <w:p w14:paraId="7A4BB601" w14:textId="77777777" w:rsidR="00D87E57" w:rsidRPr="00F17E86" w:rsidRDefault="00D87E57" w:rsidP="00D87E57">
      <w:pPr>
        <w:pStyle w:val="ListParagraph"/>
        <w:numPr>
          <w:ilvl w:val="0"/>
          <w:numId w:val="38"/>
        </w:numPr>
        <w:spacing w:before="60" w:after="60"/>
        <w:ind w:left="567"/>
        <w:rPr>
          <w:szCs w:val="22"/>
        </w:rPr>
      </w:pPr>
      <w:r w:rsidRPr="00F17E86">
        <w:rPr>
          <w:b/>
          <w:szCs w:val="22"/>
        </w:rPr>
        <w:t>efektīvas pieaugušo izglītības sistēmas izveide</w:t>
      </w:r>
      <w:r w:rsidRPr="00F17E86">
        <w:rPr>
          <w:szCs w:val="22"/>
        </w:rPr>
        <w:t>, kas nebalstās tikai uz ES fondu apguvi, bet arī motivē uzņēmējus ieguldīt savos darbiniekos. Efektīva pielāgošanās strauji mainīgajā darba tirgū ir svarīgs priekšnosacījums trūkstošā darbaspēka nodrošināšanai produktīvajiem tautsaimniecības sektoriem.</w:t>
      </w:r>
    </w:p>
    <w:p w14:paraId="45923881" w14:textId="77777777" w:rsidR="00D87E57" w:rsidRPr="00F17E86" w:rsidRDefault="00D87E57" w:rsidP="00D87E57">
      <w:pPr>
        <w:pStyle w:val="ListParagraph"/>
        <w:numPr>
          <w:ilvl w:val="0"/>
          <w:numId w:val="38"/>
        </w:numPr>
        <w:spacing w:before="60" w:after="60"/>
        <w:ind w:left="567"/>
        <w:rPr>
          <w:szCs w:val="22"/>
        </w:rPr>
      </w:pPr>
      <w:r w:rsidRPr="00F17E86">
        <w:rPr>
          <w:b/>
          <w:szCs w:val="22"/>
        </w:rPr>
        <w:t>profesionālās izglītības kompetences centri kā aktīvi izglītības tirgus dalībnieki</w:t>
      </w:r>
      <w:r w:rsidRPr="00F17E86">
        <w:rPr>
          <w:szCs w:val="22"/>
        </w:rPr>
        <w:t xml:space="preserve">. Jāveido stimuli to sadarbībai ar privāto sektoru, sniedzot atbalstu profesionālās izglītības iestādēm marketinga prasmju attīstībā, pieaugušo izglītības institucionālā pārvaldībā, infrastruktūras resursu pārvaldībā un darba tirgum nepieciešamo programmu izstrādē. Jāizstrādā individuāla "darba/ karjeras plānu" pieejas programmas, salāgojot attīstības piedāvājumu ar pieprasījumu tirgū esošu un prognozējamu darba tirgus vajadzību apmierināšanai. Tas motivētu katru indivīdu attīstīties atbilstoši savām spējām. Pakāpeniski katrs cilvēks tiktu iesaistīts "karjeras" izaugsmes plānā, kur viņš/ viņa paliktu saskarē arī pēc darba iegūšanas un tiktu regulāri uzraudzīta viņa/ viņas apmierinātība, darba devēja apmierinātība, darba rezultāti/ progress, lemjot par tālākajiem nepieciešamajiem "labojumiem" individuālajā karjeras plānā, tādejādi panākot gan iesaisti darba tirgū, gan maksimālu produktivitāti no katra darba tirgus dalībnieka. </w:t>
      </w:r>
    </w:p>
    <w:p w14:paraId="158E752C" w14:textId="77777777" w:rsidR="00D87E57" w:rsidRPr="00F17E86" w:rsidRDefault="00D87E57" w:rsidP="00D87E57">
      <w:pPr>
        <w:pStyle w:val="ListParagraph"/>
        <w:numPr>
          <w:ilvl w:val="0"/>
          <w:numId w:val="38"/>
        </w:numPr>
        <w:spacing w:before="60" w:after="60"/>
        <w:ind w:left="567"/>
        <w:rPr>
          <w:szCs w:val="22"/>
        </w:rPr>
      </w:pPr>
      <w:r w:rsidRPr="00F17E86">
        <w:rPr>
          <w:b/>
          <w:szCs w:val="22"/>
        </w:rPr>
        <w:t>bezdarbnieku mācībās un pārkvalifikācijā lielāks uzsvars ir jāliek uz darba tirgū pieprasītas profesijas apguvi</w:t>
      </w:r>
      <w:r w:rsidRPr="00F17E86">
        <w:rPr>
          <w:szCs w:val="22"/>
        </w:rPr>
        <w:t xml:space="preserve"> un mazākā mērā uz “mīksto” prasmju piedāvājumu un vispārīgo kompetenču pilnveidi. </w:t>
      </w:r>
    </w:p>
    <w:p w14:paraId="1531D754" w14:textId="77777777" w:rsidR="00D87E57" w:rsidRPr="00F17E86" w:rsidRDefault="00D87E57" w:rsidP="00D87E57">
      <w:pPr>
        <w:pStyle w:val="ListParagraph"/>
        <w:numPr>
          <w:ilvl w:val="0"/>
          <w:numId w:val="38"/>
        </w:numPr>
        <w:spacing w:before="60" w:after="60"/>
        <w:ind w:left="567"/>
        <w:rPr>
          <w:szCs w:val="22"/>
        </w:rPr>
      </w:pPr>
      <w:r w:rsidRPr="00F17E86">
        <w:rPr>
          <w:szCs w:val="22"/>
        </w:rPr>
        <w:t xml:space="preserve">atbilstoši Imigrācijas likuma normām jāizstrādā </w:t>
      </w:r>
      <w:r w:rsidRPr="00F17E86">
        <w:rPr>
          <w:b/>
          <w:szCs w:val="22"/>
        </w:rPr>
        <w:t>profesiju saraksts augsti kvalificētu speciālistu atvieglotai piesaistei no trešajām valstīm</w:t>
      </w:r>
      <w:r w:rsidRPr="00F17E86">
        <w:rPr>
          <w:szCs w:val="22"/>
        </w:rPr>
        <w:t xml:space="preserve"> zināšanu un tehnoloģiju ietilpīgās nozarēs.</w:t>
      </w:r>
    </w:p>
    <w:p w14:paraId="341E69CA" w14:textId="77777777" w:rsidR="00D87E57" w:rsidRPr="00F17E86" w:rsidRDefault="00D87E57" w:rsidP="00D87E57">
      <w:pPr>
        <w:pStyle w:val="ListParagraph"/>
        <w:numPr>
          <w:ilvl w:val="0"/>
          <w:numId w:val="38"/>
        </w:numPr>
        <w:spacing w:before="60" w:after="60"/>
        <w:ind w:left="567"/>
        <w:rPr>
          <w:szCs w:val="22"/>
        </w:rPr>
      </w:pPr>
      <w:r w:rsidRPr="00F17E86">
        <w:rPr>
          <w:szCs w:val="22"/>
        </w:rPr>
        <w:t xml:space="preserve">nozaru stratēģijas un </w:t>
      </w:r>
      <w:r w:rsidRPr="00F17E86">
        <w:rPr>
          <w:b/>
          <w:i/>
          <w:szCs w:val="22"/>
        </w:rPr>
        <w:t xml:space="preserve">foresight </w:t>
      </w:r>
      <w:r w:rsidRPr="00F17E86">
        <w:rPr>
          <w:b/>
          <w:szCs w:val="22"/>
        </w:rPr>
        <w:t>pētījumi, kā pamats formālās izglītības piedāvājuma veidošanai nākotnes darbaspēka sagatavošanai</w:t>
      </w:r>
      <w:r w:rsidRPr="00F17E86">
        <w:rPr>
          <w:szCs w:val="22"/>
        </w:rPr>
        <w:t xml:space="preserve">. Formālā izglītība prasa laiku, tāpēc gatavojot jaunos speciālistus nevar balstīties tikai uz šodienas vajadzībām, bet jāņem vērā katras nozares nākotnes (vidēja termiņa) attīstības tendences un reāli izvērtētas attīstības perspektīvas. </w:t>
      </w:r>
    </w:p>
    <w:p w14:paraId="0DCD2DAC" w14:textId="77777777" w:rsidR="00D87E57" w:rsidRPr="00F17E86" w:rsidRDefault="00D87E57" w:rsidP="00D87E57">
      <w:pPr>
        <w:pStyle w:val="ListParagraph"/>
        <w:numPr>
          <w:ilvl w:val="0"/>
          <w:numId w:val="38"/>
        </w:numPr>
        <w:spacing w:before="60" w:after="60"/>
        <w:ind w:left="567"/>
        <w:rPr>
          <w:szCs w:val="22"/>
        </w:rPr>
      </w:pPr>
      <w:r w:rsidRPr="00F17E86">
        <w:rPr>
          <w:b/>
          <w:szCs w:val="22"/>
        </w:rPr>
        <w:t>esošo uzņēmumu “paplašināšanas programma”</w:t>
      </w:r>
      <w:r w:rsidRPr="00F17E86">
        <w:rPr>
          <w:szCs w:val="22"/>
        </w:rPr>
        <w:t xml:space="preserve"> – tiek organizēta esošajiem uzņēmējiem ar mērķi paplašināt jau strādājošus uzņēmumus (</w:t>
      </w:r>
      <w:r w:rsidRPr="00F17E86">
        <w:rPr>
          <w:i/>
          <w:szCs w:val="22"/>
        </w:rPr>
        <w:t>less teaching more doing</w:t>
      </w:r>
      <w:r w:rsidRPr="00F17E86">
        <w:rPr>
          <w:szCs w:val="22"/>
        </w:rPr>
        <w:t xml:space="preserve"> pieeja). Svarīgākais, lai uzņēmējs vēlētos iekļauties globālās vērtību ķēdēs, ir – tirgus datos balstīta distribūcijas stratēģijas izstrāde, kādēļ ir nepieciešams izveidot dažādus "datu nodošanas" kanālus – sociālo tiklu platformas u.c. Specializēta tālākapmācība esošajiem komersantiem par biznesa stratēģijām/ tirgus izpēti, ražošanas optimizāciju, procesu vadību, mārketingu, pārdošanu – ko nodrošinātu augsta līmeņa mentori. Šeit kā piemēri ir minami ASV Goldman Sachs finansēta programma (mentorings) sadarbībā ar Wayen universitāti Detroitā, kur programmas rezultāti rāda, ka 60% uzņēmumu 6 mēnešu laikā pieauga apgrozījums un peļņa, kā arī 25% no uzņēmumiem piesaistīja papildus nodarbinātos.</w:t>
      </w:r>
    </w:p>
    <w:p w14:paraId="135DD74F" w14:textId="77777777" w:rsidR="00D87E57" w:rsidRPr="00F17E86" w:rsidRDefault="00D87E57" w:rsidP="00D87E57">
      <w:pPr>
        <w:pStyle w:val="ListParagraph"/>
        <w:numPr>
          <w:ilvl w:val="0"/>
          <w:numId w:val="38"/>
        </w:numPr>
        <w:spacing w:before="60" w:after="60"/>
        <w:ind w:left="567"/>
        <w:rPr>
          <w:szCs w:val="22"/>
        </w:rPr>
      </w:pPr>
      <w:r w:rsidRPr="00F17E86">
        <w:rPr>
          <w:b/>
          <w:szCs w:val="22"/>
        </w:rPr>
        <w:t xml:space="preserve">Vienotas eksporta platformas programmas izveide (Rīga kā </w:t>
      </w:r>
      <w:r w:rsidRPr="00F17E86">
        <w:rPr>
          <w:b/>
          <w:i/>
          <w:szCs w:val="22"/>
        </w:rPr>
        <w:t>gateway city</w:t>
      </w:r>
      <w:r w:rsidRPr="00F17E86">
        <w:rPr>
          <w:b/>
          <w:szCs w:val="22"/>
        </w:rPr>
        <w:t>)</w:t>
      </w:r>
      <w:r w:rsidRPr="00F17E86">
        <w:rPr>
          <w:szCs w:val="22"/>
        </w:rPr>
        <w:t xml:space="preserve"> – caur Rīgu piedāvāt Latvijas konkurētspējas nišas un produktus un caur Rīgu šīs iespējas ari veicināt ārvalstu investīciju, inovācijas un jauna darbaspēka piesaistei (t.sk. arī augstākajā izglītībā). Šeit kā piemērs ir minams Ņujorkas štata piemērs, kur pati Ņujorkas pilsēta kalpo par dažādu industriju spēlētāju un darbaspēka piesaistes magnētu, taču dažādu jomu un specialitāšu klasteri ir nereti izvietoti tieši Ņujorkas piepilsētās – sadarbības teritorijās. Attiecīgi procesā iegūst gan pilsēta, gan štats plašākā nozīmē, gan arī uz to pārceltie biznesi un cilvēkkapitāls. Savukārt vietējo pašvaldību klastera ietvaros, lai efektivizētu informācijas apriti, reģionu pašvaldībām jāveido grantu atbalsta programmas uzņēmumu eksportspējas atbalstam – web lapu tulkošana, izstādes, ikmēneša semināri, sertifikācija, produktu pielāgošana, brendošana u.c.</w:t>
      </w:r>
    </w:p>
    <w:p w14:paraId="1219B18B" w14:textId="77777777" w:rsidR="00D87E57" w:rsidRPr="00F17E86" w:rsidRDefault="00D87E57" w:rsidP="00D87E57">
      <w:pPr>
        <w:rPr>
          <w:b/>
          <w:sz w:val="24"/>
        </w:rPr>
      </w:pPr>
    </w:p>
    <w:p w14:paraId="7EBCCBAD" w14:textId="77777777" w:rsidR="00D87E57" w:rsidRPr="00F17E86" w:rsidRDefault="00D87E57" w:rsidP="00D87E57">
      <w:pPr>
        <w:rPr>
          <w:b/>
          <w:sz w:val="24"/>
        </w:rPr>
      </w:pPr>
      <w:r w:rsidRPr="00F17E86">
        <w:rPr>
          <w:b/>
          <w:sz w:val="24"/>
        </w:rPr>
        <w:lastRenderedPageBreak/>
        <w:t xml:space="preserve">INSTITUCIONĀLAIS IETVARS </w:t>
      </w:r>
    </w:p>
    <w:p w14:paraId="2BDEB62B" w14:textId="77777777" w:rsidR="00D87E57" w:rsidRPr="00F17E86" w:rsidRDefault="00D87E57" w:rsidP="00D87E57">
      <w:pPr>
        <w:spacing w:after="0"/>
      </w:pPr>
      <w:r w:rsidRPr="00F17E86">
        <w:t xml:space="preserve">Institucionālā vide ir nozīmīgs konkurētspējas aspekts, kam pasaules mērogā tiek pievērsta īpaša uzmanība un veiktas reformas. Kā viens no pārmaiņu virzieniem ir dažādu IT risinājumu ieviešana - dažādu tehnoloģisko risinājumu izstrāde/ ieviešana valsts pārvaldē un pašvaldībās (jo īpaši pilsētās). Vienlaikus ir jāņem vērā, ka ar institucionālo vidi tiek saprasts ne tikai valsts pārvaldes vai valdības darbs, bet arī privātā biznesa korporatīvā ētika. Šeit pie pasākumiem ir jāmin: </w:t>
      </w:r>
    </w:p>
    <w:p w14:paraId="19FF4EF0" w14:textId="77777777" w:rsidR="00D87E57" w:rsidRPr="00F17E86" w:rsidRDefault="00D87E57" w:rsidP="00D87E57">
      <w:pPr>
        <w:spacing w:after="0"/>
        <w:rPr>
          <w:sz w:val="12"/>
        </w:rPr>
      </w:pPr>
    </w:p>
    <w:p w14:paraId="72841351" w14:textId="77777777" w:rsidR="00D87E57" w:rsidRPr="00F17E86" w:rsidRDefault="00D87E57" w:rsidP="00D87E57">
      <w:pPr>
        <w:pStyle w:val="ListParagraph"/>
        <w:numPr>
          <w:ilvl w:val="0"/>
          <w:numId w:val="40"/>
        </w:numPr>
        <w:spacing w:before="60" w:after="60"/>
        <w:ind w:left="567"/>
        <w:rPr>
          <w:szCs w:val="22"/>
        </w:rPr>
      </w:pPr>
      <w:r w:rsidRPr="00F17E86">
        <w:rPr>
          <w:b/>
          <w:szCs w:val="22"/>
        </w:rPr>
        <w:t>jaunāko tehnoloģiju izmantošana sabiedrības pašpārvaldei</w:t>
      </w:r>
      <w:r w:rsidRPr="00F17E86">
        <w:rPr>
          <w:szCs w:val="22"/>
        </w:rPr>
        <w:t xml:space="preserve"> publisko pakalpojumu kvalitātes uzlabošanai (piemēram, namu, graustu apsaimniekošanai, teritorijas sakārtošanai u.c., izmantojot GPS/ mobilos risinājumus, nodrošinot iespējas pašvaldībai attiecīgi operatīvi reaģēt).</w:t>
      </w:r>
    </w:p>
    <w:p w14:paraId="4FE60B3A" w14:textId="77777777" w:rsidR="00D87E57" w:rsidRPr="00F17E86" w:rsidRDefault="00D87E57" w:rsidP="00D87E57">
      <w:pPr>
        <w:pStyle w:val="ListParagraph"/>
        <w:numPr>
          <w:ilvl w:val="0"/>
          <w:numId w:val="40"/>
        </w:numPr>
        <w:spacing w:before="60" w:after="60"/>
        <w:ind w:left="567"/>
        <w:rPr>
          <w:szCs w:val="22"/>
        </w:rPr>
      </w:pPr>
      <w:r w:rsidRPr="00F17E86">
        <w:rPr>
          <w:b/>
          <w:szCs w:val="22"/>
        </w:rPr>
        <w:t>uzņēmējdarbības platformas vietējo pašvaldību līmenī</w:t>
      </w:r>
      <w:r w:rsidRPr="00F17E86">
        <w:rPr>
          <w:szCs w:val="22"/>
        </w:rPr>
        <w:t xml:space="preserve"> – jaunu biznesa ideju konkursi, pieredzes un zināšanu nodošana no vietējo uzņēmumu vadītājiem, piesaistot biznesa eņģeļus un citus profesionāļus projektu ideju vērtēšanai. Pašvaldība kā telpu pieejamības nodrošinātājs starpindustriju saišu veidošanai, kur pieejami mentoru pakalpojumi, salīdzinot ar akadēmiskajām programmām.</w:t>
      </w:r>
    </w:p>
    <w:p w14:paraId="47499333" w14:textId="77777777" w:rsidR="00D87E57" w:rsidRPr="00F17E86" w:rsidRDefault="00D87E57" w:rsidP="00D87E57">
      <w:pPr>
        <w:pStyle w:val="ListParagraph"/>
        <w:numPr>
          <w:ilvl w:val="0"/>
          <w:numId w:val="40"/>
        </w:numPr>
        <w:spacing w:before="60" w:after="60"/>
        <w:ind w:left="567"/>
        <w:rPr>
          <w:szCs w:val="22"/>
        </w:rPr>
      </w:pPr>
      <w:r w:rsidRPr="00F17E86">
        <w:rPr>
          <w:b/>
          <w:szCs w:val="22"/>
        </w:rPr>
        <w:t>ēnu ekonomikas apkarošana</w:t>
      </w:r>
      <w:r w:rsidRPr="00F17E86">
        <w:rPr>
          <w:szCs w:val="22"/>
        </w:rPr>
        <w:t xml:space="preserve"> – sektoru definēšana (būvniecība, dārzeņi, apsardze, mazumtirdzniecība, sociālie maksājumi) un pasākumu īstenošana. Ēnu ekonomikas apkarošana ir primāri jāveic sektoros, kuros ir lielākais iespējamais ekonomiskais ieguvums, kā arī lielākais iespējamais pozitīvais multiplikatorais efekts uz sabiedrības vajadzībām un uzņēmējdarbības godīgu attīstību. Stratēģiskā komunikācija ar dažādām sabiedrības grupām par ēnu ekonomikas ietekmi uz dzīves kvalitāti.</w:t>
      </w:r>
    </w:p>
    <w:p w14:paraId="6CA0F147" w14:textId="77777777" w:rsidR="00D87E57" w:rsidRDefault="00D87E57" w:rsidP="00D87E57">
      <w:pPr>
        <w:pStyle w:val="ListParagraph"/>
        <w:spacing w:after="60"/>
        <w:ind w:left="567"/>
        <w:rPr>
          <w:rFonts w:asciiTheme="majorHAnsi" w:hAnsiTheme="majorHAnsi"/>
          <w:szCs w:val="22"/>
        </w:rPr>
      </w:pPr>
    </w:p>
    <w:p w14:paraId="75552441" w14:textId="77777777" w:rsidR="00D87E57" w:rsidRDefault="00D87E57" w:rsidP="00D87E57">
      <w:pPr>
        <w:ind w:left="567" w:hanging="283"/>
        <w:rPr>
          <w:rFonts w:eastAsia="Times New Roman"/>
          <w:b/>
          <w:color w:val="000000" w:themeColor="text1"/>
          <w:lang w:eastAsia="lv-LV"/>
        </w:rPr>
      </w:pPr>
    </w:p>
    <w:p w14:paraId="5E5CCE5E" w14:textId="77777777" w:rsidR="00D87E57" w:rsidRDefault="00D87E57" w:rsidP="00D87E57">
      <w:pPr>
        <w:rPr>
          <w:rFonts w:asciiTheme="majorHAnsi" w:eastAsia="Times New Roman" w:hAnsiTheme="majorHAnsi"/>
          <w:b/>
          <w:color w:val="000000" w:themeColor="text1"/>
          <w:sz w:val="20"/>
          <w:szCs w:val="20"/>
          <w:u w:val="single"/>
          <w:lang w:eastAsia="lv-LV"/>
        </w:rPr>
      </w:pPr>
    </w:p>
    <w:p w14:paraId="2965D6A0" w14:textId="77777777" w:rsidR="00D87E57" w:rsidRDefault="00D87E57" w:rsidP="00D87E57">
      <w:pPr>
        <w:rPr>
          <w:rFonts w:asciiTheme="majorHAnsi" w:eastAsia="Times New Roman" w:hAnsiTheme="majorHAnsi"/>
          <w:b/>
          <w:color w:val="000000" w:themeColor="text1"/>
          <w:sz w:val="20"/>
          <w:szCs w:val="20"/>
          <w:u w:val="single"/>
          <w:lang w:eastAsia="lv-LV"/>
        </w:rPr>
      </w:pPr>
      <w:r>
        <w:rPr>
          <w:rFonts w:asciiTheme="majorHAnsi" w:eastAsia="Times New Roman" w:hAnsiTheme="majorHAnsi"/>
          <w:b/>
          <w:color w:val="000000" w:themeColor="text1"/>
          <w:sz w:val="20"/>
          <w:szCs w:val="20"/>
          <w:u w:val="single"/>
          <w:lang w:eastAsia="lv-LV"/>
        </w:rPr>
        <w:br w:type="page"/>
      </w:r>
    </w:p>
    <w:p w14:paraId="6E9E07A7" w14:textId="77777777" w:rsidR="00D87E57" w:rsidRDefault="00D87E57" w:rsidP="00D87E57">
      <w:pPr>
        <w:pStyle w:val="Heading1"/>
        <w:spacing w:before="0"/>
        <w:jc w:val="center"/>
        <w:rPr>
          <w:rFonts w:eastAsia="Times New Roman"/>
          <w:b w:val="0"/>
          <w:color w:val="000000" w:themeColor="text1"/>
          <w:lang w:eastAsia="lv-LV"/>
        </w:rPr>
      </w:pPr>
      <w:r>
        <w:rPr>
          <w:rFonts w:eastAsia="Times New Roman"/>
          <w:color w:val="000000" w:themeColor="text1"/>
          <w:lang w:eastAsia="lv-LV"/>
        </w:rPr>
        <w:lastRenderedPageBreak/>
        <w:t>KOPSAVILKUMS</w:t>
      </w:r>
    </w:p>
    <w:p w14:paraId="3F988AC1" w14:textId="77777777" w:rsidR="00D87E57" w:rsidRDefault="00D87E57" w:rsidP="00D87E57">
      <w:r>
        <w:rPr>
          <w:noProof/>
          <w:lang w:val="lv-LV" w:eastAsia="lv-LV"/>
        </w:rPr>
        <mc:AlternateContent>
          <mc:Choice Requires="wps">
            <w:drawing>
              <wp:anchor distT="45720" distB="45720" distL="114300" distR="114300" simplePos="0" relativeHeight="251670016" behindDoc="0" locked="0" layoutInCell="1" allowOverlap="1" wp14:anchorId="1451BA59" wp14:editId="1E6699F0">
                <wp:simplePos x="0" y="0"/>
                <wp:positionH relativeFrom="column">
                  <wp:posOffset>3771900</wp:posOffset>
                </wp:positionH>
                <wp:positionV relativeFrom="paragraph">
                  <wp:posOffset>745490</wp:posOffset>
                </wp:positionV>
                <wp:extent cx="2105025" cy="723900"/>
                <wp:effectExtent l="0" t="0" r="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23900"/>
                        </a:xfrm>
                        <a:prstGeom prst="rect">
                          <a:avLst/>
                        </a:prstGeom>
                        <a:noFill/>
                        <a:ln w="9525">
                          <a:noFill/>
                          <a:miter lim="800000"/>
                          <a:headEnd/>
                          <a:tailEnd/>
                        </a:ln>
                      </wps:spPr>
                      <wps:txbx>
                        <w:txbxContent>
                          <w:p w14:paraId="053FBD42" w14:textId="77777777" w:rsidR="0047559B" w:rsidRPr="00AE6E5E" w:rsidRDefault="0047559B" w:rsidP="00D87E57">
                            <w:pPr>
                              <w:spacing w:after="0"/>
                              <w:rPr>
                                <w:rFonts w:ascii="Calibri Light" w:hAnsi="Calibri Light"/>
                                <w:i/>
                                <w:sz w:val="14"/>
                              </w:rPr>
                            </w:pPr>
                            <w:r w:rsidRPr="00AE6E5E">
                              <w:rPr>
                                <w:rFonts w:ascii="Calibri Light" w:hAnsi="Calibri Light"/>
                                <w:sz w:val="16"/>
                              </w:rPr>
                              <w:sym w:font="Wingdings 3" w:char="F0EA"/>
                            </w:r>
                            <w:r w:rsidRPr="00AE6E5E">
                              <w:rPr>
                                <w:rFonts w:ascii="Calibri Light" w:hAnsi="Calibri Light"/>
                                <w:sz w:val="16"/>
                              </w:rPr>
                              <w:t xml:space="preserve"> Ekonomikas izrāviens </w:t>
                            </w:r>
                            <w:r w:rsidRPr="00AE6E5E">
                              <w:rPr>
                                <w:rFonts w:ascii="Calibri Light" w:hAnsi="Calibri Light"/>
                                <w:i/>
                                <w:sz w:val="14"/>
                              </w:rPr>
                              <w:t>(NAP2020)</w:t>
                            </w:r>
                          </w:p>
                          <w:p w14:paraId="794C3822" w14:textId="77777777" w:rsidR="0047559B" w:rsidRPr="00AE6E5E" w:rsidRDefault="0047559B" w:rsidP="00D87E57">
                            <w:pPr>
                              <w:spacing w:after="0"/>
                              <w:rPr>
                                <w:rFonts w:ascii="Calibri Light" w:hAnsi="Calibri Light"/>
                                <w:sz w:val="16"/>
                              </w:rPr>
                            </w:pPr>
                            <w:r w:rsidRPr="00AE6E5E">
                              <w:rPr>
                                <w:rFonts w:ascii="Calibri Light" w:hAnsi="Calibri Light"/>
                                <w:sz w:val="16"/>
                              </w:rPr>
                              <w:sym w:font="Wingdings 3" w:char="F0EA"/>
                            </w:r>
                            <w:r w:rsidRPr="00AE6E5E">
                              <w:rPr>
                                <w:rFonts w:ascii="Calibri Light" w:hAnsi="Calibri Light"/>
                                <w:sz w:val="16"/>
                              </w:rPr>
                              <w:t xml:space="preserve"> Sabalansēta 5% izaugsme vidējā terminā </w:t>
                            </w:r>
                          </w:p>
                          <w:p w14:paraId="7C12622A" w14:textId="77777777" w:rsidR="0047559B" w:rsidRPr="00AE6E5E" w:rsidRDefault="0047559B" w:rsidP="00D87E57">
                            <w:pPr>
                              <w:spacing w:after="0"/>
                              <w:rPr>
                                <w:rFonts w:ascii="Calibri Light" w:hAnsi="Calibri Light"/>
                                <w:i/>
                                <w:sz w:val="14"/>
                              </w:rPr>
                            </w:pPr>
                            <w:r w:rsidRPr="00AE6E5E">
                              <w:rPr>
                                <w:rFonts w:ascii="Calibri Light" w:hAnsi="Calibri Light"/>
                                <w:i/>
                                <w:sz w:val="14"/>
                              </w:rPr>
                              <w:t>(Valdības deklarācija)</w:t>
                            </w:r>
                          </w:p>
                          <w:p w14:paraId="684CE229" w14:textId="77777777" w:rsidR="0047559B" w:rsidRPr="00AE6E5E" w:rsidRDefault="0047559B" w:rsidP="00D87E57">
                            <w:pPr>
                              <w:spacing w:after="0"/>
                              <w:rPr>
                                <w:rFonts w:ascii="Calibri Light" w:hAnsi="Calibri Light"/>
                                <w:sz w:val="16"/>
                              </w:rPr>
                            </w:pPr>
                            <w:r w:rsidRPr="00AE6E5E">
                              <w:rPr>
                                <w:rFonts w:ascii="Calibri Light" w:hAnsi="Calibri Light"/>
                                <w:sz w:val="16"/>
                              </w:rPr>
                              <w:sym w:font="Wingdings 3" w:char="F0EA"/>
                            </w:r>
                            <w:r w:rsidRPr="00AE6E5E">
                              <w:rPr>
                                <w:rFonts w:ascii="Calibri Light" w:hAnsi="Calibri Light"/>
                                <w:sz w:val="16"/>
                              </w:rPr>
                              <w:t xml:space="preserve"> Ekonomikas transformācija </w:t>
                            </w:r>
                          </w:p>
                          <w:p w14:paraId="688D374D" w14:textId="77777777" w:rsidR="0047559B" w:rsidRPr="00AE6E5E" w:rsidRDefault="0047559B" w:rsidP="00D87E57">
                            <w:pPr>
                              <w:spacing w:after="0"/>
                              <w:rPr>
                                <w:rFonts w:ascii="Calibri Light" w:hAnsi="Calibri Light"/>
                                <w:i/>
                                <w:sz w:val="14"/>
                              </w:rPr>
                            </w:pPr>
                            <w:r w:rsidRPr="00AE6E5E">
                              <w:rPr>
                                <w:rFonts w:ascii="Calibri Light" w:hAnsi="Calibri Light"/>
                                <w:i/>
                                <w:sz w:val="14"/>
                              </w:rPr>
                              <w:t>(Viedās specializācijas stratēģija)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BA59" id="_x0000_s1072" type="#_x0000_t202" style="position:absolute;left:0;text-align:left;margin-left:297pt;margin-top:58.7pt;width:165.75pt;height:57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" filled="f" stroked="f">
                <v:textbox>
                  <w:txbxContent>
                    <w:p w14:paraId="053FBD42" w14:textId="77777777" w:rsidR="0047559B" w:rsidRPr="00AE6E5E" w:rsidRDefault="0047559B" w:rsidP="00D87E57">
                      <w:pPr>
                        <w:spacing w:after="0"/>
                        <w:rPr>
                          <w:rFonts w:ascii="Calibri Light" w:hAnsi="Calibri Light"/>
                          <w:i/>
                          <w:sz w:val="14"/>
                        </w:rPr>
                      </w:pPr>
                      <w:r w:rsidRPr="00AE6E5E">
                        <w:rPr>
                          <w:rFonts w:ascii="Calibri Light" w:hAnsi="Calibri Light"/>
                          <w:sz w:val="16"/>
                        </w:rPr>
                        <w:sym w:font="Wingdings 3" w:char="F0EA"/>
                      </w:r>
                      <w:r w:rsidRPr="00AE6E5E">
                        <w:rPr>
                          <w:rFonts w:ascii="Calibri Light" w:hAnsi="Calibri Light"/>
                          <w:sz w:val="16"/>
                        </w:rPr>
                        <w:t xml:space="preserve"> Ekonomikas izrāviens </w:t>
                      </w:r>
                      <w:r w:rsidRPr="00AE6E5E">
                        <w:rPr>
                          <w:rFonts w:ascii="Calibri Light" w:hAnsi="Calibri Light"/>
                          <w:i/>
                          <w:sz w:val="14"/>
                        </w:rPr>
                        <w:t>(NAP2020)</w:t>
                      </w:r>
                    </w:p>
                    <w:p w14:paraId="794C3822" w14:textId="77777777" w:rsidR="0047559B" w:rsidRPr="00AE6E5E" w:rsidRDefault="0047559B" w:rsidP="00D87E57">
                      <w:pPr>
                        <w:spacing w:after="0"/>
                        <w:rPr>
                          <w:rFonts w:ascii="Calibri Light" w:hAnsi="Calibri Light"/>
                          <w:sz w:val="16"/>
                        </w:rPr>
                      </w:pPr>
                      <w:r w:rsidRPr="00AE6E5E">
                        <w:rPr>
                          <w:rFonts w:ascii="Calibri Light" w:hAnsi="Calibri Light"/>
                          <w:sz w:val="16"/>
                        </w:rPr>
                        <w:sym w:font="Wingdings 3" w:char="F0EA"/>
                      </w:r>
                      <w:r w:rsidRPr="00AE6E5E">
                        <w:rPr>
                          <w:rFonts w:ascii="Calibri Light" w:hAnsi="Calibri Light"/>
                          <w:sz w:val="16"/>
                        </w:rPr>
                        <w:t xml:space="preserve"> Sabalansēta 5% izaugsme vidējā terminā </w:t>
                      </w:r>
                    </w:p>
                    <w:p w14:paraId="7C12622A" w14:textId="77777777" w:rsidR="0047559B" w:rsidRPr="00AE6E5E" w:rsidRDefault="0047559B" w:rsidP="00D87E57">
                      <w:pPr>
                        <w:spacing w:after="0"/>
                        <w:rPr>
                          <w:rFonts w:ascii="Calibri Light" w:hAnsi="Calibri Light"/>
                          <w:i/>
                          <w:sz w:val="14"/>
                        </w:rPr>
                      </w:pPr>
                      <w:r w:rsidRPr="00AE6E5E">
                        <w:rPr>
                          <w:rFonts w:ascii="Calibri Light" w:hAnsi="Calibri Light"/>
                          <w:i/>
                          <w:sz w:val="14"/>
                        </w:rPr>
                        <w:t>(Valdības deklarācija)</w:t>
                      </w:r>
                    </w:p>
                    <w:p w14:paraId="684CE229" w14:textId="77777777" w:rsidR="0047559B" w:rsidRPr="00AE6E5E" w:rsidRDefault="0047559B" w:rsidP="00D87E57">
                      <w:pPr>
                        <w:spacing w:after="0"/>
                        <w:rPr>
                          <w:rFonts w:ascii="Calibri Light" w:hAnsi="Calibri Light"/>
                          <w:sz w:val="16"/>
                        </w:rPr>
                      </w:pPr>
                      <w:r w:rsidRPr="00AE6E5E">
                        <w:rPr>
                          <w:rFonts w:ascii="Calibri Light" w:hAnsi="Calibri Light"/>
                          <w:sz w:val="16"/>
                        </w:rPr>
                        <w:sym w:font="Wingdings 3" w:char="F0EA"/>
                      </w:r>
                      <w:r w:rsidRPr="00AE6E5E">
                        <w:rPr>
                          <w:rFonts w:ascii="Calibri Light" w:hAnsi="Calibri Light"/>
                          <w:sz w:val="16"/>
                        </w:rPr>
                        <w:t xml:space="preserve"> Ekonomikas transformācija </w:t>
                      </w:r>
                    </w:p>
                    <w:p w14:paraId="688D374D" w14:textId="77777777" w:rsidR="0047559B" w:rsidRPr="00AE6E5E" w:rsidRDefault="0047559B" w:rsidP="00D87E57">
                      <w:pPr>
                        <w:spacing w:after="0"/>
                        <w:rPr>
                          <w:rFonts w:ascii="Calibri Light" w:hAnsi="Calibri Light"/>
                          <w:i/>
                          <w:sz w:val="14"/>
                        </w:rPr>
                      </w:pPr>
                      <w:r w:rsidRPr="00AE6E5E">
                        <w:rPr>
                          <w:rFonts w:ascii="Calibri Light" w:hAnsi="Calibri Light"/>
                          <w:i/>
                          <w:sz w:val="14"/>
                        </w:rPr>
                        <w:t>(Viedās specializācijas stratēģija)</w:t>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96640" behindDoc="0" locked="0" layoutInCell="1" allowOverlap="1" wp14:anchorId="612C491A" wp14:editId="7AFD5E22">
                <wp:simplePos x="0" y="0"/>
                <wp:positionH relativeFrom="column">
                  <wp:posOffset>5094287</wp:posOffset>
                </wp:positionH>
                <wp:positionV relativeFrom="paragraph">
                  <wp:posOffset>3721735</wp:posOffset>
                </wp:positionV>
                <wp:extent cx="400050" cy="342900"/>
                <wp:effectExtent l="0" t="0" r="0" b="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0050" cy="342900"/>
                        </a:xfrm>
                        <a:prstGeom prst="rect">
                          <a:avLst/>
                        </a:prstGeom>
                        <a:noFill/>
                        <a:ln w="9525">
                          <a:noFill/>
                          <a:miter lim="800000"/>
                          <a:headEnd/>
                          <a:tailEnd/>
                        </a:ln>
                      </wps:spPr>
                      <wps:txbx>
                        <w:txbxContent>
                          <w:p w14:paraId="0C8F8135"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C491A" id="_x0000_s1073" type="#_x0000_t202" style="position:absolute;left:0;text-align:left;margin-left:401.1pt;margin-top:293.05pt;width:31.5pt;height:27pt;rotation:180;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" filled="f" stroked="f">
                <v:textbox>
                  <w:txbxContent>
                    <w:p w14:paraId="0C8F8135"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95616" behindDoc="0" locked="0" layoutInCell="1" allowOverlap="1" wp14:anchorId="65112992" wp14:editId="5E74C38B">
                <wp:simplePos x="0" y="0"/>
                <wp:positionH relativeFrom="column">
                  <wp:posOffset>3771900</wp:posOffset>
                </wp:positionH>
                <wp:positionV relativeFrom="paragraph">
                  <wp:posOffset>3721735</wp:posOffset>
                </wp:positionV>
                <wp:extent cx="400050" cy="342900"/>
                <wp:effectExtent l="0" t="0" r="0" b="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0050" cy="342900"/>
                        </a:xfrm>
                        <a:prstGeom prst="rect">
                          <a:avLst/>
                        </a:prstGeom>
                        <a:noFill/>
                        <a:ln w="9525">
                          <a:noFill/>
                          <a:miter lim="800000"/>
                          <a:headEnd/>
                          <a:tailEnd/>
                        </a:ln>
                      </wps:spPr>
                      <wps:txbx>
                        <w:txbxContent>
                          <w:p w14:paraId="785C87DF"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12992" id="_x0000_s1074" type="#_x0000_t202" style="position:absolute;left:0;text-align:left;margin-left:297pt;margin-top:293.05pt;width:31.5pt;height:27pt;rotation:180;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" filled="f" stroked="f">
                <v:textbox>
                  <w:txbxContent>
                    <w:p w14:paraId="785C87DF"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94592" behindDoc="0" locked="0" layoutInCell="1" allowOverlap="1" wp14:anchorId="407E8EDA" wp14:editId="523B157D">
                <wp:simplePos x="0" y="0"/>
                <wp:positionH relativeFrom="column">
                  <wp:posOffset>2219325</wp:posOffset>
                </wp:positionH>
                <wp:positionV relativeFrom="paragraph">
                  <wp:posOffset>3712210</wp:posOffset>
                </wp:positionV>
                <wp:extent cx="400050" cy="342900"/>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0050" cy="342900"/>
                        </a:xfrm>
                        <a:prstGeom prst="rect">
                          <a:avLst/>
                        </a:prstGeom>
                        <a:noFill/>
                        <a:ln w="9525">
                          <a:noFill/>
                          <a:miter lim="800000"/>
                          <a:headEnd/>
                          <a:tailEnd/>
                        </a:ln>
                      </wps:spPr>
                      <wps:txbx>
                        <w:txbxContent>
                          <w:p w14:paraId="10D56A01"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E8EDA" id="_x0000_s1075" type="#_x0000_t202" style="position:absolute;left:0;text-align:left;margin-left:174.75pt;margin-top:292.3pt;width:31.5pt;height:27pt;rotation:180;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" filled="f" stroked="f">
                <v:textbox>
                  <w:txbxContent>
                    <w:p w14:paraId="10D56A01"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93568" behindDoc="0" locked="0" layoutInCell="1" allowOverlap="1" wp14:anchorId="3FB44383" wp14:editId="018ED009">
                <wp:simplePos x="0" y="0"/>
                <wp:positionH relativeFrom="column">
                  <wp:posOffset>742950</wp:posOffset>
                </wp:positionH>
                <wp:positionV relativeFrom="paragraph">
                  <wp:posOffset>3712210</wp:posOffset>
                </wp:positionV>
                <wp:extent cx="400050" cy="342900"/>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0050" cy="342900"/>
                        </a:xfrm>
                        <a:prstGeom prst="rect">
                          <a:avLst/>
                        </a:prstGeom>
                        <a:noFill/>
                        <a:ln w="9525">
                          <a:noFill/>
                          <a:miter lim="800000"/>
                          <a:headEnd/>
                          <a:tailEnd/>
                        </a:ln>
                      </wps:spPr>
                      <wps:txbx>
                        <w:txbxContent>
                          <w:p w14:paraId="665062BB"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44383" id="_x0000_s1076" type="#_x0000_t202" style="position:absolute;left:0;text-align:left;margin-left:58.5pt;margin-top:292.3pt;width:31.5pt;height:27pt;rotation:180;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" filled="f" stroked="f">
                <v:textbox>
                  <w:txbxContent>
                    <w:p w14:paraId="665062BB" w14:textId="77777777" w:rsidR="0047559B" w:rsidRPr="00747948" w:rsidRDefault="0047559B" w:rsidP="00D87E57">
                      <w:pPr>
                        <w:spacing w:after="40"/>
                        <w:rPr>
                          <w:rFonts w:ascii="Calibri Light" w:hAnsi="Calibri Light"/>
                          <w:b/>
                          <w:color w:val="C00000"/>
                          <w:sz w:val="40"/>
                        </w:rPr>
                      </w:pPr>
                      <w:r w:rsidRPr="00747948">
                        <w:rPr>
                          <w:rFonts w:ascii="Calibri Light" w:hAnsi="Calibri Light"/>
                          <w:b/>
                          <w:color w:val="C00000"/>
                          <w:sz w:val="40"/>
                        </w:rPr>
                        <w:sym w:font="Wingdings 3" w:char="F081"/>
                      </w:r>
                    </w:p>
                  </w:txbxContent>
                </v:textbox>
                <w10:wrap type="square"/>
              </v:shape>
            </w:pict>
          </mc:Fallback>
        </mc:AlternateContent>
      </w:r>
      <w:r>
        <w:rPr>
          <w:noProof/>
          <w:lang w:val="lv-LV" w:eastAsia="lv-LV"/>
        </w:rPr>
        <mc:AlternateContent>
          <mc:Choice Requires="wps">
            <w:drawing>
              <wp:anchor distT="45720" distB="45720" distL="114300" distR="114300" simplePos="0" relativeHeight="251686400" behindDoc="0" locked="0" layoutInCell="1" allowOverlap="1" wp14:anchorId="5ECF9BC5" wp14:editId="5D97BEBD">
                <wp:simplePos x="0" y="0"/>
                <wp:positionH relativeFrom="column">
                  <wp:posOffset>228095</wp:posOffset>
                </wp:positionH>
                <wp:positionV relativeFrom="paragraph">
                  <wp:posOffset>4058903</wp:posOffset>
                </wp:positionV>
                <wp:extent cx="1428750" cy="4352794"/>
                <wp:effectExtent l="0" t="0" r="1905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52794"/>
                        </a:xfrm>
                        <a:prstGeom prst="rect">
                          <a:avLst/>
                        </a:prstGeom>
                        <a:noFill/>
                        <a:ln w="3175">
                          <a:solidFill>
                            <a:srgbClr val="000000"/>
                          </a:solidFill>
                          <a:miter lim="800000"/>
                          <a:headEnd/>
                          <a:tailEnd/>
                        </a:ln>
                      </wps:spPr>
                      <wps:txbx>
                        <w:txbxContent>
                          <w:p w14:paraId="34E88CE1" w14:textId="77777777" w:rsidR="0047559B" w:rsidRDefault="0047559B" w:rsidP="00D87E57">
                            <w:pPr>
                              <w:spacing w:before="60" w:after="60"/>
                              <w:rPr>
                                <w:rFonts w:ascii="Calibri Light" w:hAnsi="Calibri Light"/>
                                <w:b/>
                                <w:i/>
                                <w:u w:val="single"/>
                              </w:rPr>
                            </w:pPr>
                            <w:r w:rsidRPr="00747948">
                              <w:rPr>
                                <w:rFonts w:ascii="Calibri Light" w:hAnsi="Calibri Light"/>
                                <w:b/>
                                <w:i/>
                                <w:u w:val="single"/>
                              </w:rPr>
                              <w:t>Rīcības:</w:t>
                            </w:r>
                          </w:p>
                          <w:p w14:paraId="5871719F" w14:textId="77777777" w:rsidR="0047559B"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“čempionu” uzņēmumu atbalsts</w:t>
                            </w:r>
                          </w:p>
                          <w:p w14:paraId="1320D175"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p</w:t>
                            </w:r>
                            <w:r w:rsidRPr="00FF1CA4">
                              <w:rPr>
                                <w:rFonts w:ascii="Calibri Light" w:hAnsi="Calibri Light"/>
                                <w:spacing w:val="-6"/>
                                <w:sz w:val="18"/>
                                <w:szCs w:val="18"/>
                              </w:rPr>
                              <w:t xml:space="preserve">rojektu ar augstu produktu eksportspēju identificēšana </w:t>
                            </w:r>
                          </w:p>
                          <w:p w14:paraId="6D10302C"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m</w:t>
                            </w:r>
                            <w:r w:rsidRPr="00FF1CA4">
                              <w:rPr>
                                <w:rFonts w:ascii="Calibri Light" w:hAnsi="Calibri Light"/>
                                <w:spacing w:val="-6"/>
                                <w:sz w:val="18"/>
                                <w:szCs w:val="18"/>
                              </w:rPr>
                              <w:t>ultinacionālo korporāciju uzrunāšana/ piesaistīšana Latvijā</w:t>
                            </w:r>
                          </w:p>
                          <w:p w14:paraId="2114EA71"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FF1CA4">
                              <w:rPr>
                                <w:rFonts w:ascii="Calibri Light" w:hAnsi="Calibri Light"/>
                                <w:spacing w:val="-6"/>
                                <w:sz w:val="18"/>
                                <w:szCs w:val="18"/>
                              </w:rPr>
                              <w:t xml:space="preserve">klasteru programmas nosacījumu papildināšana </w:t>
                            </w:r>
                          </w:p>
                          <w:p w14:paraId="3A72BE74"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b</w:t>
                            </w:r>
                            <w:r w:rsidRPr="00FF1CA4">
                              <w:rPr>
                                <w:rFonts w:ascii="Calibri Light" w:hAnsi="Calibri Light"/>
                                <w:spacing w:val="-6"/>
                                <w:sz w:val="18"/>
                                <w:szCs w:val="18"/>
                              </w:rPr>
                              <w:t xml:space="preserve">iržas attīstīšana kapitāla tirgus izmantošanas intensificēšanai </w:t>
                            </w:r>
                          </w:p>
                          <w:p w14:paraId="5F0133F7"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k</w:t>
                            </w:r>
                            <w:r w:rsidRPr="00FF1CA4">
                              <w:rPr>
                                <w:rFonts w:ascii="Calibri Light" w:hAnsi="Calibri Light"/>
                                <w:spacing w:val="-6"/>
                                <w:sz w:val="18"/>
                                <w:szCs w:val="18"/>
                              </w:rPr>
                              <w:t xml:space="preserve">onkurētspējīgas elektroenerģijas nodrošinājums gala patērētājiem </w:t>
                            </w:r>
                          </w:p>
                          <w:p w14:paraId="4C33840A"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m</w:t>
                            </w:r>
                            <w:r w:rsidRPr="00FF1CA4">
                              <w:rPr>
                                <w:rFonts w:ascii="Calibri Light" w:hAnsi="Calibri Light"/>
                                <w:spacing w:val="-6"/>
                                <w:sz w:val="18"/>
                                <w:szCs w:val="18"/>
                              </w:rPr>
                              <w:t xml:space="preserve">ājokļu pieejamības uzlabošana </w:t>
                            </w:r>
                          </w:p>
                          <w:p w14:paraId="6F5D5064"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b</w:t>
                            </w:r>
                            <w:r w:rsidRPr="00FF1CA4">
                              <w:rPr>
                                <w:rFonts w:ascii="Calibri Light" w:hAnsi="Calibri Light"/>
                                <w:spacing w:val="-6"/>
                                <w:sz w:val="18"/>
                                <w:szCs w:val="18"/>
                              </w:rPr>
                              <w:t xml:space="preserve">iroja nomas telpu piedāvājuma uzlabošana </w:t>
                            </w:r>
                          </w:p>
                          <w:p w14:paraId="69E20795" w14:textId="77777777" w:rsidR="0047559B" w:rsidRDefault="0047559B" w:rsidP="00D87E57">
                            <w:pPr>
                              <w:pStyle w:val="ListParagraph"/>
                              <w:numPr>
                                <w:ilvl w:val="0"/>
                                <w:numId w:val="33"/>
                              </w:numPr>
                              <w:spacing w:before="0" w:after="60"/>
                              <w:ind w:left="142" w:right="-113" w:hanging="153"/>
                              <w:contextualSpacing w:val="0"/>
                              <w:jc w:val="left"/>
                              <w:rPr>
                                <w:rFonts w:ascii="Calibri Light" w:hAnsi="Calibri Light"/>
                                <w:spacing w:val="-6"/>
                                <w:sz w:val="18"/>
                                <w:szCs w:val="18"/>
                              </w:rPr>
                            </w:pPr>
                            <w:r>
                              <w:rPr>
                                <w:rFonts w:ascii="Calibri Light" w:hAnsi="Calibri Light"/>
                                <w:spacing w:val="-6"/>
                                <w:sz w:val="18"/>
                                <w:szCs w:val="18"/>
                              </w:rPr>
                              <w:t>t</w:t>
                            </w:r>
                            <w:r w:rsidRPr="00FF1CA4">
                              <w:rPr>
                                <w:rFonts w:ascii="Calibri Light" w:hAnsi="Calibri Light"/>
                                <w:spacing w:val="-6"/>
                                <w:sz w:val="18"/>
                                <w:szCs w:val="18"/>
                              </w:rPr>
                              <w:t>ransporta infrastruktūras integrēts attīstības redzējums</w:t>
                            </w:r>
                          </w:p>
                          <w:p w14:paraId="1F49D7B1" w14:textId="77777777" w:rsidR="0047559B" w:rsidRPr="00FB2BFB" w:rsidRDefault="0047559B" w:rsidP="00D87E57">
                            <w:pPr>
                              <w:pStyle w:val="ListParagraph"/>
                              <w:spacing w:before="0" w:after="60"/>
                              <w:ind w:left="142" w:right="-113"/>
                              <w:contextualSpacing w:val="0"/>
                              <w:jc w:val="left"/>
                              <w:rPr>
                                <w:rFonts w:ascii="Calibri Light" w:hAnsi="Calibri Light"/>
                                <w:spacing w:val="-6"/>
                                <w:sz w:val="18"/>
                                <w:szCs w:val="18"/>
                              </w:rPr>
                            </w:pPr>
                          </w:p>
                          <w:p w14:paraId="6EE45EBD" w14:textId="77777777" w:rsidR="0047559B" w:rsidRPr="00747948" w:rsidRDefault="0047559B" w:rsidP="00D87E57">
                            <w:pPr>
                              <w:spacing w:before="60" w:after="60"/>
                              <w:ind w:left="142" w:hanging="153"/>
                              <w:rPr>
                                <w:rFonts w:ascii="Calibri Light" w:hAnsi="Calibri Light"/>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F9BC5" id="_x0000_s1077" type="#_x0000_t202" style="position:absolute;left:0;text-align:left;margin-left:17.95pt;margin-top:319.6pt;width:112.5pt;height:342.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" filled="f" strokeweight=".25pt">
                <v:textbox>
                  <w:txbxContent>
                    <w:p w14:paraId="34E88CE1" w14:textId="77777777" w:rsidR="0047559B" w:rsidRDefault="0047559B" w:rsidP="00D87E57">
                      <w:pPr>
                        <w:spacing w:before="60" w:after="60"/>
                        <w:rPr>
                          <w:rFonts w:ascii="Calibri Light" w:hAnsi="Calibri Light"/>
                          <w:b/>
                          <w:i/>
                          <w:u w:val="single"/>
                        </w:rPr>
                      </w:pPr>
                      <w:r w:rsidRPr="00747948">
                        <w:rPr>
                          <w:rFonts w:ascii="Calibri Light" w:hAnsi="Calibri Light"/>
                          <w:b/>
                          <w:i/>
                          <w:u w:val="single"/>
                        </w:rPr>
                        <w:t>Rīcības:</w:t>
                      </w:r>
                    </w:p>
                    <w:p w14:paraId="5871719F" w14:textId="77777777" w:rsidR="0047559B"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“čempionu” uzņēmumu atbalsts</w:t>
                      </w:r>
                    </w:p>
                    <w:p w14:paraId="1320D175"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p</w:t>
                      </w:r>
                      <w:r w:rsidRPr="00FF1CA4">
                        <w:rPr>
                          <w:rFonts w:ascii="Calibri Light" w:hAnsi="Calibri Light"/>
                          <w:spacing w:val="-6"/>
                          <w:sz w:val="18"/>
                          <w:szCs w:val="18"/>
                        </w:rPr>
                        <w:t xml:space="preserve">rojektu ar augstu produktu eksportspēju identificēšana </w:t>
                      </w:r>
                    </w:p>
                    <w:p w14:paraId="6D10302C"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m</w:t>
                      </w:r>
                      <w:r w:rsidRPr="00FF1CA4">
                        <w:rPr>
                          <w:rFonts w:ascii="Calibri Light" w:hAnsi="Calibri Light"/>
                          <w:spacing w:val="-6"/>
                          <w:sz w:val="18"/>
                          <w:szCs w:val="18"/>
                        </w:rPr>
                        <w:t>ultinacionālo korporāciju uzrunāšana/ piesaistīšana Latvijā</w:t>
                      </w:r>
                    </w:p>
                    <w:p w14:paraId="2114EA71"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FF1CA4">
                        <w:rPr>
                          <w:rFonts w:ascii="Calibri Light" w:hAnsi="Calibri Light"/>
                          <w:spacing w:val="-6"/>
                          <w:sz w:val="18"/>
                          <w:szCs w:val="18"/>
                        </w:rPr>
                        <w:t xml:space="preserve">klasteru programmas nosacījumu papildināšana </w:t>
                      </w:r>
                    </w:p>
                    <w:p w14:paraId="3A72BE74"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b</w:t>
                      </w:r>
                      <w:r w:rsidRPr="00FF1CA4">
                        <w:rPr>
                          <w:rFonts w:ascii="Calibri Light" w:hAnsi="Calibri Light"/>
                          <w:spacing w:val="-6"/>
                          <w:sz w:val="18"/>
                          <w:szCs w:val="18"/>
                        </w:rPr>
                        <w:t xml:space="preserve">iržas attīstīšana kapitāla tirgus izmantošanas intensificēšanai </w:t>
                      </w:r>
                    </w:p>
                    <w:p w14:paraId="5F0133F7"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k</w:t>
                      </w:r>
                      <w:r w:rsidRPr="00FF1CA4">
                        <w:rPr>
                          <w:rFonts w:ascii="Calibri Light" w:hAnsi="Calibri Light"/>
                          <w:spacing w:val="-6"/>
                          <w:sz w:val="18"/>
                          <w:szCs w:val="18"/>
                        </w:rPr>
                        <w:t xml:space="preserve">onkurētspējīgas elektroenerģijas nodrošinājums gala patērētājiem </w:t>
                      </w:r>
                    </w:p>
                    <w:p w14:paraId="4C33840A"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m</w:t>
                      </w:r>
                      <w:r w:rsidRPr="00FF1CA4">
                        <w:rPr>
                          <w:rFonts w:ascii="Calibri Light" w:hAnsi="Calibri Light"/>
                          <w:spacing w:val="-6"/>
                          <w:sz w:val="18"/>
                          <w:szCs w:val="18"/>
                        </w:rPr>
                        <w:t xml:space="preserve">ājokļu pieejamības uzlabošana </w:t>
                      </w:r>
                    </w:p>
                    <w:p w14:paraId="6F5D5064" w14:textId="77777777" w:rsidR="0047559B" w:rsidRPr="00FF1CA4"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b</w:t>
                      </w:r>
                      <w:r w:rsidRPr="00FF1CA4">
                        <w:rPr>
                          <w:rFonts w:ascii="Calibri Light" w:hAnsi="Calibri Light"/>
                          <w:spacing w:val="-6"/>
                          <w:sz w:val="18"/>
                          <w:szCs w:val="18"/>
                        </w:rPr>
                        <w:t xml:space="preserve">iroja nomas telpu piedāvājuma uzlabošana </w:t>
                      </w:r>
                    </w:p>
                    <w:p w14:paraId="69E20795" w14:textId="77777777" w:rsidR="0047559B" w:rsidRDefault="0047559B" w:rsidP="00D87E57">
                      <w:pPr>
                        <w:pStyle w:val="ListParagraph"/>
                        <w:numPr>
                          <w:ilvl w:val="0"/>
                          <w:numId w:val="33"/>
                        </w:numPr>
                        <w:spacing w:before="0" w:after="60"/>
                        <w:ind w:left="142" w:right="-113" w:hanging="153"/>
                        <w:contextualSpacing w:val="0"/>
                        <w:jc w:val="left"/>
                        <w:rPr>
                          <w:rFonts w:ascii="Calibri Light" w:hAnsi="Calibri Light"/>
                          <w:spacing w:val="-6"/>
                          <w:sz w:val="18"/>
                          <w:szCs w:val="18"/>
                        </w:rPr>
                      </w:pPr>
                      <w:r>
                        <w:rPr>
                          <w:rFonts w:ascii="Calibri Light" w:hAnsi="Calibri Light"/>
                          <w:spacing w:val="-6"/>
                          <w:sz w:val="18"/>
                          <w:szCs w:val="18"/>
                        </w:rPr>
                        <w:t>t</w:t>
                      </w:r>
                      <w:r w:rsidRPr="00FF1CA4">
                        <w:rPr>
                          <w:rFonts w:ascii="Calibri Light" w:hAnsi="Calibri Light"/>
                          <w:spacing w:val="-6"/>
                          <w:sz w:val="18"/>
                          <w:szCs w:val="18"/>
                        </w:rPr>
                        <w:t>ransporta infrastruktūras integrēts attīstības redzējums</w:t>
                      </w:r>
                    </w:p>
                    <w:p w14:paraId="1F49D7B1" w14:textId="77777777" w:rsidR="0047559B" w:rsidRPr="00FB2BFB" w:rsidRDefault="0047559B" w:rsidP="00D87E57">
                      <w:pPr>
                        <w:pStyle w:val="ListParagraph"/>
                        <w:spacing w:before="0" w:after="60"/>
                        <w:ind w:left="142" w:right="-113"/>
                        <w:contextualSpacing w:val="0"/>
                        <w:jc w:val="left"/>
                        <w:rPr>
                          <w:rFonts w:ascii="Calibri Light" w:hAnsi="Calibri Light"/>
                          <w:spacing w:val="-6"/>
                          <w:sz w:val="18"/>
                          <w:szCs w:val="18"/>
                        </w:rPr>
                      </w:pPr>
                    </w:p>
                    <w:p w14:paraId="6EE45EBD" w14:textId="77777777" w:rsidR="0047559B" w:rsidRPr="00747948" w:rsidRDefault="0047559B" w:rsidP="00D87E57">
                      <w:pPr>
                        <w:spacing w:before="60" w:after="60"/>
                        <w:ind w:left="142" w:hanging="153"/>
                        <w:rPr>
                          <w:rFonts w:ascii="Calibri Light" w:hAnsi="Calibri Light"/>
                          <w:b/>
                        </w:rPr>
                      </w:pPr>
                    </w:p>
                  </w:txbxContent>
                </v:textbox>
                <w10:wrap type="square"/>
              </v:shape>
            </w:pict>
          </mc:Fallback>
        </mc:AlternateContent>
      </w:r>
      <w:r>
        <w:rPr>
          <w:noProof/>
          <w:lang w:val="lv-LV" w:eastAsia="lv-LV"/>
        </w:rPr>
        <mc:AlternateContent>
          <mc:Choice Requires="wps">
            <w:drawing>
              <wp:anchor distT="45720" distB="45720" distL="114300" distR="114300" simplePos="0" relativeHeight="251687424" behindDoc="0" locked="0" layoutInCell="1" allowOverlap="1" wp14:anchorId="217D4CBA" wp14:editId="5EF53CE8">
                <wp:simplePos x="0" y="0"/>
                <wp:positionH relativeFrom="column">
                  <wp:posOffset>1724956</wp:posOffset>
                </wp:positionH>
                <wp:positionV relativeFrom="paragraph">
                  <wp:posOffset>4058903</wp:posOffset>
                </wp:positionV>
                <wp:extent cx="1428750" cy="4352794"/>
                <wp:effectExtent l="0" t="0" r="19050" b="1016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52794"/>
                        </a:xfrm>
                        <a:prstGeom prst="rect">
                          <a:avLst/>
                        </a:prstGeom>
                        <a:noFill/>
                        <a:ln w="3175">
                          <a:solidFill>
                            <a:srgbClr val="000000"/>
                          </a:solidFill>
                          <a:miter lim="800000"/>
                          <a:headEnd/>
                          <a:tailEnd/>
                        </a:ln>
                      </wps:spPr>
                      <wps:txbx>
                        <w:txbxContent>
                          <w:p w14:paraId="4A1376C4" w14:textId="77777777" w:rsidR="0047559B" w:rsidRPr="00744187" w:rsidRDefault="0047559B" w:rsidP="00D87E57">
                            <w:pPr>
                              <w:spacing w:before="60" w:after="60"/>
                              <w:rPr>
                                <w:rFonts w:ascii="Calibri Light" w:hAnsi="Calibri Light"/>
                                <w:b/>
                                <w:i/>
                                <w:u w:val="single"/>
                              </w:rPr>
                            </w:pPr>
                            <w:r w:rsidRPr="00744187">
                              <w:rPr>
                                <w:rFonts w:ascii="Calibri Light" w:hAnsi="Calibri Light"/>
                                <w:b/>
                                <w:i/>
                                <w:u w:val="single"/>
                              </w:rPr>
                              <w:t>Rīcības:</w:t>
                            </w:r>
                          </w:p>
                          <w:p w14:paraId="67C00BA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v</w:t>
                            </w:r>
                            <w:r w:rsidRPr="00744187">
                              <w:rPr>
                                <w:rFonts w:ascii="Calibri Light" w:hAnsi="Calibri Light"/>
                                <w:spacing w:val="-6"/>
                                <w:sz w:val="18"/>
                                <w:szCs w:val="18"/>
                              </w:rPr>
                              <w:t xml:space="preserve">alsts datubāzu atvēršana </w:t>
                            </w:r>
                          </w:p>
                          <w:p w14:paraId="4D8BE653"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a</w:t>
                            </w:r>
                            <w:r w:rsidRPr="00744187">
                              <w:rPr>
                                <w:rFonts w:ascii="Calibri Light" w:hAnsi="Calibri Light"/>
                                <w:spacing w:val="-6"/>
                                <w:sz w:val="18"/>
                                <w:szCs w:val="18"/>
                              </w:rPr>
                              <w:t>ugstākās izglītības institūcijās jāizveido vienota IT studiju programma</w:t>
                            </w:r>
                          </w:p>
                          <w:p w14:paraId="0B0FE422"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s</w:t>
                            </w:r>
                            <w:r w:rsidRPr="00744187">
                              <w:rPr>
                                <w:rFonts w:ascii="Calibri Light" w:hAnsi="Calibri Light"/>
                                <w:spacing w:val="-6"/>
                                <w:sz w:val="18"/>
                                <w:szCs w:val="18"/>
                              </w:rPr>
                              <w:t>adarbībā ar AI institūcijām un komersantiem izstrādāt profesionālo prasmju apmācības programmu.</w:t>
                            </w:r>
                          </w:p>
                          <w:p w14:paraId="7BAFA7FE"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sidRPr="00744187">
                              <w:rPr>
                                <w:rFonts w:ascii="Calibri Light" w:hAnsi="Calibri Light"/>
                                <w:spacing w:val="-6"/>
                                <w:sz w:val="18"/>
                                <w:szCs w:val="18"/>
                              </w:rPr>
                              <w:t>“inovatīvā iepirkumu metode”</w:t>
                            </w:r>
                          </w:p>
                          <w:p w14:paraId="1CCCAB98"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s</w:t>
                            </w:r>
                            <w:r w:rsidRPr="00744187">
                              <w:rPr>
                                <w:rFonts w:ascii="Calibri Light" w:hAnsi="Calibri Light"/>
                                <w:spacing w:val="-6"/>
                                <w:sz w:val="18"/>
                                <w:szCs w:val="18"/>
                              </w:rPr>
                              <w:t xml:space="preserve">tarpnozaru projektu princips kā prioritāte kompetences centru programmā </w:t>
                            </w:r>
                          </w:p>
                          <w:p w14:paraId="72DFA47B"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w:t>
                            </w:r>
                            <w:r w:rsidRPr="00B1408B">
                              <w:rPr>
                                <w:rFonts w:ascii="Calibri Light" w:hAnsi="Calibri Light"/>
                                <w:i/>
                                <w:spacing w:val="-6"/>
                                <w:sz w:val="18"/>
                                <w:szCs w:val="18"/>
                              </w:rPr>
                              <w:t>Front door</w:t>
                            </w:r>
                            <w:r>
                              <w:rPr>
                                <w:rFonts w:ascii="Calibri Light" w:hAnsi="Calibri Light"/>
                                <w:spacing w:val="-6"/>
                                <w:sz w:val="18"/>
                                <w:szCs w:val="18"/>
                              </w:rPr>
                              <w:t>" programma</w:t>
                            </w:r>
                          </w:p>
                          <w:p w14:paraId="08B600B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sidRPr="00744187">
                              <w:rPr>
                                <w:rFonts w:ascii="Calibri Light" w:hAnsi="Calibri Light"/>
                                <w:spacing w:val="-6"/>
                                <w:sz w:val="18"/>
                                <w:szCs w:val="18"/>
                              </w:rPr>
                              <w:t>starptautisk</w:t>
                            </w:r>
                            <w:r>
                              <w:rPr>
                                <w:rFonts w:ascii="Calibri Light" w:hAnsi="Calibri Light"/>
                                <w:spacing w:val="-6"/>
                                <w:sz w:val="18"/>
                                <w:szCs w:val="18"/>
                              </w:rPr>
                              <w:t>i novērtējams indikatoru kopums</w:t>
                            </w:r>
                            <w:r w:rsidRPr="00744187">
                              <w:rPr>
                                <w:rFonts w:ascii="Calibri Light" w:hAnsi="Calibri Light"/>
                                <w:spacing w:val="-6"/>
                                <w:sz w:val="18"/>
                                <w:szCs w:val="18"/>
                              </w:rPr>
                              <w:t xml:space="preserve"> zinātnes atbalsta programmu efektivitātes novērtējum</w:t>
                            </w:r>
                            <w:r>
                              <w:rPr>
                                <w:rFonts w:ascii="Calibri Light" w:hAnsi="Calibri Light"/>
                                <w:spacing w:val="-6"/>
                                <w:sz w:val="18"/>
                                <w:szCs w:val="18"/>
                              </w:rPr>
                              <w:t>am</w:t>
                            </w:r>
                            <w:r w:rsidRPr="00744187">
                              <w:rPr>
                                <w:rFonts w:ascii="Calibri Light" w:hAnsi="Calibri Light"/>
                                <w:spacing w:val="-6"/>
                                <w:sz w:val="18"/>
                                <w:szCs w:val="18"/>
                              </w:rPr>
                              <w:t xml:space="preserve">. </w:t>
                            </w:r>
                          </w:p>
                          <w:p w14:paraId="494633E3"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s</w:t>
                            </w:r>
                            <w:r w:rsidRPr="00744187">
                              <w:rPr>
                                <w:rFonts w:ascii="Calibri Light" w:hAnsi="Calibri Light"/>
                                <w:spacing w:val="-6"/>
                                <w:sz w:val="18"/>
                                <w:szCs w:val="18"/>
                              </w:rPr>
                              <w:t>kaidra valsts pasūtīju</w:t>
                            </w:r>
                            <w:r>
                              <w:rPr>
                                <w:rFonts w:ascii="Calibri Light" w:hAnsi="Calibri Light"/>
                                <w:spacing w:val="-6"/>
                                <w:sz w:val="18"/>
                                <w:szCs w:val="18"/>
                              </w:rPr>
                              <w:t>ma definēšana tai piederošajās</w:t>
                            </w:r>
                            <w:r w:rsidRPr="00744187">
                              <w:rPr>
                                <w:rFonts w:ascii="Calibri Light" w:hAnsi="Calibri Light"/>
                                <w:spacing w:val="-6"/>
                                <w:sz w:val="18"/>
                                <w:szCs w:val="18"/>
                              </w:rPr>
                              <w:t xml:space="preserve"> komercsabiedrībās.</w:t>
                            </w:r>
                          </w:p>
                          <w:p w14:paraId="2541694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 xml:space="preserve">atbalsts </w:t>
                            </w:r>
                            <w:r w:rsidRPr="00B1408B">
                              <w:rPr>
                                <w:rFonts w:ascii="Calibri Light" w:hAnsi="Calibri Light"/>
                                <w:i/>
                                <w:spacing w:val="-6"/>
                                <w:sz w:val="18"/>
                                <w:szCs w:val="18"/>
                              </w:rPr>
                              <w:t>intermediate goods</w:t>
                            </w:r>
                            <w:r w:rsidRPr="00744187">
                              <w:rPr>
                                <w:rFonts w:ascii="Calibri Light" w:hAnsi="Calibri Light"/>
                                <w:spacing w:val="-6"/>
                                <w:sz w:val="18"/>
                                <w:szCs w:val="18"/>
                              </w:rPr>
                              <w:t xml:space="preserve"> izmantošanai tautsaimniecībā</w:t>
                            </w:r>
                          </w:p>
                          <w:p w14:paraId="59708C2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v</w:t>
                            </w:r>
                            <w:r w:rsidRPr="00744187">
                              <w:rPr>
                                <w:rFonts w:ascii="Calibri Light" w:hAnsi="Calibri Light"/>
                                <w:spacing w:val="-6"/>
                                <w:sz w:val="18"/>
                                <w:szCs w:val="18"/>
                              </w:rPr>
                              <w:t>alsts mārketings un amatpersonu ārējā komunikācija</w:t>
                            </w:r>
                          </w:p>
                          <w:p w14:paraId="4DBD9952" w14:textId="77777777" w:rsidR="0047559B" w:rsidRPr="00FB2BFB" w:rsidRDefault="0047559B" w:rsidP="00D87E57">
                            <w:pPr>
                              <w:pStyle w:val="ListParagraph"/>
                              <w:spacing w:before="0" w:after="60"/>
                              <w:ind w:left="0" w:right="-113"/>
                              <w:contextualSpacing w:val="0"/>
                              <w:jc w:val="left"/>
                              <w:rPr>
                                <w:rFonts w:ascii="Calibri Light" w:hAnsi="Calibri Light"/>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4CBA" id="_x0000_s1078" type="#_x0000_t202" style="position:absolute;left:0;text-align:left;margin-left:135.8pt;margin-top:319.6pt;width:112.5pt;height:342.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" filled="f" strokeweight=".25pt">
                <v:textbox>
                  <w:txbxContent>
                    <w:p w14:paraId="4A1376C4" w14:textId="77777777" w:rsidR="0047559B" w:rsidRPr="00744187" w:rsidRDefault="0047559B" w:rsidP="00D87E57">
                      <w:pPr>
                        <w:spacing w:before="60" w:after="60"/>
                        <w:rPr>
                          <w:rFonts w:ascii="Calibri Light" w:hAnsi="Calibri Light"/>
                          <w:b/>
                          <w:i/>
                          <w:u w:val="single"/>
                        </w:rPr>
                      </w:pPr>
                      <w:r w:rsidRPr="00744187">
                        <w:rPr>
                          <w:rFonts w:ascii="Calibri Light" w:hAnsi="Calibri Light"/>
                          <w:b/>
                          <w:i/>
                          <w:u w:val="single"/>
                        </w:rPr>
                        <w:t>Rīcības:</w:t>
                      </w:r>
                    </w:p>
                    <w:p w14:paraId="67C00BA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v</w:t>
                      </w:r>
                      <w:r w:rsidRPr="00744187">
                        <w:rPr>
                          <w:rFonts w:ascii="Calibri Light" w:hAnsi="Calibri Light"/>
                          <w:spacing w:val="-6"/>
                          <w:sz w:val="18"/>
                          <w:szCs w:val="18"/>
                        </w:rPr>
                        <w:t xml:space="preserve">alsts datubāzu atvēršana </w:t>
                      </w:r>
                    </w:p>
                    <w:p w14:paraId="4D8BE653"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a</w:t>
                      </w:r>
                      <w:r w:rsidRPr="00744187">
                        <w:rPr>
                          <w:rFonts w:ascii="Calibri Light" w:hAnsi="Calibri Light"/>
                          <w:spacing w:val="-6"/>
                          <w:sz w:val="18"/>
                          <w:szCs w:val="18"/>
                        </w:rPr>
                        <w:t>ugstākās izglītības institūcijās jāizveido vienota IT studiju programma</w:t>
                      </w:r>
                    </w:p>
                    <w:p w14:paraId="0B0FE422"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s</w:t>
                      </w:r>
                      <w:r w:rsidRPr="00744187">
                        <w:rPr>
                          <w:rFonts w:ascii="Calibri Light" w:hAnsi="Calibri Light"/>
                          <w:spacing w:val="-6"/>
                          <w:sz w:val="18"/>
                          <w:szCs w:val="18"/>
                        </w:rPr>
                        <w:t>adarbībā ar AI institūcijām un komersantiem izstrādāt profesionālo prasmju apmācības programmu.</w:t>
                      </w:r>
                    </w:p>
                    <w:p w14:paraId="7BAFA7FE"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sidRPr="00744187">
                        <w:rPr>
                          <w:rFonts w:ascii="Calibri Light" w:hAnsi="Calibri Light"/>
                          <w:spacing w:val="-6"/>
                          <w:sz w:val="18"/>
                          <w:szCs w:val="18"/>
                        </w:rPr>
                        <w:t>“inovatīvā iepirkumu metode”</w:t>
                      </w:r>
                    </w:p>
                    <w:p w14:paraId="1CCCAB98"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s</w:t>
                      </w:r>
                      <w:r w:rsidRPr="00744187">
                        <w:rPr>
                          <w:rFonts w:ascii="Calibri Light" w:hAnsi="Calibri Light"/>
                          <w:spacing w:val="-6"/>
                          <w:sz w:val="18"/>
                          <w:szCs w:val="18"/>
                        </w:rPr>
                        <w:t xml:space="preserve">tarpnozaru projektu princips kā prioritāte kompetences centru programmā </w:t>
                      </w:r>
                    </w:p>
                    <w:p w14:paraId="72DFA47B"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w:t>
                      </w:r>
                      <w:r w:rsidRPr="00B1408B">
                        <w:rPr>
                          <w:rFonts w:ascii="Calibri Light" w:hAnsi="Calibri Light"/>
                          <w:i/>
                          <w:spacing w:val="-6"/>
                          <w:sz w:val="18"/>
                          <w:szCs w:val="18"/>
                        </w:rPr>
                        <w:t>Front door</w:t>
                      </w:r>
                      <w:r>
                        <w:rPr>
                          <w:rFonts w:ascii="Calibri Light" w:hAnsi="Calibri Light"/>
                          <w:spacing w:val="-6"/>
                          <w:sz w:val="18"/>
                          <w:szCs w:val="18"/>
                        </w:rPr>
                        <w:t>" programma</w:t>
                      </w:r>
                    </w:p>
                    <w:p w14:paraId="08B600B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sidRPr="00744187">
                        <w:rPr>
                          <w:rFonts w:ascii="Calibri Light" w:hAnsi="Calibri Light"/>
                          <w:spacing w:val="-6"/>
                          <w:sz w:val="18"/>
                          <w:szCs w:val="18"/>
                        </w:rPr>
                        <w:t>starptautisk</w:t>
                      </w:r>
                      <w:r>
                        <w:rPr>
                          <w:rFonts w:ascii="Calibri Light" w:hAnsi="Calibri Light"/>
                          <w:spacing w:val="-6"/>
                          <w:sz w:val="18"/>
                          <w:szCs w:val="18"/>
                        </w:rPr>
                        <w:t>i novērtējams indikatoru kopums</w:t>
                      </w:r>
                      <w:r w:rsidRPr="00744187">
                        <w:rPr>
                          <w:rFonts w:ascii="Calibri Light" w:hAnsi="Calibri Light"/>
                          <w:spacing w:val="-6"/>
                          <w:sz w:val="18"/>
                          <w:szCs w:val="18"/>
                        </w:rPr>
                        <w:t xml:space="preserve"> zinātnes atbalsta programmu efektivitātes novērtējum</w:t>
                      </w:r>
                      <w:r>
                        <w:rPr>
                          <w:rFonts w:ascii="Calibri Light" w:hAnsi="Calibri Light"/>
                          <w:spacing w:val="-6"/>
                          <w:sz w:val="18"/>
                          <w:szCs w:val="18"/>
                        </w:rPr>
                        <w:t>am</w:t>
                      </w:r>
                      <w:r w:rsidRPr="00744187">
                        <w:rPr>
                          <w:rFonts w:ascii="Calibri Light" w:hAnsi="Calibri Light"/>
                          <w:spacing w:val="-6"/>
                          <w:sz w:val="18"/>
                          <w:szCs w:val="18"/>
                        </w:rPr>
                        <w:t xml:space="preserve">. </w:t>
                      </w:r>
                    </w:p>
                    <w:p w14:paraId="494633E3"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s</w:t>
                      </w:r>
                      <w:r w:rsidRPr="00744187">
                        <w:rPr>
                          <w:rFonts w:ascii="Calibri Light" w:hAnsi="Calibri Light"/>
                          <w:spacing w:val="-6"/>
                          <w:sz w:val="18"/>
                          <w:szCs w:val="18"/>
                        </w:rPr>
                        <w:t>kaidra valsts pasūtīju</w:t>
                      </w:r>
                      <w:r>
                        <w:rPr>
                          <w:rFonts w:ascii="Calibri Light" w:hAnsi="Calibri Light"/>
                          <w:spacing w:val="-6"/>
                          <w:sz w:val="18"/>
                          <w:szCs w:val="18"/>
                        </w:rPr>
                        <w:t>ma definēšana tai piederošajās</w:t>
                      </w:r>
                      <w:r w:rsidRPr="00744187">
                        <w:rPr>
                          <w:rFonts w:ascii="Calibri Light" w:hAnsi="Calibri Light"/>
                          <w:spacing w:val="-6"/>
                          <w:sz w:val="18"/>
                          <w:szCs w:val="18"/>
                        </w:rPr>
                        <w:t xml:space="preserve"> komercsabiedrībās.</w:t>
                      </w:r>
                    </w:p>
                    <w:p w14:paraId="2541694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 xml:space="preserve">atbalsts </w:t>
                      </w:r>
                      <w:r w:rsidRPr="00B1408B">
                        <w:rPr>
                          <w:rFonts w:ascii="Calibri Light" w:hAnsi="Calibri Light"/>
                          <w:i/>
                          <w:spacing w:val="-6"/>
                          <w:sz w:val="18"/>
                          <w:szCs w:val="18"/>
                        </w:rPr>
                        <w:t>intermediate goods</w:t>
                      </w:r>
                      <w:r w:rsidRPr="00744187">
                        <w:rPr>
                          <w:rFonts w:ascii="Calibri Light" w:hAnsi="Calibri Light"/>
                          <w:spacing w:val="-6"/>
                          <w:sz w:val="18"/>
                          <w:szCs w:val="18"/>
                        </w:rPr>
                        <w:t xml:space="preserve"> izmantošanai tautsaimniecībā</w:t>
                      </w:r>
                    </w:p>
                    <w:p w14:paraId="59708C27" w14:textId="77777777" w:rsidR="0047559B" w:rsidRPr="00744187" w:rsidRDefault="0047559B" w:rsidP="00D87E57">
                      <w:pPr>
                        <w:pStyle w:val="ListParagraph"/>
                        <w:numPr>
                          <w:ilvl w:val="0"/>
                          <w:numId w:val="33"/>
                        </w:numPr>
                        <w:spacing w:before="0" w:after="60"/>
                        <w:ind w:left="0" w:right="-113" w:hanging="113"/>
                        <w:contextualSpacing w:val="0"/>
                        <w:jc w:val="left"/>
                        <w:rPr>
                          <w:rFonts w:ascii="Calibri Light" w:hAnsi="Calibri Light"/>
                          <w:spacing w:val="-6"/>
                          <w:sz w:val="18"/>
                          <w:szCs w:val="18"/>
                        </w:rPr>
                      </w:pPr>
                      <w:r>
                        <w:rPr>
                          <w:rFonts w:ascii="Calibri Light" w:hAnsi="Calibri Light"/>
                          <w:spacing w:val="-6"/>
                          <w:sz w:val="18"/>
                          <w:szCs w:val="18"/>
                        </w:rPr>
                        <w:t>v</w:t>
                      </w:r>
                      <w:r w:rsidRPr="00744187">
                        <w:rPr>
                          <w:rFonts w:ascii="Calibri Light" w:hAnsi="Calibri Light"/>
                          <w:spacing w:val="-6"/>
                          <w:sz w:val="18"/>
                          <w:szCs w:val="18"/>
                        </w:rPr>
                        <w:t>alsts mārketings un amatpersonu ārējā komunikācija</w:t>
                      </w:r>
                    </w:p>
                    <w:p w14:paraId="4DBD9952" w14:textId="77777777" w:rsidR="0047559B" w:rsidRPr="00FB2BFB" w:rsidRDefault="0047559B" w:rsidP="00D87E57">
                      <w:pPr>
                        <w:pStyle w:val="ListParagraph"/>
                        <w:spacing w:before="0" w:after="60"/>
                        <w:ind w:left="0" w:right="-113"/>
                        <w:contextualSpacing w:val="0"/>
                        <w:jc w:val="left"/>
                        <w:rPr>
                          <w:rFonts w:ascii="Calibri Light" w:hAnsi="Calibri Light"/>
                          <w:spacing w:val="-6"/>
                          <w:sz w:val="18"/>
                          <w:szCs w:val="18"/>
                        </w:rPr>
                      </w:pPr>
                    </w:p>
                  </w:txbxContent>
                </v:textbox>
                <w10:wrap type="square"/>
              </v:shape>
            </w:pict>
          </mc:Fallback>
        </mc:AlternateContent>
      </w:r>
      <w:r>
        <w:rPr>
          <w:noProof/>
          <w:lang w:val="lv-LV" w:eastAsia="lv-LV"/>
        </w:rPr>
        <mc:AlternateContent>
          <mc:Choice Requires="wps">
            <w:drawing>
              <wp:anchor distT="45720" distB="45720" distL="114300" distR="114300" simplePos="0" relativeHeight="251688448" behindDoc="0" locked="0" layoutInCell="1" allowOverlap="1" wp14:anchorId="012E791C" wp14:editId="6EE8DF11">
                <wp:simplePos x="0" y="0"/>
                <wp:positionH relativeFrom="column">
                  <wp:posOffset>3190501</wp:posOffset>
                </wp:positionH>
                <wp:positionV relativeFrom="paragraph">
                  <wp:posOffset>4052640</wp:posOffset>
                </wp:positionV>
                <wp:extent cx="1428750" cy="4352794"/>
                <wp:effectExtent l="0" t="0" r="19050" b="1016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52794"/>
                        </a:xfrm>
                        <a:prstGeom prst="rect">
                          <a:avLst/>
                        </a:prstGeom>
                        <a:noFill/>
                        <a:ln w="3175">
                          <a:solidFill>
                            <a:srgbClr val="000000"/>
                          </a:solidFill>
                          <a:miter lim="800000"/>
                          <a:headEnd/>
                          <a:tailEnd/>
                        </a:ln>
                      </wps:spPr>
                      <wps:txbx>
                        <w:txbxContent>
                          <w:p w14:paraId="7DAFC0DE" w14:textId="77777777" w:rsidR="0047559B" w:rsidRDefault="0047559B" w:rsidP="00D87E57">
                            <w:pPr>
                              <w:spacing w:before="60" w:after="60"/>
                              <w:rPr>
                                <w:rFonts w:ascii="Calibri Light" w:hAnsi="Calibri Light"/>
                                <w:b/>
                                <w:i/>
                                <w:u w:val="single"/>
                              </w:rPr>
                            </w:pPr>
                            <w:r w:rsidRPr="00747948">
                              <w:rPr>
                                <w:rFonts w:ascii="Calibri Light" w:hAnsi="Calibri Light"/>
                                <w:b/>
                                <w:i/>
                                <w:u w:val="single"/>
                              </w:rPr>
                              <w:t>Rīcības:</w:t>
                            </w:r>
                          </w:p>
                          <w:p w14:paraId="5A86FBEF"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e</w:t>
                            </w:r>
                            <w:r w:rsidRPr="00744187">
                              <w:rPr>
                                <w:rFonts w:ascii="Calibri Light" w:hAnsi="Calibri Light"/>
                                <w:spacing w:val="-6"/>
                                <w:sz w:val="18"/>
                                <w:szCs w:val="18"/>
                              </w:rPr>
                              <w:t>fektīvas pieaug</w:t>
                            </w:r>
                            <w:r>
                              <w:rPr>
                                <w:rFonts w:ascii="Calibri Light" w:hAnsi="Calibri Light"/>
                                <w:spacing w:val="-6"/>
                                <w:sz w:val="18"/>
                                <w:szCs w:val="18"/>
                              </w:rPr>
                              <w:t>ušo izglītības sistēmas izveide</w:t>
                            </w:r>
                          </w:p>
                          <w:p w14:paraId="077BE043"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PIKC</w:t>
                            </w:r>
                            <w:r w:rsidRPr="00744187">
                              <w:rPr>
                                <w:rFonts w:ascii="Calibri Light" w:hAnsi="Calibri Light"/>
                                <w:spacing w:val="-6"/>
                                <w:sz w:val="18"/>
                                <w:szCs w:val="18"/>
                              </w:rPr>
                              <w:t xml:space="preserve"> kā aktīvi izglītības tirgus dalībnieki. </w:t>
                            </w:r>
                          </w:p>
                          <w:p w14:paraId="3657150D"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744187">
                              <w:rPr>
                                <w:rFonts w:ascii="Calibri Light" w:hAnsi="Calibri Light"/>
                                <w:spacing w:val="-6"/>
                                <w:sz w:val="18"/>
                                <w:szCs w:val="18"/>
                              </w:rPr>
                              <w:t xml:space="preserve">bezdarbnieku mācībās un pārkvalifikācijā lielāks uzsvars uz darba tirgū pieprasītas profesijas apguvi. </w:t>
                            </w:r>
                          </w:p>
                          <w:p w14:paraId="45CF5BBB" w14:textId="77777777" w:rsidR="0047559B"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744187">
                              <w:rPr>
                                <w:rFonts w:ascii="Calibri Light" w:hAnsi="Calibri Light"/>
                                <w:spacing w:val="-6"/>
                                <w:sz w:val="18"/>
                                <w:szCs w:val="18"/>
                              </w:rPr>
                              <w:t xml:space="preserve">profesiju saraksts augsti kvalificētu speciālistu atvieglotai piesaistei no trešajām valstīm </w:t>
                            </w:r>
                          </w:p>
                          <w:p w14:paraId="3EFEDDC4"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B1408B">
                              <w:rPr>
                                <w:rFonts w:ascii="Calibri Light" w:hAnsi="Calibri Light"/>
                                <w:i/>
                                <w:spacing w:val="-6"/>
                                <w:sz w:val="18"/>
                                <w:szCs w:val="18"/>
                              </w:rPr>
                              <w:t>foresight</w:t>
                            </w:r>
                            <w:r w:rsidRPr="00744187">
                              <w:rPr>
                                <w:rFonts w:ascii="Calibri Light" w:hAnsi="Calibri Light"/>
                                <w:spacing w:val="-6"/>
                                <w:sz w:val="18"/>
                                <w:szCs w:val="18"/>
                              </w:rPr>
                              <w:t xml:space="preserve"> pētījumi kā pamats formālās iz</w:t>
                            </w:r>
                            <w:r>
                              <w:rPr>
                                <w:rFonts w:ascii="Calibri Light" w:hAnsi="Calibri Light"/>
                                <w:spacing w:val="-6"/>
                                <w:sz w:val="18"/>
                                <w:szCs w:val="18"/>
                              </w:rPr>
                              <w:t>glītības piedāvājuma veidošanai</w:t>
                            </w:r>
                          </w:p>
                          <w:p w14:paraId="528E70F5"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e</w:t>
                            </w:r>
                            <w:r w:rsidRPr="00744187">
                              <w:rPr>
                                <w:rFonts w:ascii="Calibri Light" w:hAnsi="Calibri Light"/>
                                <w:spacing w:val="-6"/>
                                <w:sz w:val="18"/>
                                <w:szCs w:val="18"/>
                              </w:rPr>
                              <w:t xml:space="preserve">sošo uzņēmumu “paplašināšanas programma” </w:t>
                            </w:r>
                          </w:p>
                          <w:p w14:paraId="3D904F28"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v</w:t>
                            </w:r>
                            <w:r w:rsidRPr="00744187">
                              <w:rPr>
                                <w:rFonts w:ascii="Calibri Light" w:hAnsi="Calibri Light"/>
                                <w:spacing w:val="-6"/>
                                <w:sz w:val="18"/>
                                <w:szCs w:val="18"/>
                              </w:rPr>
                              <w:t xml:space="preserve">ienotas eksporta platformas programmas izveide (Rīga kā </w:t>
                            </w:r>
                            <w:r w:rsidRPr="00B1408B">
                              <w:rPr>
                                <w:rFonts w:ascii="Calibri Light" w:hAnsi="Calibri Light"/>
                                <w:i/>
                                <w:spacing w:val="-6"/>
                                <w:sz w:val="18"/>
                                <w:szCs w:val="18"/>
                              </w:rPr>
                              <w:t>gateway city</w:t>
                            </w:r>
                            <w:r w:rsidRPr="00744187">
                              <w:rPr>
                                <w:rFonts w:ascii="Calibri Light" w:hAnsi="Calibri Light"/>
                                <w:spacing w:val="-6"/>
                                <w:sz w:val="18"/>
                                <w:szCs w:val="18"/>
                              </w:rPr>
                              <w:t xml:space="preserve">) </w:t>
                            </w:r>
                          </w:p>
                          <w:p w14:paraId="64397770" w14:textId="77777777" w:rsidR="0047559B" w:rsidRPr="00EE2A46" w:rsidRDefault="0047559B" w:rsidP="00D87E57">
                            <w:pPr>
                              <w:pStyle w:val="ListParagraph"/>
                              <w:spacing w:after="60"/>
                              <w:ind w:left="142" w:right="-113"/>
                              <w:jc w:val="left"/>
                              <w:rPr>
                                <w:rFonts w:ascii="Calibri Light" w:hAnsi="Calibri Light"/>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E791C" id="_x0000_s1079" type="#_x0000_t202" style="position:absolute;left:0;text-align:left;margin-left:251.2pt;margin-top:319.1pt;width:112.5pt;height:342.7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" filled="f" strokeweight=".25pt">
                <v:textbox>
                  <w:txbxContent>
                    <w:p w14:paraId="7DAFC0DE" w14:textId="77777777" w:rsidR="0047559B" w:rsidRDefault="0047559B" w:rsidP="00D87E57">
                      <w:pPr>
                        <w:spacing w:before="60" w:after="60"/>
                        <w:rPr>
                          <w:rFonts w:ascii="Calibri Light" w:hAnsi="Calibri Light"/>
                          <w:b/>
                          <w:i/>
                          <w:u w:val="single"/>
                        </w:rPr>
                      </w:pPr>
                      <w:r w:rsidRPr="00747948">
                        <w:rPr>
                          <w:rFonts w:ascii="Calibri Light" w:hAnsi="Calibri Light"/>
                          <w:b/>
                          <w:i/>
                          <w:u w:val="single"/>
                        </w:rPr>
                        <w:t>Rīcības:</w:t>
                      </w:r>
                    </w:p>
                    <w:p w14:paraId="5A86FBEF"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e</w:t>
                      </w:r>
                      <w:r w:rsidRPr="00744187">
                        <w:rPr>
                          <w:rFonts w:ascii="Calibri Light" w:hAnsi="Calibri Light"/>
                          <w:spacing w:val="-6"/>
                          <w:sz w:val="18"/>
                          <w:szCs w:val="18"/>
                        </w:rPr>
                        <w:t>fektīvas pieaug</w:t>
                      </w:r>
                      <w:r>
                        <w:rPr>
                          <w:rFonts w:ascii="Calibri Light" w:hAnsi="Calibri Light"/>
                          <w:spacing w:val="-6"/>
                          <w:sz w:val="18"/>
                          <w:szCs w:val="18"/>
                        </w:rPr>
                        <w:t>ušo izglītības sistēmas izveide</w:t>
                      </w:r>
                    </w:p>
                    <w:p w14:paraId="077BE043"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PIKC</w:t>
                      </w:r>
                      <w:r w:rsidRPr="00744187">
                        <w:rPr>
                          <w:rFonts w:ascii="Calibri Light" w:hAnsi="Calibri Light"/>
                          <w:spacing w:val="-6"/>
                          <w:sz w:val="18"/>
                          <w:szCs w:val="18"/>
                        </w:rPr>
                        <w:t xml:space="preserve"> kā aktīvi izglītības tirgus dalībnieki. </w:t>
                      </w:r>
                    </w:p>
                    <w:p w14:paraId="3657150D"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744187">
                        <w:rPr>
                          <w:rFonts w:ascii="Calibri Light" w:hAnsi="Calibri Light"/>
                          <w:spacing w:val="-6"/>
                          <w:sz w:val="18"/>
                          <w:szCs w:val="18"/>
                        </w:rPr>
                        <w:t xml:space="preserve">bezdarbnieku mācībās un pārkvalifikācijā lielāks uzsvars uz darba tirgū pieprasītas profesijas apguvi. </w:t>
                      </w:r>
                    </w:p>
                    <w:p w14:paraId="45CF5BBB" w14:textId="77777777" w:rsidR="0047559B"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744187">
                        <w:rPr>
                          <w:rFonts w:ascii="Calibri Light" w:hAnsi="Calibri Light"/>
                          <w:spacing w:val="-6"/>
                          <w:sz w:val="18"/>
                          <w:szCs w:val="18"/>
                        </w:rPr>
                        <w:t xml:space="preserve">profesiju saraksts augsti kvalificētu speciālistu atvieglotai piesaistei no trešajām valstīm </w:t>
                      </w:r>
                    </w:p>
                    <w:p w14:paraId="3EFEDDC4"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sidRPr="00B1408B">
                        <w:rPr>
                          <w:rFonts w:ascii="Calibri Light" w:hAnsi="Calibri Light"/>
                          <w:i/>
                          <w:spacing w:val="-6"/>
                          <w:sz w:val="18"/>
                          <w:szCs w:val="18"/>
                        </w:rPr>
                        <w:t>foresight</w:t>
                      </w:r>
                      <w:r w:rsidRPr="00744187">
                        <w:rPr>
                          <w:rFonts w:ascii="Calibri Light" w:hAnsi="Calibri Light"/>
                          <w:spacing w:val="-6"/>
                          <w:sz w:val="18"/>
                          <w:szCs w:val="18"/>
                        </w:rPr>
                        <w:t xml:space="preserve"> pētījumi kā pamats formālās iz</w:t>
                      </w:r>
                      <w:r>
                        <w:rPr>
                          <w:rFonts w:ascii="Calibri Light" w:hAnsi="Calibri Light"/>
                          <w:spacing w:val="-6"/>
                          <w:sz w:val="18"/>
                          <w:szCs w:val="18"/>
                        </w:rPr>
                        <w:t>glītības piedāvājuma veidošanai</w:t>
                      </w:r>
                    </w:p>
                    <w:p w14:paraId="528E70F5"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e</w:t>
                      </w:r>
                      <w:r w:rsidRPr="00744187">
                        <w:rPr>
                          <w:rFonts w:ascii="Calibri Light" w:hAnsi="Calibri Light"/>
                          <w:spacing w:val="-6"/>
                          <w:sz w:val="18"/>
                          <w:szCs w:val="18"/>
                        </w:rPr>
                        <w:t xml:space="preserve">sošo uzņēmumu “paplašināšanas programma” </w:t>
                      </w:r>
                    </w:p>
                    <w:p w14:paraId="3D904F28" w14:textId="77777777" w:rsidR="0047559B" w:rsidRPr="00744187" w:rsidRDefault="0047559B" w:rsidP="00D87E57">
                      <w:pPr>
                        <w:pStyle w:val="ListParagraph"/>
                        <w:numPr>
                          <w:ilvl w:val="0"/>
                          <w:numId w:val="33"/>
                        </w:numPr>
                        <w:spacing w:before="60" w:after="60"/>
                        <w:ind w:left="142" w:right="-113" w:hanging="153"/>
                        <w:jc w:val="left"/>
                        <w:rPr>
                          <w:rFonts w:ascii="Calibri Light" w:hAnsi="Calibri Light"/>
                          <w:spacing w:val="-6"/>
                          <w:sz w:val="18"/>
                          <w:szCs w:val="18"/>
                        </w:rPr>
                      </w:pPr>
                      <w:r>
                        <w:rPr>
                          <w:rFonts w:ascii="Calibri Light" w:hAnsi="Calibri Light"/>
                          <w:spacing w:val="-6"/>
                          <w:sz w:val="18"/>
                          <w:szCs w:val="18"/>
                        </w:rPr>
                        <w:t>v</w:t>
                      </w:r>
                      <w:r w:rsidRPr="00744187">
                        <w:rPr>
                          <w:rFonts w:ascii="Calibri Light" w:hAnsi="Calibri Light"/>
                          <w:spacing w:val="-6"/>
                          <w:sz w:val="18"/>
                          <w:szCs w:val="18"/>
                        </w:rPr>
                        <w:t xml:space="preserve">ienotas eksporta platformas programmas izveide (Rīga kā </w:t>
                      </w:r>
                      <w:r w:rsidRPr="00B1408B">
                        <w:rPr>
                          <w:rFonts w:ascii="Calibri Light" w:hAnsi="Calibri Light"/>
                          <w:i/>
                          <w:spacing w:val="-6"/>
                          <w:sz w:val="18"/>
                          <w:szCs w:val="18"/>
                        </w:rPr>
                        <w:t>gateway city</w:t>
                      </w:r>
                      <w:r w:rsidRPr="00744187">
                        <w:rPr>
                          <w:rFonts w:ascii="Calibri Light" w:hAnsi="Calibri Light"/>
                          <w:spacing w:val="-6"/>
                          <w:sz w:val="18"/>
                          <w:szCs w:val="18"/>
                        </w:rPr>
                        <w:t xml:space="preserve">) </w:t>
                      </w:r>
                    </w:p>
                    <w:p w14:paraId="64397770" w14:textId="77777777" w:rsidR="0047559B" w:rsidRPr="00EE2A46" w:rsidRDefault="0047559B" w:rsidP="00D87E57">
                      <w:pPr>
                        <w:pStyle w:val="ListParagraph"/>
                        <w:spacing w:after="60"/>
                        <w:ind w:left="142" w:right="-113"/>
                        <w:jc w:val="left"/>
                        <w:rPr>
                          <w:rFonts w:ascii="Calibri Light" w:hAnsi="Calibri Light"/>
                          <w:spacing w:val="-6"/>
                          <w:sz w:val="18"/>
                          <w:szCs w:val="18"/>
                        </w:rPr>
                      </w:pPr>
                    </w:p>
                  </w:txbxContent>
                </v:textbox>
                <w10:wrap type="square"/>
              </v:shape>
            </w:pict>
          </mc:Fallback>
        </mc:AlternateContent>
      </w:r>
      <w:r>
        <w:rPr>
          <w:noProof/>
          <w:lang w:val="lv-LV" w:eastAsia="lv-LV"/>
        </w:rPr>
        <mc:AlternateContent>
          <mc:Choice Requires="wps">
            <w:drawing>
              <wp:anchor distT="45720" distB="45720" distL="114300" distR="114300" simplePos="0" relativeHeight="251689472" behindDoc="0" locked="0" layoutInCell="1" allowOverlap="1" wp14:anchorId="76C27C58" wp14:editId="1E293A3A">
                <wp:simplePos x="0" y="0"/>
                <wp:positionH relativeFrom="column">
                  <wp:posOffset>4656046</wp:posOffset>
                </wp:positionH>
                <wp:positionV relativeFrom="paragraph">
                  <wp:posOffset>4052640</wp:posOffset>
                </wp:positionV>
                <wp:extent cx="1428750" cy="4352794"/>
                <wp:effectExtent l="0" t="0" r="19050" b="1016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52794"/>
                        </a:xfrm>
                        <a:prstGeom prst="rect">
                          <a:avLst/>
                        </a:prstGeom>
                        <a:noFill/>
                        <a:ln w="3175">
                          <a:solidFill>
                            <a:srgbClr val="000000"/>
                          </a:solidFill>
                          <a:miter lim="800000"/>
                          <a:headEnd/>
                          <a:tailEnd/>
                        </a:ln>
                      </wps:spPr>
                      <wps:txbx>
                        <w:txbxContent>
                          <w:p w14:paraId="0BA7EF96" w14:textId="77777777" w:rsidR="0047559B" w:rsidRDefault="0047559B" w:rsidP="00D87E57">
                            <w:pPr>
                              <w:spacing w:before="60" w:after="60"/>
                              <w:rPr>
                                <w:rFonts w:ascii="Calibri Light" w:hAnsi="Calibri Light"/>
                                <w:b/>
                                <w:i/>
                                <w:u w:val="single"/>
                              </w:rPr>
                            </w:pPr>
                            <w:r w:rsidRPr="00747948">
                              <w:rPr>
                                <w:rFonts w:ascii="Calibri Light" w:hAnsi="Calibri Light"/>
                                <w:b/>
                                <w:i/>
                                <w:u w:val="single"/>
                              </w:rPr>
                              <w:t>Rīcības:</w:t>
                            </w:r>
                          </w:p>
                          <w:p w14:paraId="449F168C"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spacing w:val="-6"/>
                                <w:sz w:val="18"/>
                                <w:szCs w:val="18"/>
                              </w:rPr>
                            </w:pPr>
                            <w:r>
                              <w:rPr>
                                <w:rFonts w:ascii="Calibri Light" w:hAnsi="Calibri Light"/>
                                <w:spacing w:val="-6"/>
                                <w:sz w:val="18"/>
                                <w:szCs w:val="18"/>
                              </w:rPr>
                              <w:t>j</w:t>
                            </w:r>
                            <w:r w:rsidRPr="00FF1CA4">
                              <w:rPr>
                                <w:rFonts w:ascii="Calibri Light" w:hAnsi="Calibri Light"/>
                                <w:spacing w:val="-6"/>
                                <w:sz w:val="18"/>
                                <w:szCs w:val="18"/>
                              </w:rPr>
                              <w:t>aunāko tehnoloģiju izmantošana sabiedrības pašpārvaldei publisko pak</w:t>
                            </w:r>
                            <w:r>
                              <w:rPr>
                                <w:rFonts w:ascii="Calibri Light" w:hAnsi="Calibri Light"/>
                                <w:spacing w:val="-6"/>
                                <w:sz w:val="18"/>
                                <w:szCs w:val="18"/>
                              </w:rPr>
                              <w:t>alpojumu kvalitātes uzlabošanai</w:t>
                            </w:r>
                          </w:p>
                          <w:p w14:paraId="2630D686"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Pr>
                                <w:rFonts w:ascii="Calibri Light" w:hAnsi="Calibri Light"/>
                                <w:spacing w:val="-6"/>
                                <w:sz w:val="18"/>
                                <w:szCs w:val="18"/>
                              </w:rPr>
                              <w:t>u</w:t>
                            </w:r>
                            <w:r w:rsidRPr="00FF1CA4">
                              <w:rPr>
                                <w:rFonts w:ascii="Calibri Light" w:hAnsi="Calibri Light"/>
                                <w:spacing w:val="-6"/>
                                <w:sz w:val="18"/>
                                <w:szCs w:val="18"/>
                              </w:rPr>
                              <w:t xml:space="preserve">zņēmējdarbības platformas vietējo pašvaldību līmenī </w:t>
                            </w:r>
                          </w:p>
                          <w:p w14:paraId="3AA2881B"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tiesu sistēmas ātrdarbība āt</w:t>
                            </w:r>
                            <w:r>
                              <w:rPr>
                                <w:rFonts w:ascii="Calibri Light" w:hAnsi="Calibri Light"/>
                                <w:spacing w:val="-6"/>
                                <w:sz w:val="18"/>
                                <w:szCs w:val="18"/>
                              </w:rPr>
                              <w:t>rai kapitāla atgriešanai tirgū</w:t>
                            </w:r>
                          </w:p>
                          <w:p w14:paraId="084C3AD8"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 xml:space="preserve"> resursu koncentrācija ēnu apkarošanas pasākumiem, kur pastāv augstākā ies</w:t>
                            </w:r>
                            <w:r>
                              <w:rPr>
                                <w:rFonts w:ascii="Calibri Light" w:hAnsi="Calibri Light"/>
                                <w:spacing w:val="-6"/>
                                <w:sz w:val="18"/>
                                <w:szCs w:val="18"/>
                              </w:rPr>
                              <w:t>pēja lielākam valsts ieguvumam</w:t>
                            </w:r>
                          </w:p>
                          <w:p w14:paraId="6F7A2B6F"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privātā un publiskā</w:t>
                            </w:r>
                            <w:r>
                              <w:rPr>
                                <w:rFonts w:ascii="Calibri Light" w:hAnsi="Calibri Light"/>
                                <w:spacing w:val="-6"/>
                                <w:sz w:val="18"/>
                                <w:szCs w:val="18"/>
                              </w:rPr>
                              <w:t xml:space="preserve"> sektora sadarbības iniciatīvas</w:t>
                            </w:r>
                          </w:p>
                          <w:p w14:paraId="3CE13FA7"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 xml:space="preserve"> noteikt izdevumu-ieguvumu analīzes plašāku pielietojum</w:t>
                            </w:r>
                            <w:r>
                              <w:rPr>
                                <w:rFonts w:ascii="Calibri Light" w:hAnsi="Calibri Light"/>
                                <w:spacing w:val="-6"/>
                                <w:sz w:val="18"/>
                                <w:szCs w:val="18"/>
                              </w:rPr>
                              <w:t>u valsts investīciju projektos</w:t>
                            </w:r>
                          </w:p>
                          <w:p w14:paraId="2853CCF3"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Rīgas un Pierīgas pašvaldību sadarbība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27C58" id="_x0000_s1080" type="#_x0000_t202" style="position:absolute;left:0;text-align:left;margin-left:366.6pt;margin-top:319.1pt;width:112.5pt;height:342.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" filled="f" strokeweight=".25pt">
                <v:textbox>
                  <w:txbxContent>
                    <w:p w14:paraId="0BA7EF96" w14:textId="77777777" w:rsidR="0047559B" w:rsidRDefault="0047559B" w:rsidP="00D87E57">
                      <w:pPr>
                        <w:spacing w:before="60" w:after="60"/>
                        <w:rPr>
                          <w:rFonts w:ascii="Calibri Light" w:hAnsi="Calibri Light"/>
                          <w:b/>
                          <w:i/>
                          <w:u w:val="single"/>
                        </w:rPr>
                      </w:pPr>
                      <w:r w:rsidRPr="00747948">
                        <w:rPr>
                          <w:rFonts w:ascii="Calibri Light" w:hAnsi="Calibri Light"/>
                          <w:b/>
                          <w:i/>
                          <w:u w:val="single"/>
                        </w:rPr>
                        <w:t>Rīcības:</w:t>
                      </w:r>
                    </w:p>
                    <w:p w14:paraId="449F168C"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spacing w:val="-6"/>
                          <w:sz w:val="18"/>
                          <w:szCs w:val="18"/>
                        </w:rPr>
                      </w:pPr>
                      <w:r>
                        <w:rPr>
                          <w:rFonts w:ascii="Calibri Light" w:hAnsi="Calibri Light"/>
                          <w:spacing w:val="-6"/>
                          <w:sz w:val="18"/>
                          <w:szCs w:val="18"/>
                        </w:rPr>
                        <w:t>j</w:t>
                      </w:r>
                      <w:r w:rsidRPr="00FF1CA4">
                        <w:rPr>
                          <w:rFonts w:ascii="Calibri Light" w:hAnsi="Calibri Light"/>
                          <w:spacing w:val="-6"/>
                          <w:sz w:val="18"/>
                          <w:szCs w:val="18"/>
                        </w:rPr>
                        <w:t>aunāko tehnoloģiju izmantošana sabiedrības pašpārvaldei publisko pak</w:t>
                      </w:r>
                      <w:r>
                        <w:rPr>
                          <w:rFonts w:ascii="Calibri Light" w:hAnsi="Calibri Light"/>
                          <w:spacing w:val="-6"/>
                          <w:sz w:val="18"/>
                          <w:szCs w:val="18"/>
                        </w:rPr>
                        <w:t>alpojumu kvalitātes uzlabošanai</w:t>
                      </w:r>
                    </w:p>
                    <w:p w14:paraId="2630D686"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Pr>
                          <w:rFonts w:ascii="Calibri Light" w:hAnsi="Calibri Light"/>
                          <w:spacing w:val="-6"/>
                          <w:sz w:val="18"/>
                          <w:szCs w:val="18"/>
                        </w:rPr>
                        <w:t>u</w:t>
                      </w:r>
                      <w:r w:rsidRPr="00FF1CA4">
                        <w:rPr>
                          <w:rFonts w:ascii="Calibri Light" w:hAnsi="Calibri Light"/>
                          <w:spacing w:val="-6"/>
                          <w:sz w:val="18"/>
                          <w:szCs w:val="18"/>
                        </w:rPr>
                        <w:t xml:space="preserve">zņēmējdarbības platformas vietējo pašvaldību līmenī </w:t>
                      </w:r>
                    </w:p>
                    <w:p w14:paraId="3AA2881B"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tiesu sistēmas ātrdarbība āt</w:t>
                      </w:r>
                      <w:r>
                        <w:rPr>
                          <w:rFonts w:ascii="Calibri Light" w:hAnsi="Calibri Light"/>
                          <w:spacing w:val="-6"/>
                          <w:sz w:val="18"/>
                          <w:szCs w:val="18"/>
                        </w:rPr>
                        <w:t>rai kapitāla atgriešanai tirgū</w:t>
                      </w:r>
                    </w:p>
                    <w:p w14:paraId="084C3AD8"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 xml:space="preserve"> resursu koncentrācija ēnu apkarošanas pasākumiem, kur pastāv augstākā ies</w:t>
                      </w:r>
                      <w:r>
                        <w:rPr>
                          <w:rFonts w:ascii="Calibri Light" w:hAnsi="Calibri Light"/>
                          <w:spacing w:val="-6"/>
                          <w:sz w:val="18"/>
                          <w:szCs w:val="18"/>
                        </w:rPr>
                        <w:t>pēja lielākam valsts ieguvumam</w:t>
                      </w:r>
                    </w:p>
                    <w:p w14:paraId="6F7A2B6F"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privātā un publiskā</w:t>
                      </w:r>
                      <w:r>
                        <w:rPr>
                          <w:rFonts w:ascii="Calibri Light" w:hAnsi="Calibri Light"/>
                          <w:spacing w:val="-6"/>
                          <w:sz w:val="18"/>
                          <w:szCs w:val="18"/>
                        </w:rPr>
                        <w:t xml:space="preserve"> sektora sadarbības iniciatīvas</w:t>
                      </w:r>
                    </w:p>
                    <w:p w14:paraId="3CE13FA7"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 xml:space="preserve"> noteikt izdevumu-ieguvumu analīzes plašāku pielietojum</w:t>
                      </w:r>
                      <w:r>
                        <w:rPr>
                          <w:rFonts w:ascii="Calibri Light" w:hAnsi="Calibri Light"/>
                          <w:spacing w:val="-6"/>
                          <w:sz w:val="18"/>
                          <w:szCs w:val="18"/>
                        </w:rPr>
                        <w:t>u valsts investīciju projektos</w:t>
                      </w:r>
                    </w:p>
                    <w:p w14:paraId="2853CCF3" w14:textId="77777777" w:rsidR="0047559B" w:rsidRPr="00FF1CA4" w:rsidRDefault="0047559B" w:rsidP="00D87E57">
                      <w:pPr>
                        <w:pStyle w:val="ListParagraph"/>
                        <w:numPr>
                          <w:ilvl w:val="0"/>
                          <w:numId w:val="33"/>
                        </w:numPr>
                        <w:spacing w:before="0" w:after="40"/>
                        <w:ind w:left="142" w:right="-113" w:hanging="153"/>
                        <w:contextualSpacing w:val="0"/>
                        <w:jc w:val="left"/>
                        <w:rPr>
                          <w:rFonts w:ascii="Calibri Light" w:hAnsi="Calibri Light"/>
                          <w:b/>
                          <w:sz w:val="18"/>
                          <w:szCs w:val="18"/>
                        </w:rPr>
                      </w:pPr>
                      <w:r w:rsidRPr="00FF1CA4">
                        <w:rPr>
                          <w:rFonts w:ascii="Calibri Light" w:hAnsi="Calibri Light"/>
                          <w:spacing w:val="-6"/>
                          <w:sz w:val="18"/>
                          <w:szCs w:val="18"/>
                        </w:rPr>
                        <w:t>Rīgas un Pierīgas pašvaldību sadarbība</w:t>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91520" behindDoc="0" locked="0" layoutInCell="1" allowOverlap="1" wp14:anchorId="2EAB7918" wp14:editId="03516623">
                <wp:simplePos x="0" y="0"/>
                <wp:positionH relativeFrom="column">
                  <wp:posOffset>4648200</wp:posOffset>
                </wp:positionH>
                <wp:positionV relativeFrom="paragraph">
                  <wp:posOffset>3255010</wp:posOffset>
                </wp:positionV>
                <wp:extent cx="400050" cy="342900"/>
                <wp:effectExtent l="0" t="0" r="0" b="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050" cy="342900"/>
                        </a:xfrm>
                        <a:prstGeom prst="rect">
                          <a:avLst/>
                        </a:prstGeom>
                        <a:noFill/>
                        <a:ln w="9525">
                          <a:noFill/>
                          <a:miter lim="800000"/>
                          <a:headEnd/>
                          <a:tailEnd/>
                        </a:ln>
                      </wps:spPr>
                      <wps:txbx>
                        <w:txbxContent>
                          <w:p w14:paraId="31EA539B"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B7918" id="_x0000_s1081" type="#_x0000_t202" style="position:absolute;left:0;text-align:left;margin-left:366pt;margin-top:256.3pt;width:31.5pt;height:27pt;rotation:-90;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" filled="f" stroked="f">
                <v:textbox>
                  <w:txbxContent>
                    <w:p w14:paraId="31EA539B"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92544" behindDoc="0" locked="0" layoutInCell="1" allowOverlap="1" wp14:anchorId="64C80D14" wp14:editId="69AA933B">
                <wp:simplePos x="0" y="0"/>
                <wp:positionH relativeFrom="column">
                  <wp:posOffset>4628515</wp:posOffset>
                </wp:positionH>
                <wp:positionV relativeFrom="paragraph">
                  <wp:posOffset>2418715</wp:posOffset>
                </wp:positionV>
                <wp:extent cx="400050" cy="342900"/>
                <wp:effectExtent l="0" t="0" r="0"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050" cy="342900"/>
                        </a:xfrm>
                        <a:prstGeom prst="rect">
                          <a:avLst/>
                        </a:prstGeom>
                        <a:noFill/>
                        <a:ln w="9525">
                          <a:noFill/>
                          <a:miter lim="800000"/>
                          <a:headEnd/>
                          <a:tailEnd/>
                        </a:ln>
                      </wps:spPr>
                      <wps:txbx>
                        <w:txbxContent>
                          <w:p w14:paraId="0596262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80D14" id="_x0000_s1082" type="#_x0000_t202" style="position:absolute;left:0;text-align:left;margin-left:364.45pt;margin-top:190.45pt;width:31.5pt;height:27pt;rotation:-90;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" filled="f" stroked="f">
                <v:textbox>
                  <w:txbxContent>
                    <w:p w14:paraId="0596262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90496" behindDoc="0" locked="0" layoutInCell="1" allowOverlap="1" wp14:anchorId="4FDF1C8B" wp14:editId="3D56DFBB">
                <wp:simplePos x="0" y="0"/>
                <wp:positionH relativeFrom="column">
                  <wp:posOffset>4629150</wp:posOffset>
                </wp:positionH>
                <wp:positionV relativeFrom="paragraph">
                  <wp:posOffset>1664335</wp:posOffset>
                </wp:positionV>
                <wp:extent cx="400050" cy="342900"/>
                <wp:effectExtent l="0" t="0" r="0" b="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050" cy="342900"/>
                        </a:xfrm>
                        <a:prstGeom prst="rect">
                          <a:avLst/>
                        </a:prstGeom>
                        <a:noFill/>
                        <a:ln w="9525">
                          <a:noFill/>
                          <a:miter lim="800000"/>
                          <a:headEnd/>
                          <a:tailEnd/>
                        </a:ln>
                      </wps:spPr>
                      <wps:txbx>
                        <w:txbxContent>
                          <w:p w14:paraId="6C4316AF"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F1C8B" id="_x0000_s1083" type="#_x0000_t202" style="position:absolute;left:0;text-align:left;margin-left:364.5pt;margin-top:131.05pt;width:31.5pt;height:27pt;rotation:-90;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" filled="f" stroked="f">
                <v:textbox>
                  <w:txbxContent>
                    <w:p w14:paraId="6C4316AF"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84352" behindDoc="0" locked="0" layoutInCell="1" allowOverlap="1" wp14:anchorId="48D1DD9A" wp14:editId="362F4087">
                <wp:simplePos x="0" y="0"/>
                <wp:positionH relativeFrom="column">
                  <wp:posOffset>2171700</wp:posOffset>
                </wp:positionH>
                <wp:positionV relativeFrom="paragraph">
                  <wp:posOffset>2893060</wp:posOffset>
                </wp:positionV>
                <wp:extent cx="400050" cy="3429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64CA3A52"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1DD9A" id="_x0000_s1084" type="#_x0000_t202" style="position:absolute;left:0;text-align:left;margin-left:171pt;margin-top:227.8pt;width:31.5pt;height:2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" filled="f" stroked="f">
                <v:textbox>
                  <w:txbxContent>
                    <w:p w14:paraId="64CA3A52"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83328" behindDoc="0" locked="0" layoutInCell="1" allowOverlap="1" wp14:anchorId="4DCB3DE1" wp14:editId="0911BB7B">
                <wp:simplePos x="0" y="0"/>
                <wp:positionH relativeFrom="column">
                  <wp:posOffset>3190875</wp:posOffset>
                </wp:positionH>
                <wp:positionV relativeFrom="paragraph">
                  <wp:posOffset>2912110</wp:posOffset>
                </wp:positionV>
                <wp:extent cx="400050" cy="342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3D2C5AA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B3DE1" id="_x0000_s1085" type="#_x0000_t202" style="position:absolute;left:0;text-align:left;margin-left:251.25pt;margin-top:229.3pt;width:31.5pt;height:27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" filled="f" stroked="f">
                <v:textbox>
                  <w:txbxContent>
                    <w:p w14:paraId="3D2C5AA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82304" behindDoc="0" locked="0" layoutInCell="1" allowOverlap="1" wp14:anchorId="08520FE4" wp14:editId="4F3845C4">
                <wp:simplePos x="0" y="0"/>
                <wp:positionH relativeFrom="column">
                  <wp:posOffset>1143000</wp:posOffset>
                </wp:positionH>
                <wp:positionV relativeFrom="paragraph">
                  <wp:posOffset>2912110</wp:posOffset>
                </wp:positionV>
                <wp:extent cx="400050" cy="34290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699E334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20FE4" id="_x0000_s1086" type="#_x0000_t202" style="position:absolute;left:0;text-align:left;margin-left:90pt;margin-top:229.3pt;width:31.5pt;height:27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" filled="f" stroked="f">
                <v:textbox>
                  <w:txbxContent>
                    <w:p w14:paraId="699E3345"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78208" behindDoc="0" locked="0" layoutInCell="1" allowOverlap="1" wp14:anchorId="3CD942ED" wp14:editId="75E945F3">
                <wp:simplePos x="0" y="0"/>
                <wp:positionH relativeFrom="column">
                  <wp:posOffset>1028700</wp:posOffset>
                </wp:positionH>
                <wp:positionV relativeFrom="paragraph">
                  <wp:posOffset>2324100</wp:posOffset>
                </wp:positionV>
                <wp:extent cx="3200400" cy="540000"/>
                <wp:effectExtent l="0" t="0" r="19050" b="1270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0000"/>
                        </a:xfrm>
                        <a:prstGeom prst="rect">
                          <a:avLst/>
                        </a:prstGeom>
                        <a:solidFill>
                          <a:schemeClr val="bg1">
                            <a:lumMod val="95000"/>
                          </a:schemeClr>
                        </a:solidFill>
                        <a:ln w="9525">
                          <a:solidFill>
                            <a:srgbClr val="000000"/>
                          </a:solidFill>
                          <a:miter lim="800000"/>
                          <a:headEnd/>
                          <a:tailEnd/>
                        </a:ln>
                      </wps:spPr>
                      <wps:txbx>
                        <w:txbxContent>
                          <w:p w14:paraId="7521DB45" w14:textId="77777777" w:rsidR="0047559B" w:rsidRPr="008E61C0" w:rsidRDefault="0047559B" w:rsidP="00D87E57">
                            <w:pPr>
                              <w:spacing w:before="60" w:after="60"/>
                              <w:jc w:val="center"/>
                              <w:rPr>
                                <w:rFonts w:ascii="Calibri Light" w:hAnsi="Calibri Light"/>
                                <w:b/>
                                <w:sz w:val="24"/>
                              </w:rPr>
                            </w:pPr>
                            <w:r w:rsidRPr="00D17A72">
                              <w:rPr>
                                <w:rFonts w:ascii="Calibri Light" w:hAnsi="Calibri Light"/>
                                <w:sz w:val="20"/>
                              </w:rPr>
                              <w:t xml:space="preserve">Eksporta pieaugumam izšķiroša ir globālā konkurētspēja </w:t>
                            </w:r>
                            <w:r>
                              <w:rPr>
                                <w:rFonts w:ascii="Calibri Light" w:hAnsi="Calibri Light"/>
                                <w:sz w:val="24"/>
                              </w:rPr>
                              <w:t xml:space="preserve">– </w:t>
                            </w:r>
                            <w:r w:rsidRPr="00D17A72">
                              <w:rPr>
                                <w:rFonts w:ascii="Calibri Light" w:hAnsi="Calibri Light"/>
                                <w:b/>
                                <w:sz w:val="24"/>
                              </w:rPr>
                              <w:t>produktivitātes palielināšana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942ED" id="_x0000_s1087" type="#_x0000_t202" style="position:absolute;left:0;text-align:left;margin-left:81pt;margin-top:183pt;width:252pt;height:4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" fillcolor="#f2f2f2 [3052]">
                <v:textbox>
                  <w:txbxContent>
                    <w:p w14:paraId="7521DB45" w14:textId="77777777" w:rsidR="0047559B" w:rsidRPr="008E61C0" w:rsidRDefault="0047559B" w:rsidP="00D87E57">
                      <w:pPr>
                        <w:spacing w:before="60" w:after="60"/>
                        <w:jc w:val="center"/>
                        <w:rPr>
                          <w:rFonts w:ascii="Calibri Light" w:hAnsi="Calibri Light"/>
                          <w:b/>
                          <w:sz w:val="24"/>
                        </w:rPr>
                      </w:pPr>
                      <w:r w:rsidRPr="00D17A72">
                        <w:rPr>
                          <w:rFonts w:ascii="Calibri Light" w:hAnsi="Calibri Light"/>
                          <w:sz w:val="20"/>
                        </w:rPr>
                        <w:t xml:space="preserve">Eksporta pieaugumam izšķiroša ir globālā konkurētspēja </w:t>
                      </w:r>
                      <w:r>
                        <w:rPr>
                          <w:rFonts w:ascii="Calibri Light" w:hAnsi="Calibri Light"/>
                          <w:sz w:val="24"/>
                        </w:rPr>
                        <w:t xml:space="preserve">– </w:t>
                      </w:r>
                      <w:r w:rsidRPr="00D17A72">
                        <w:rPr>
                          <w:rFonts w:ascii="Calibri Light" w:hAnsi="Calibri Light"/>
                          <w:b/>
                          <w:sz w:val="24"/>
                        </w:rPr>
                        <w:t>produktivitātes palielināšana</w:t>
                      </w: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77184" behindDoc="0" locked="0" layoutInCell="1" allowOverlap="1" wp14:anchorId="112D82E7" wp14:editId="1A03828E">
                <wp:simplePos x="0" y="0"/>
                <wp:positionH relativeFrom="column">
                  <wp:posOffset>2409825</wp:posOffset>
                </wp:positionH>
                <wp:positionV relativeFrom="paragraph">
                  <wp:posOffset>2064385</wp:posOffset>
                </wp:positionV>
                <wp:extent cx="400050" cy="34290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2EE5D3EA"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82E7" id="_x0000_s1088" type="#_x0000_t202" style="position:absolute;left:0;text-align:left;margin-left:189.75pt;margin-top:162.55pt;width:31.5pt;height:27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" filled="f" stroked="f">
                <v:textbox>
                  <w:txbxContent>
                    <w:p w14:paraId="2EE5D3EA"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Pr>
          <w:noProof/>
          <w:lang w:val="lv-LV" w:eastAsia="lv-LV"/>
        </w:rPr>
        <mc:AlternateContent>
          <mc:Choice Requires="wps">
            <w:drawing>
              <wp:anchor distT="45720" distB="45720" distL="114300" distR="114300" simplePos="0" relativeHeight="251675136" behindDoc="0" locked="0" layoutInCell="1" allowOverlap="1" wp14:anchorId="13B442A0" wp14:editId="056CC115">
                <wp:simplePos x="0" y="0"/>
                <wp:positionH relativeFrom="column">
                  <wp:posOffset>2428875</wp:posOffset>
                </wp:positionH>
                <wp:positionV relativeFrom="paragraph">
                  <wp:posOffset>1292860</wp:posOffset>
                </wp:positionV>
                <wp:extent cx="400050" cy="34290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41FF766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442A0" id="_x0000_s1089" type="#_x0000_t202" style="position:absolute;left:0;text-align:left;margin-left:191.25pt;margin-top:101.8pt;width:31.5pt;height:27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" filled="f" stroked="f">
                <v:textbox>
                  <w:txbxContent>
                    <w:p w14:paraId="41FF766C"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r>
        <w:rPr>
          <w:noProof/>
          <w:lang w:val="lv-LV" w:eastAsia="lv-LV"/>
        </w:rPr>
        <mc:AlternateContent>
          <mc:Choice Requires="wps">
            <w:drawing>
              <wp:anchor distT="45720" distB="45720" distL="114300" distR="114300" simplePos="0" relativeHeight="251676160" behindDoc="0" locked="0" layoutInCell="1" allowOverlap="1" wp14:anchorId="3837E4A6" wp14:editId="534B799D">
                <wp:simplePos x="0" y="0"/>
                <wp:positionH relativeFrom="column">
                  <wp:posOffset>1504950</wp:posOffset>
                </wp:positionH>
                <wp:positionV relativeFrom="paragraph">
                  <wp:posOffset>1562100</wp:posOffset>
                </wp:positionV>
                <wp:extent cx="2286000" cy="539750"/>
                <wp:effectExtent l="0" t="0" r="19050" b="1270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9750"/>
                        </a:xfrm>
                        <a:prstGeom prst="rect">
                          <a:avLst/>
                        </a:prstGeom>
                        <a:solidFill>
                          <a:schemeClr val="bg1">
                            <a:lumMod val="95000"/>
                          </a:schemeClr>
                        </a:solidFill>
                        <a:ln w="9525">
                          <a:solidFill>
                            <a:srgbClr val="000000"/>
                          </a:solidFill>
                          <a:miter lim="800000"/>
                          <a:headEnd/>
                          <a:tailEnd/>
                        </a:ln>
                      </wps:spPr>
                      <wps:txbx>
                        <w:txbxContent>
                          <w:p w14:paraId="006EF2D7" w14:textId="77777777" w:rsidR="0047559B" w:rsidRPr="008E61C0" w:rsidRDefault="0047559B" w:rsidP="00D87E57">
                            <w:pPr>
                              <w:spacing w:before="60" w:after="60"/>
                              <w:jc w:val="center"/>
                              <w:rPr>
                                <w:rFonts w:ascii="Calibri Light" w:hAnsi="Calibri Light"/>
                                <w:b/>
                                <w:sz w:val="24"/>
                              </w:rPr>
                            </w:pPr>
                            <w:r w:rsidRPr="009B35EE">
                              <w:rPr>
                                <w:rFonts w:ascii="Calibri Light" w:hAnsi="Calibri Light"/>
                                <w:sz w:val="20"/>
                              </w:rPr>
                              <w:t>Ekonomikas attīstības dzinulis –</w:t>
                            </w:r>
                            <w:r w:rsidRPr="009B35EE">
                              <w:rPr>
                                <w:rFonts w:ascii="Calibri Light" w:hAnsi="Calibri Light"/>
                                <w:b/>
                                <w:sz w:val="20"/>
                              </w:rPr>
                              <w:t xml:space="preserve"> </w:t>
                            </w:r>
                            <w:r>
                              <w:rPr>
                                <w:rFonts w:ascii="Calibri Light" w:hAnsi="Calibri Light"/>
                                <w:b/>
                                <w:sz w:val="24"/>
                              </w:rPr>
                              <w:t>ienākumu pieaugums no eksporta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7E4A6" id="_x0000_s1090" type="#_x0000_t202" style="position:absolute;left:0;text-align:left;margin-left:118.5pt;margin-top:123pt;width:180pt;height:4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" fillcolor="#f2f2f2 [3052]">
                <v:textbox>
                  <w:txbxContent>
                    <w:p w14:paraId="006EF2D7" w14:textId="77777777" w:rsidR="0047559B" w:rsidRPr="008E61C0" w:rsidRDefault="0047559B" w:rsidP="00D87E57">
                      <w:pPr>
                        <w:spacing w:before="60" w:after="60"/>
                        <w:jc w:val="center"/>
                        <w:rPr>
                          <w:rFonts w:ascii="Calibri Light" w:hAnsi="Calibri Light"/>
                          <w:b/>
                          <w:sz w:val="24"/>
                        </w:rPr>
                      </w:pPr>
                      <w:r w:rsidRPr="009B35EE">
                        <w:rPr>
                          <w:rFonts w:ascii="Calibri Light" w:hAnsi="Calibri Light"/>
                          <w:sz w:val="20"/>
                        </w:rPr>
                        <w:t>Ekonomikas attīstības dzinulis –</w:t>
                      </w:r>
                      <w:r w:rsidRPr="009B35EE">
                        <w:rPr>
                          <w:rFonts w:ascii="Calibri Light" w:hAnsi="Calibri Light"/>
                          <w:b/>
                          <w:sz w:val="20"/>
                        </w:rPr>
                        <w:t xml:space="preserve"> </w:t>
                      </w:r>
                      <w:r>
                        <w:rPr>
                          <w:rFonts w:ascii="Calibri Light" w:hAnsi="Calibri Light"/>
                          <w:b/>
                          <w:sz w:val="24"/>
                        </w:rPr>
                        <w:t>ienākumu pieaugums no eksporta</w:t>
                      </w:r>
                    </w:p>
                  </w:txbxContent>
                </v:textbox>
                <w10:wrap type="square"/>
              </v:shape>
            </w:pict>
          </mc:Fallback>
        </mc:AlternateContent>
      </w:r>
      <w:r>
        <w:rPr>
          <w:noProof/>
          <w:lang w:val="lv-LV" w:eastAsia="lv-LV"/>
        </w:rPr>
        <mc:AlternateContent>
          <mc:Choice Requires="wps">
            <w:drawing>
              <wp:anchor distT="45720" distB="45720" distL="114300" distR="114300" simplePos="0" relativeHeight="251672064" behindDoc="0" locked="0" layoutInCell="1" allowOverlap="1" wp14:anchorId="1185568D" wp14:editId="435622E2">
                <wp:simplePos x="0" y="0"/>
                <wp:positionH relativeFrom="column">
                  <wp:posOffset>3543300</wp:posOffset>
                </wp:positionH>
                <wp:positionV relativeFrom="paragraph">
                  <wp:posOffset>976630</wp:posOffset>
                </wp:positionV>
                <wp:extent cx="400050" cy="34290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3B66E145" w14:textId="77777777" w:rsidR="0047559B" w:rsidRPr="009B35EE" w:rsidRDefault="0047559B" w:rsidP="00D87E57">
                            <w:pPr>
                              <w:spacing w:after="40"/>
                              <w:rPr>
                                <w:rFonts w:ascii="Calibri Light" w:hAnsi="Calibri Light"/>
                                <w:b/>
                                <w:sz w:val="32"/>
                              </w:rPr>
                            </w:pPr>
                            <w:r w:rsidRPr="009B35EE">
                              <w:rPr>
                                <w:rFonts w:ascii="Calibri Light" w:hAnsi="Calibri Light"/>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568D" id="_x0000_s1091" type="#_x0000_t202" style="position:absolute;left:0;text-align:left;margin-left:279pt;margin-top:76.9pt;width:31.5pt;height:27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" filled="f" stroked="f">
                <v:textbox>
                  <w:txbxContent>
                    <w:p w14:paraId="3B66E145" w14:textId="77777777" w:rsidR="0047559B" w:rsidRPr="009B35EE" w:rsidRDefault="0047559B" w:rsidP="00D87E57">
                      <w:pPr>
                        <w:spacing w:after="40"/>
                        <w:rPr>
                          <w:rFonts w:ascii="Calibri Light" w:hAnsi="Calibri Light"/>
                          <w:b/>
                          <w:sz w:val="32"/>
                        </w:rPr>
                      </w:pPr>
                      <w:r w:rsidRPr="009B35EE">
                        <w:rPr>
                          <w:rFonts w:ascii="Calibri Light" w:hAnsi="Calibri Light"/>
                          <w:b/>
                          <w:sz w:val="32"/>
                        </w:rPr>
                        <w:t>=</w:t>
                      </w:r>
                    </w:p>
                  </w:txbxContent>
                </v:textbox>
                <w10:wrap type="square"/>
              </v:shape>
            </w:pict>
          </mc:Fallback>
        </mc:AlternateContent>
      </w:r>
      <w:r>
        <w:rPr>
          <w:noProof/>
          <w:lang w:val="lv-LV" w:eastAsia="lv-LV"/>
        </w:rPr>
        <mc:AlternateContent>
          <mc:Choice Requires="wps">
            <w:drawing>
              <wp:anchor distT="45720" distB="45720" distL="114300" distR="114300" simplePos="0" relativeHeight="251668992" behindDoc="0" locked="0" layoutInCell="1" allowOverlap="1" wp14:anchorId="5A8512C3" wp14:editId="3E2DBACD">
                <wp:simplePos x="0" y="0"/>
                <wp:positionH relativeFrom="column">
                  <wp:posOffset>1828800</wp:posOffset>
                </wp:positionH>
                <wp:positionV relativeFrom="paragraph">
                  <wp:posOffset>951865</wp:posOffset>
                </wp:positionV>
                <wp:extent cx="1619250" cy="395605"/>
                <wp:effectExtent l="0" t="0" r="19050" b="2349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95605"/>
                        </a:xfrm>
                        <a:prstGeom prst="rect">
                          <a:avLst/>
                        </a:prstGeom>
                        <a:solidFill>
                          <a:schemeClr val="bg1">
                            <a:lumMod val="95000"/>
                          </a:schemeClr>
                        </a:solidFill>
                        <a:ln w="9525">
                          <a:solidFill>
                            <a:srgbClr val="000000"/>
                          </a:solidFill>
                          <a:miter lim="800000"/>
                          <a:headEnd/>
                          <a:tailEnd/>
                        </a:ln>
                      </wps:spPr>
                      <wps:txbx>
                        <w:txbxContent>
                          <w:p w14:paraId="74DCF2A0" w14:textId="77777777" w:rsidR="0047559B" w:rsidRPr="008E61C0" w:rsidRDefault="0047559B" w:rsidP="00D87E57">
                            <w:pPr>
                              <w:spacing w:before="60" w:after="60"/>
                              <w:rPr>
                                <w:rFonts w:ascii="Calibri Light" w:hAnsi="Calibri Light"/>
                                <w:b/>
                                <w:sz w:val="24"/>
                              </w:rPr>
                            </w:pPr>
                            <w:r w:rsidRPr="008E61C0">
                              <w:rPr>
                                <w:rFonts w:ascii="Calibri Light" w:hAnsi="Calibri Light"/>
                                <w:b/>
                                <w:sz w:val="24"/>
                              </w:rPr>
                              <w:t>Ekonomikas izaugsme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512C3" id="_x0000_s1092" type="#_x0000_t202" style="position:absolute;left:0;text-align:left;margin-left:2in;margin-top:74.95pt;width:127.5pt;height:31.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" fillcolor="#f2f2f2 [3052]">
                <v:textbox>
                  <w:txbxContent>
                    <w:p w14:paraId="74DCF2A0" w14:textId="77777777" w:rsidR="0047559B" w:rsidRPr="008E61C0" w:rsidRDefault="0047559B" w:rsidP="00D87E57">
                      <w:pPr>
                        <w:spacing w:before="60" w:after="60"/>
                        <w:rPr>
                          <w:rFonts w:ascii="Calibri Light" w:hAnsi="Calibri Light"/>
                          <w:b/>
                          <w:sz w:val="24"/>
                        </w:rPr>
                      </w:pPr>
                      <w:r w:rsidRPr="008E61C0">
                        <w:rPr>
                          <w:rFonts w:ascii="Calibri Light" w:hAnsi="Calibri Light"/>
                          <w:b/>
                          <w:sz w:val="24"/>
                        </w:rPr>
                        <w:t>Ekonomikas izaugsme</w:t>
                      </w:r>
                    </w:p>
                  </w:txbxContent>
                </v:textbox>
                <w10:wrap type="square"/>
              </v:shape>
            </w:pict>
          </mc:Fallback>
        </mc:AlternateContent>
      </w:r>
      <w:r>
        <w:rPr>
          <w:noProof/>
          <w:lang w:val="lv-LV" w:eastAsia="lv-LV"/>
        </w:rPr>
        <w:drawing>
          <wp:anchor distT="0" distB="0" distL="114300" distR="114300" simplePos="0" relativeHeight="251671040" behindDoc="0" locked="0" layoutInCell="1" allowOverlap="1" wp14:anchorId="7B641CE4" wp14:editId="4AB54F8A">
            <wp:simplePos x="0" y="0"/>
            <wp:positionH relativeFrom="column">
              <wp:posOffset>1304925</wp:posOffset>
            </wp:positionH>
            <wp:positionV relativeFrom="paragraph">
              <wp:posOffset>981075</wp:posOffset>
            </wp:positionV>
            <wp:extent cx="352425" cy="352425"/>
            <wp:effectExtent l="0" t="0" r="9525" b="9525"/>
            <wp:wrapNone/>
            <wp:docPr id="237" name="Picture 237" descr="http://www.pngall.com/wp-content/uploads/2016/07/Target-PNG-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ngall.com/wp-content/uploads/2016/07/Target-PNG-Pictur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flipV="1">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mc:AlternateContent>
          <mc:Choice Requires="wps">
            <w:drawing>
              <wp:anchor distT="45720" distB="45720" distL="114300" distR="114300" simplePos="0" relativeHeight="251674112" behindDoc="0" locked="0" layoutInCell="1" allowOverlap="1" wp14:anchorId="28B92C96" wp14:editId="62F04CF5">
                <wp:simplePos x="0" y="0"/>
                <wp:positionH relativeFrom="column">
                  <wp:posOffset>1504950</wp:posOffset>
                </wp:positionH>
                <wp:positionV relativeFrom="paragraph">
                  <wp:posOffset>237490</wp:posOffset>
                </wp:positionV>
                <wp:extent cx="2286000" cy="509905"/>
                <wp:effectExtent l="0" t="0" r="0" b="444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9905"/>
                        </a:xfrm>
                        <a:prstGeom prst="rect">
                          <a:avLst/>
                        </a:prstGeom>
                        <a:noFill/>
                        <a:ln w="9525">
                          <a:noFill/>
                          <a:miter lim="800000"/>
                          <a:headEnd/>
                          <a:tailEnd/>
                        </a:ln>
                      </wps:spPr>
                      <wps:txbx>
                        <w:txbxContent>
                          <w:p w14:paraId="5B54D245" w14:textId="77777777" w:rsidR="0047559B" w:rsidRPr="009B35EE" w:rsidRDefault="0047559B" w:rsidP="00D87E57">
                            <w:pPr>
                              <w:spacing w:before="60" w:after="60"/>
                              <w:jc w:val="center"/>
                              <w:rPr>
                                <w:rFonts w:ascii="Calibri Light" w:hAnsi="Calibri Light"/>
                                <w:sz w:val="24"/>
                              </w:rPr>
                            </w:pPr>
                            <w:r w:rsidRPr="009B35EE">
                              <w:rPr>
                                <w:rFonts w:ascii="Calibri Light" w:hAnsi="Calibri Light"/>
                                <w:sz w:val="24"/>
                              </w:rPr>
                              <w:t>Iedzīvotāju dzīves līmenis, ienākumi, labklājība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92C96" id="_x0000_s1093" type="#_x0000_t202" style="position:absolute;left:0;text-align:left;margin-left:118.5pt;margin-top:18.7pt;width:180pt;height:40.1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" filled="f" stroked="f">
                <v:textbox>
                  <w:txbxContent>
                    <w:p w14:paraId="5B54D245" w14:textId="77777777" w:rsidR="0047559B" w:rsidRPr="009B35EE" w:rsidRDefault="0047559B" w:rsidP="00D87E57">
                      <w:pPr>
                        <w:spacing w:before="60" w:after="60"/>
                        <w:jc w:val="center"/>
                        <w:rPr>
                          <w:rFonts w:ascii="Calibri Light" w:hAnsi="Calibri Light"/>
                          <w:sz w:val="24"/>
                        </w:rPr>
                      </w:pPr>
                      <w:r w:rsidRPr="009B35EE">
                        <w:rPr>
                          <w:rFonts w:ascii="Calibri Light" w:hAnsi="Calibri Light"/>
                          <w:sz w:val="24"/>
                        </w:rPr>
                        <w:t>Iedzīvotāju dzīves līmenis, ienākumi, labklājība</w:t>
                      </w:r>
                    </w:p>
                  </w:txbxContent>
                </v:textbox>
                <w10:wrap type="square"/>
              </v:shape>
            </w:pict>
          </mc:Fallback>
        </mc:AlternateContent>
      </w:r>
      <w:r>
        <w:rPr>
          <w:noProof/>
          <w:lang w:val="lv-LV" w:eastAsia="lv-LV"/>
        </w:rPr>
        <mc:AlternateContent>
          <mc:Choice Requires="wps">
            <w:drawing>
              <wp:anchor distT="45720" distB="45720" distL="114300" distR="114300" simplePos="0" relativeHeight="251673088" behindDoc="0" locked="0" layoutInCell="1" allowOverlap="1" wp14:anchorId="37C5445F" wp14:editId="25DCC389">
                <wp:simplePos x="0" y="0"/>
                <wp:positionH relativeFrom="column">
                  <wp:posOffset>2428875</wp:posOffset>
                </wp:positionH>
                <wp:positionV relativeFrom="paragraph">
                  <wp:posOffset>683260</wp:posOffset>
                </wp:positionV>
                <wp:extent cx="400050" cy="34290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6670272D"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5445F" id="_x0000_s1094" type="#_x0000_t202" style="position:absolute;left:0;text-align:left;margin-left:191.25pt;margin-top:53.8pt;width:31.5pt;height:27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" filled="f" stroked="f">
                <v:textbox>
                  <w:txbxContent>
                    <w:p w14:paraId="6670272D" w14:textId="77777777" w:rsidR="0047559B" w:rsidRPr="009B35EE" w:rsidRDefault="0047559B" w:rsidP="00D87E57">
                      <w:pPr>
                        <w:spacing w:after="40"/>
                        <w:rPr>
                          <w:rFonts w:ascii="Calibri Light" w:hAnsi="Calibri Light"/>
                          <w:b/>
                          <w:color w:val="4A66AC" w:themeColor="accent1"/>
                          <w:sz w:val="40"/>
                        </w:rPr>
                      </w:pPr>
                      <w:r w:rsidRPr="009B35EE">
                        <w:rPr>
                          <w:rFonts w:ascii="Calibri Light" w:hAnsi="Calibri Light"/>
                          <w:b/>
                          <w:color w:val="4A66AC" w:themeColor="accent1"/>
                          <w:sz w:val="40"/>
                        </w:rPr>
                        <w:sym w:font="Wingdings 3" w:char="F081"/>
                      </w:r>
                    </w:p>
                  </w:txbxContent>
                </v:textbox>
                <w10:wrap type="square"/>
              </v:shape>
            </w:pict>
          </mc:Fallback>
        </mc:AlternateContent>
      </w:r>
    </w:p>
    <w:p w14:paraId="5A0FD5F8" w14:textId="77777777" w:rsidR="00D87E57" w:rsidRDefault="00D87E57" w:rsidP="00D87E57"/>
    <w:p w14:paraId="2C906C5A" w14:textId="77777777" w:rsidR="00D87E57" w:rsidRDefault="00D87E57" w:rsidP="00D87E57">
      <w:pPr>
        <w:spacing w:before="60" w:after="60"/>
        <w:rPr>
          <w:rFonts w:asciiTheme="majorHAnsi" w:hAnsiTheme="majorHAnsi"/>
        </w:rPr>
      </w:pPr>
      <w:r>
        <w:rPr>
          <w:noProof/>
          <w:lang w:val="lv-LV" w:eastAsia="lv-LV"/>
        </w:rPr>
        <mc:AlternateContent>
          <mc:Choice Requires="wps">
            <w:drawing>
              <wp:anchor distT="45720" distB="45720" distL="114300" distR="114300" simplePos="0" relativeHeight="251681280" behindDoc="0" locked="0" layoutInCell="1" allowOverlap="1" wp14:anchorId="21461C23" wp14:editId="19B23B7D">
                <wp:simplePos x="0" y="0"/>
                <wp:positionH relativeFrom="column">
                  <wp:posOffset>3191510</wp:posOffset>
                </wp:positionH>
                <wp:positionV relativeFrom="paragraph">
                  <wp:posOffset>2690495</wp:posOffset>
                </wp:positionV>
                <wp:extent cx="1428750" cy="448310"/>
                <wp:effectExtent l="0" t="0" r="19050" b="2794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48310"/>
                        </a:xfrm>
                        <a:prstGeom prst="rect">
                          <a:avLst/>
                        </a:prstGeom>
                        <a:solidFill>
                          <a:schemeClr val="bg1">
                            <a:lumMod val="95000"/>
                          </a:schemeClr>
                        </a:solidFill>
                        <a:ln w="9525">
                          <a:solidFill>
                            <a:srgbClr val="000000"/>
                          </a:solidFill>
                          <a:miter lim="800000"/>
                          <a:headEnd/>
                          <a:tailEnd/>
                        </a:ln>
                      </wps:spPr>
                      <wps:txbx>
                        <w:txbxContent>
                          <w:p w14:paraId="2F95C359"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Cilvēkkapitāls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61C23" id="_x0000_s1095" type="#_x0000_t202" style="position:absolute;left:0;text-align:left;margin-left:251.3pt;margin-top:211.85pt;width:112.5pt;height:35.3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" fillcolor="#f2f2f2 [3052]">
                <v:textbox>
                  <w:txbxContent>
                    <w:p w14:paraId="2F95C359"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Cilvēkkapitāls</w:t>
                      </w:r>
                    </w:p>
                  </w:txbxContent>
                </v:textbox>
                <w10:wrap type="square"/>
              </v:shape>
            </w:pict>
          </mc:Fallback>
        </mc:AlternateContent>
      </w:r>
      <w:r>
        <w:rPr>
          <w:noProof/>
          <w:lang w:val="lv-LV" w:eastAsia="lv-LV"/>
        </w:rPr>
        <mc:AlternateContent>
          <mc:Choice Requires="wps">
            <w:drawing>
              <wp:anchor distT="45720" distB="45720" distL="114300" distR="114300" simplePos="0" relativeHeight="251680256" behindDoc="0" locked="0" layoutInCell="1" allowOverlap="1" wp14:anchorId="65A0FCE7" wp14:editId="6C132998">
                <wp:simplePos x="0" y="0"/>
                <wp:positionH relativeFrom="column">
                  <wp:posOffset>1716405</wp:posOffset>
                </wp:positionH>
                <wp:positionV relativeFrom="paragraph">
                  <wp:posOffset>2682240</wp:posOffset>
                </wp:positionV>
                <wp:extent cx="1428750" cy="457200"/>
                <wp:effectExtent l="0" t="0" r="19050" b="190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57200"/>
                        </a:xfrm>
                        <a:prstGeom prst="rect">
                          <a:avLst/>
                        </a:prstGeom>
                        <a:solidFill>
                          <a:schemeClr val="bg1">
                            <a:lumMod val="95000"/>
                          </a:schemeClr>
                        </a:solidFill>
                        <a:ln w="9525">
                          <a:solidFill>
                            <a:srgbClr val="000000"/>
                          </a:solidFill>
                          <a:miter lim="800000"/>
                          <a:headEnd/>
                          <a:tailEnd/>
                        </a:ln>
                      </wps:spPr>
                      <wps:txbx>
                        <w:txbxContent>
                          <w:p w14:paraId="41BCAF3A"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Inovācija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0FCE7" id="_x0000_s1096" type="#_x0000_t202" style="position:absolute;left:0;text-align:left;margin-left:135.15pt;margin-top:211.2pt;width:112.5pt;height:36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" fillcolor="#f2f2f2 [3052]">
                <v:textbox>
                  <w:txbxContent>
                    <w:p w14:paraId="41BCAF3A" w14:textId="77777777" w:rsidR="0047559B" w:rsidRPr="008E61C0" w:rsidRDefault="0047559B" w:rsidP="00D87E57">
                      <w:pPr>
                        <w:spacing w:before="60" w:after="60"/>
                        <w:jc w:val="center"/>
                        <w:rPr>
                          <w:rFonts w:ascii="Calibri Light" w:hAnsi="Calibri Light"/>
                          <w:b/>
                          <w:sz w:val="24"/>
                        </w:rPr>
                      </w:pPr>
                      <w:r>
                        <w:rPr>
                          <w:rFonts w:ascii="Calibri Light" w:hAnsi="Calibri Light"/>
                          <w:b/>
                          <w:sz w:val="24"/>
                        </w:rPr>
                        <w:t>Inovācija</w:t>
                      </w:r>
                    </w:p>
                  </w:txbxContent>
                </v:textbox>
                <w10:wrap type="square"/>
              </v:shape>
            </w:pict>
          </mc:Fallback>
        </mc:AlternateContent>
      </w:r>
      <w:r>
        <w:rPr>
          <w:noProof/>
          <w:lang w:val="lv-LV" w:eastAsia="lv-LV"/>
        </w:rPr>
        <mc:AlternateContent>
          <mc:Choice Requires="wps">
            <w:drawing>
              <wp:anchor distT="45720" distB="45720" distL="114300" distR="114300" simplePos="0" relativeHeight="251679232" behindDoc="0" locked="0" layoutInCell="1" allowOverlap="1" wp14:anchorId="362F99D7" wp14:editId="5B2D9D0D">
                <wp:simplePos x="0" y="0"/>
                <wp:positionH relativeFrom="column">
                  <wp:posOffset>224155</wp:posOffset>
                </wp:positionH>
                <wp:positionV relativeFrom="paragraph">
                  <wp:posOffset>2682240</wp:posOffset>
                </wp:positionV>
                <wp:extent cx="1428750" cy="457200"/>
                <wp:effectExtent l="0" t="0" r="19050"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57200"/>
                        </a:xfrm>
                        <a:prstGeom prst="rect">
                          <a:avLst/>
                        </a:prstGeom>
                        <a:solidFill>
                          <a:schemeClr val="bg1">
                            <a:lumMod val="95000"/>
                          </a:schemeClr>
                        </a:solidFill>
                        <a:ln w="9525">
                          <a:solidFill>
                            <a:srgbClr val="000000"/>
                          </a:solidFill>
                          <a:miter lim="800000"/>
                          <a:headEnd/>
                          <a:tailEnd/>
                        </a:ln>
                      </wps:spPr>
                      <wps:txbx>
                        <w:txbxContent>
                          <w:p w14:paraId="1CD4E7FA" w14:textId="77777777" w:rsidR="0047559B" w:rsidRPr="001F1E8E" w:rsidRDefault="0047559B" w:rsidP="00D87E57">
                            <w:pPr>
                              <w:spacing w:before="60" w:after="60"/>
                              <w:jc w:val="center"/>
                              <w:rPr>
                                <w:rFonts w:ascii="Calibri Light" w:hAnsi="Calibri Light"/>
                                <w:b/>
                                <w:sz w:val="16"/>
                                <w:szCs w:val="16"/>
                              </w:rPr>
                            </w:pPr>
                            <w:r>
                              <w:rPr>
                                <w:rFonts w:ascii="Calibri Light" w:hAnsi="Calibri Light"/>
                                <w:b/>
                                <w:sz w:val="24"/>
                              </w:rPr>
                              <w:t xml:space="preserve">Investīcijas </w:t>
                            </w:r>
                            <w:r>
                              <w:rPr>
                                <w:rFonts w:ascii="Calibri Light" w:hAnsi="Calibri Light"/>
                                <w:b/>
                                <w:sz w:val="24"/>
                              </w:rPr>
                              <w:br/>
                            </w:r>
                            <w:r w:rsidRPr="001F1E8E">
                              <w:rPr>
                                <w:rFonts w:ascii="Calibri Light" w:hAnsi="Calibri Light"/>
                                <w:b/>
                                <w:sz w:val="14"/>
                                <w:szCs w:val="16"/>
                              </w:rPr>
                              <w:t>(vietējās &amp; ārvalstu)</w:t>
                            </w:r>
                          </w:p>
                          <w:p w14:paraId="2ED4331E" w14:textId="77777777" w:rsidR="0047559B" w:rsidRPr="008E61C0" w:rsidRDefault="0047559B" w:rsidP="00D87E57">
                            <w:pPr>
                              <w:spacing w:before="60" w:after="60"/>
                              <w:jc w:val="center"/>
                              <w:rPr>
                                <w:rFonts w:ascii="Calibri Light" w:hAnsi="Calibri Light"/>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F99D7" id="_x0000_s1097" type="#_x0000_t202" style="position:absolute;left:0;text-align:left;margin-left:17.65pt;margin-top:211.2pt;width:112.5pt;height:3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" fillcolor="#f2f2f2 [3052]">
                <v:textbox>
                  <w:txbxContent>
                    <w:p w14:paraId="1CD4E7FA" w14:textId="77777777" w:rsidR="0047559B" w:rsidRPr="001F1E8E" w:rsidRDefault="0047559B" w:rsidP="00D87E57">
                      <w:pPr>
                        <w:spacing w:before="60" w:after="60"/>
                        <w:jc w:val="center"/>
                        <w:rPr>
                          <w:rFonts w:ascii="Calibri Light" w:hAnsi="Calibri Light"/>
                          <w:b/>
                          <w:sz w:val="16"/>
                          <w:szCs w:val="16"/>
                        </w:rPr>
                      </w:pPr>
                      <w:r>
                        <w:rPr>
                          <w:rFonts w:ascii="Calibri Light" w:hAnsi="Calibri Light"/>
                          <w:b/>
                          <w:sz w:val="24"/>
                        </w:rPr>
                        <w:t xml:space="preserve">Investīcijas </w:t>
                      </w:r>
                      <w:r>
                        <w:rPr>
                          <w:rFonts w:ascii="Calibri Light" w:hAnsi="Calibri Light"/>
                          <w:b/>
                          <w:sz w:val="24"/>
                        </w:rPr>
                        <w:br/>
                      </w:r>
                      <w:r w:rsidRPr="001F1E8E">
                        <w:rPr>
                          <w:rFonts w:ascii="Calibri Light" w:hAnsi="Calibri Light"/>
                          <w:b/>
                          <w:sz w:val="14"/>
                          <w:szCs w:val="16"/>
                        </w:rPr>
                        <w:t>(vietējās &amp; ārvalstu)</w:t>
                      </w:r>
                    </w:p>
                    <w:p w14:paraId="2ED4331E" w14:textId="77777777" w:rsidR="0047559B" w:rsidRPr="008E61C0" w:rsidRDefault="0047559B" w:rsidP="00D87E57">
                      <w:pPr>
                        <w:spacing w:before="60" w:after="60"/>
                        <w:jc w:val="center"/>
                        <w:rPr>
                          <w:rFonts w:ascii="Calibri Light" w:hAnsi="Calibri Light"/>
                          <w:b/>
                          <w:sz w:val="24"/>
                        </w:rPr>
                      </w:pPr>
                    </w:p>
                  </w:txbxContent>
                </v:textbox>
                <w10:wrap type="square"/>
              </v:shape>
            </w:pict>
          </mc:Fallback>
        </mc:AlternateContent>
      </w:r>
      <w:r w:rsidRPr="009B35EE">
        <w:rPr>
          <w:noProof/>
          <w:lang w:val="lv-LV" w:eastAsia="lv-LV"/>
        </w:rPr>
        <mc:AlternateContent>
          <mc:Choice Requires="wps">
            <w:drawing>
              <wp:anchor distT="45720" distB="45720" distL="114300" distR="114300" simplePos="0" relativeHeight="251685376" behindDoc="0" locked="0" layoutInCell="1" allowOverlap="1" wp14:anchorId="7FEEF4A7" wp14:editId="0D2CB151">
                <wp:simplePos x="0" y="0"/>
                <wp:positionH relativeFrom="column">
                  <wp:posOffset>4420235</wp:posOffset>
                </wp:positionH>
                <wp:positionV relativeFrom="paragraph">
                  <wp:posOffset>1626235</wp:posOffset>
                </wp:positionV>
                <wp:extent cx="2183130" cy="725805"/>
                <wp:effectExtent l="4762" t="0" r="12383" b="12382"/>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3130" cy="725805"/>
                        </a:xfrm>
                        <a:prstGeom prst="rect">
                          <a:avLst/>
                        </a:prstGeom>
                        <a:solidFill>
                          <a:schemeClr val="bg1">
                            <a:lumMod val="95000"/>
                          </a:schemeClr>
                        </a:solidFill>
                        <a:ln w="9525">
                          <a:solidFill>
                            <a:srgbClr val="000000"/>
                          </a:solidFill>
                          <a:miter lim="800000"/>
                          <a:headEnd/>
                          <a:tailEnd/>
                        </a:ln>
                      </wps:spPr>
                      <wps:txbx>
                        <w:txbxContent>
                          <w:p w14:paraId="7F3F0207" w14:textId="77777777" w:rsidR="0047559B" w:rsidRDefault="0047559B" w:rsidP="00D87E57">
                            <w:pPr>
                              <w:spacing w:before="60" w:after="60"/>
                              <w:jc w:val="center"/>
                              <w:rPr>
                                <w:rFonts w:ascii="Calibri Light" w:hAnsi="Calibri Light"/>
                                <w:b/>
                                <w:sz w:val="24"/>
                              </w:rPr>
                            </w:pPr>
                            <w:r>
                              <w:rPr>
                                <w:rFonts w:ascii="Calibri Light" w:hAnsi="Calibri Light"/>
                                <w:b/>
                                <w:sz w:val="24"/>
                              </w:rPr>
                              <w:t>Institucionālais ietvars:</w:t>
                            </w:r>
                          </w:p>
                          <w:p w14:paraId="2F3DB6C9"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sidRPr="00D4308A">
                              <w:rPr>
                                <w:rFonts w:ascii="Calibri Light" w:hAnsi="Calibri Light"/>
                                <w:b/>
                                <w:sz w:val="18"/>
                              </w:rPr>
                              <w:t>uzņēmējdarbības vide</w:t>
                            </w:r>
                            <w:r>
                              <w:rPr>
                                <w:rFonts w:ascii="Calibri Light" w:hAnsi="Calibri Light"/>
                                <w:b/>
                                <w:sz w:val="18"/>
                              </w:rPr>
                              <w:t>s kvalitāte</w:t>
                            </w:r>
                          </w:p>
                          <w:p w14:paraId="6D9A1A9A"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Pr>
                                <w:rFonts w:ascii="Calibri Light" w:hAnsi="Calibri Light"/>
                                <w:b/>
                                <w:sz w:val="18"/>
                              </w:rPr>
                              <w:t>pārvaldības efektivitāte</w:t>
                            </w:r>
                          </w:p>
                          <w:p w14:paraId="4BFB8121" w14:textId="77777777" w:rsidR="0047559B" w:rsidRPr="008E61C0" w:rsidRDefault="0047559B" w:rsidP="00D87E57">
                            <w:pPr>
                              <w:spacing w:before="60" w:after="60"/>
                              <w:rPr>
                                <w:rFonts w:ascii="Calibri Light" w:hAnsi="Calibri Light"/>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EF4A7" id="_x0000_s1098" type="#_x0000_t202" style="position:absolute;left:0;text-align:left;margin-left:348.05pt;margin-top:128.05pt;width:171.9pt;height:57.15pt;rotation:-90;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" fillcolor="#f2f2f2 [3052]">
                <v:textbox>
                  <w:txbxContent>
                    <w:p w14:paraId="7F3F0207" w14:textId="77777777" w:rsidR="0047559B" w:rsidRDefault="0047559B" w:rsidP="00D87E57">
                      <w:pPr>
                        <w:spacing w:before="60" w:after="60"/>
                        <w:jc w:val="center"/>
                        <w:rPr>
                          <w:rFonts w:ascii="Calibri Light" w:hAnsi="Calibri Light"/>
                          <w:b/>
                          <w:sz w:val="24"/>
                        </w:rPr>
                      </w:pPr>
                      <w:r>
                        <w:rPr>
                          <w:rFonts w:ascii="Calibri Light" w:hAnsi="Calibri Light"/>
                          <w:b/>
                          <w:sz w:val="24"/>
                        </w:rPr>
                        <w:t>Institucionālais ietvars:</w:t>
                      </w:r>
                    </w:p>
                    <w:p w14:paraId="2F3DB6C9"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sidRPr="00D4308A">
                        <w:rPr>
                          <w:rFonts w:ascii="Calibri Light" w:hAnsi="Calibri Light"/>
                          <w:b/>
                          <w:sz w:val="18"/>
                        </w:rPr>
                        <w:t>uzņēmējdarbības vide</w:t>
                      </w:r>
                      <w:r>
                        <w:rPr>
                          <w:rFonts w:ascii="Calibri Light" w:hAnsi="Calibri Light"/>
                          <w:b/>
                          <w:sz w:val="18"/>
                        </w:rPr>
                        <w:t>s kvalitāte</w:t>
                      </w:r>
                    </w:p>
                    <w:p w14:paraId="6D9A1A9A" w14:textId="77777777" w:rsidR="0047559B" w:rsidRPr="00D4308A" w:rsidRDefault="0047559B" w:rsidP="00D87E57">
                      <w:pPr>
                        <w:pStyle w:val="ListParagraph"/>
                        <w:numPr>
                          <w:ilvl w:val="0"/>
                          <w:numId w:val="34"/>
                        </w:numPr>
                        <w:spacing w:before="60" w:after="60"/>
                        <w:jc w:val="left"/>
                        <w:rPr>
                          <w:rFonts w:ascii="Calibri Light" w:hAnsi="Calibri Light"/>
                          <w:b/>
                          <w:sz w:val="18"/>
                        </w:rPr>
                      </w:pPr>
                      <w:r>
                        <w:rPr>
                          <w:rFonts w:ascii="Calibri Light" w:hAnsi="Calibri Light"/>
                          <w:b/>
                          <w:sz w:val="18"/>
                        </w:rPr>
                        <w:t>pārvaldības efektivitāte</w:t>
                      </w:r>
                    </w:p>
                    <w:p w14:paraId="4BFB8121" w14:textId="77777777" w:rsidR="0047559B" w:rsidRPr="008E61C0" w:rsidRDefault="0047559B" w:rsidP="00D87E57">
                      <w:pPr>
                        <w:spacing w:before="60" w:after="60"/>
                        <w:rPr>
                          <w:rFonts w:ascii="Calibri Light" w:hAnsi="Calibri Light"/>
                          <w:b/>
                          <w:sz w:val="24"/>
                        </w:rPr>
                      </w:pPr>
                    </w:p>
                  </w:txbxContent>
                </v:textbox>
                <w10:wrap type="square"/>
              </v:shape>
            </w:pict>
          </mc:Fallback>
        </mc:AlternateContent>
      </w:r>
    </w:p>
    <w:p w14:paraId="196A5D8B" w14:textId="77777777" w:rsidR="00A65E2A" w:rsidRPr="00A65E2A" w:rsidRDefault="00A65E2A" w:rsidP="00A65E2A">
      <w:pPr>
        <w:rPr>
          <w:lang w:val="lv-LV"/>
        </w:rPr>
      </w:pPr>
    </w:p>
    <w:p w14:paraId="209369C6" w14:textId="77777777" w:rsidR="00A65E2A" w:rsidRPr="00A65E2A" w:rsidRDefault="00A65E2A" w:rsidP="00A65E2A">
      <w:pPr>
        <w:rPr>
          <w:lang w:val="lv-LV"/>
        </w:rPr>
      </w:pPr>
    </w:p>
    <w:p w14:paraId="524DA752" w14:textId="0818DF31" w:rsidR="00A65E2A" w:rsidRPr="00A65E2A" w:rsidRDefault="00A65E2A">
      <w:pPr>
        <w:spacing w:before="0" w:after="0"/>
        <w:jc w:val="left"/>
        <w:rPr>
          <w:lang w:val="lv-LV"/>
        </w:rPr>
      </w:pPr>
      <w:r w:rsidRPr="00A65E2A">
        <w:rPr>
          <w:lang w:val="lv-LV"/>
        </w:rPr>
        <w:br w:type="page"/>
      </w:r>
    </w:p>
    <w:p w14:paraId="3D370B94" w14:textId="57C3EF00" w:rsidR="00A65E2A" w:rsidRDefault="00D41EEC" w:rsidP="00D41EEC">
      <w:pPr>
        <w:pStyle w:val="Heading1"/>
        <w:rPr>
          <w:lang w:val="lv-LV"/>
        </w:rPr>
      </w:pPr>
      <w:bookmarkStart w:id="77" w:name="_Toc498690651"/>
      <w:bookmarkStart w:id="78" w:name="_Toc499025325"/>
      <w:r>
        <w:rPr>
          <w:lang w:val="lv-LV"/>
        </w:rPr>
        <w:lastRenderedPageBreak/>
        <w:t xml:space="preserve">6. </w:t>
      </w:r>
      <w:bookmarkEnd w:id="77"/>
      <w:r w:rsidR="005817C6">
        <w:rPr>
          <w:lang w:val="lv-LV"/>
        </w:rPr>
        <w:t>Rekomendācijas</w:t>
      </w:r>
      <w:bookmarkEnd w:id="78"/>
    </w:p>
    <w:p w14:paraId="75ECA629" w14:textId="6D218ACF" w:rsidR="00EA53E3" w:rsidRPr="00EA53E3" w:rsidRDefault="00EA53E3" w:rsidP="00EA53E3">
      <w:pPr>
        <w:pStyle w:val="Heading2"/>
        <w:rPr>
          <w:lang w:val="lv-LV"/>
        </w:rPr>
      </w:pPr>
      <w:bookmarkStart w:id="79" w:name="_Toc499025326"/>
      <w:r w:rsidRPr="00EA53E3">
        <w:rPr>
          <w:lang w:val="lv-LV"/>
        </w:rPr>
        <w:t>TAUT</w:t>
      </w:r>
      <w:r w:rsidR="005B0E9F">
        <w:rPr>
          <w:lang w:val="lv-LV"/>
        </w:rPr>
        <w:t xml:space="preserve">AS </w:t>
      </w:r>
      <w:r w:rsidRPr="00EA53E3">
        <w:rPr>
          <w:lang w:val="lv-LV"/>
        </w:rPr>
        <w:t>SAIMNIECĪBAS IZAUGSME</w:t>
      </w:r>
      <w:bookmarkEnd w:id="79"/>
    </w:p>
    <w:p w14:paraId="6D4755A0" w14:textId="77777777" w:rsidR="00EA53E3" w:rsidRPr="00EA53E3" w:rsidRDefault="00EA53E3" w:rsidP="00EA53E3">
      <w:pPr>
        <w:rPr>
          <w:rFonts w:ascii="Cambria" w:eastAsia="MS Mincho" w:hAnsi="Cambria"/>
          <w:b/>
          <w:u w:val="single"/>
          <w:lang w:val="lv-LV"/>
        </w:rPr>
      </w:pPr>
      <w:r w:rsidRPr="00EA53E3">
        <w:rPr>
          <w:rFonts w:ascii="Cambria" w:eastAsia="MS Mincho" w:hAnsi="Cambria"/>
          <w:b/>
          <w:u w:val="single"/>
          <w:lang w:val="lv-LV"/>
        </w:rPr>
        <w:t>Augstražīga un eksportspējīga ražošana un starptautiski konkurētspējīgi pakalpojumi</w:t>
      </w:r>
    </w:p>
    <w:p w14:paraId="64ACD3C2" w14:textId="77777777" w:rsidR="00EA53E3" w:rsidRPr="00EA53E3" w:rsidRDefault="00EA53E3" w:rsidP="00EA53E3">
      <w:pPr>
        <w:rPr>
          <w:rFonts w:ascii="Cambria" w:eastAsia="MS Mincho" w:hAnsi="Cambria"/>
          <w:lang w:val="lv-LV"/>
        </w:rPr>
      </w:pPr>
      <w:r w:rsidRPr="00EA53E3">
        <w:rPr>
          <w:rFonts w:ascii="Cambria" w:eastAsia="MS Mincho" w:hAnsi="Cambria"/>
          <w:lang w:val="lv-LV"/>
        </w:rPr>
        <w:t xml:space="preserve">Investēšanas aktivitātes Latvijā tāpat kā kopumā ES dalībvalstīs pēdējos gados ir visai mērenas, un investīciju apjomi nav pietiekami izvirzīto mērķu sasniegšanai. Investīcijas lielā mērā ietekmē vājā kreditēšana, relatīvi zems pieprasījums, salīdzinoši augsts parādsaistību līmenis, kā arī nenoteiktība ārējā vidē. Zems investīciju līmenis, savukārt kavē produktivitātes pieaugumu un jaunu darba vietu radīšanu, mazinot eksportspējīgo nozaru konkurētspēju un izaugsmes potenciālu, kā arī ietekmējot kopējo tautsaimniecības virzību uz augstākas pievienotās vērtības radīšanu. </w:t>
      </w:r>
    </w:p>
    <w:p w14:paraId="5544A466" w14:textId="77777777" w:rsidR="00EA53E3" w:rsidRPr="00EA53E3" w:rsidRDefault="00EA53E3" w:rsidP="00EA53E3">
      <w:pPr>
        <w:rPr>
          <w:rFonts w:ascii="Cambria" w:eastAsia="MS Mincho" w:hAnsi="Cambria"/>
          <w:lang w:val="lv-LV"/>
        </w:rPr>
      </w:pPr>
      <w:r w:rsidRPr="00EA53E3">
        <w:rPr>
          <w:rFonts w:ascii="Cambria" w:eastAsia="MS Mincho" w:hAnsi="Cambria"/>
          <w:lang w:val="lv-LV"/>
        </w:rPr>
        <w:t>Ņemot vērā globālo investīciju plūsmu mazināšanos, Latvijai ir īpaši svarīgi veidot labvēlīgu investīciju vidi, t. sk., vietējo investīciju stimulēšanai. Investīciju stimulēšanai rekomendējama šāda taktiskā rīcība:</w:t>
      </w:r>
    </w:p>
    <w:p w14:paraId="4563BE9C" w14:textId="77777777" w:rsidR="00EA53E3" w:rsidRPr="00EA53E3" w:rsidRDefault="00EA53E3" w:rsidP="00EA53E3">
      <w:pPr>
        <w:pStyle w:val="ListParagraph"/>
        <w:numPr>
          <w:ilvl w:val="0"/>
          <w:numId w:val="25"/>
        </w:numPr>
        <w:spacing w:line="264" w:lineRule="auto"/>
        <w:rPr>
          <w:rFonts w:ascii="Cambria" w:eastAsia="MS Mincho" w:hAnsi="Cambria"/>
          <w:lang w:val="lv-LV"/>
        </w:rPr>
      </w:pPr>
      <w:r w:rsidRPr="00EA53E3">
        <w:rPr>
          <w:rFonts w:ascii="Cambria" w:eastAsia="MS Mincho" w:hAnsi="Cambria"/>
          <w:lang w:val="lv-LV"/>
        </w:rPr>
        <w:t>Veikt risku analīzes sistēmas, administratīvā sloga un investīciju pieejamības novērtējumu dažāda lieluma uzņēmumiem valsts finanšu attīstības institūcijā;</w:t>
      </w:r>
    </w:p>
    <w:p w14:paraId="1E94538C" w14:textId="77777777" w:rsidR="00EA53E3" w:rsidRPr="00EA53E3" w:rsidRDefault="00EA53E3" w:rsidP="00EA53E3">
      <w:pPr>
        <w:pStyle w:val="ListParagraph"/>
        <w:numPr>
          <w:ilvl w:val="0"/>
          <w:numId w:val="25"/>
        </w:numPr>
        <w:spacing w:line="264" w:lineRule="auto"/>
        <w:rPr>
          <w:rFonts w:ascii="Cambria" w:eastAsia="MS Mincho" w:hAnsi="Cambria"/>
          <w:lang w:val="lv-LV"/>
        </w:rPr>
      </w:pPr>
      <w:r w:rsidRPr="00EA53E3">
        <w:rPr>
          <w:rFonts w:ascii="Cambria" w:eastAsia="MS Mincho" w:hAnsi="Cambria"/>
          <w:lang w:val="lv-LV"/>
        </w:rPr>
        <w:t>Izvērtēt iespēju veikt grozījumus normatīvā regulējumā, lai noteiktu konkrētu minimālo procentuālo daļu no 2. pensiju līmeņa uzkrājuma, ko apgroza komercbankas, investēšanai ražošanas attīstībā Latvijā;</w:t>
      </w:r>
    </w:p>
    <w:p w14:paraId="3B55D26A" w14:textId="77777777" w:rsidR="00EA53E3" w:rsidRPr="00EA53E3" w:rsidRDefault="00EA53E3" w:rsidP="00EA53E3">
      <w:pPr>
        <w:pStyle w:val="ListParagraph"/>
        <w:numPr>
          <w:ilvl w:val="0"/>
          <w:numId w:val="25"/>
        </w:numPr>
        <w:spacing w:line="264" w:lineRule="auto"/>
        <w:rPr>
          <w:rFonts w:ascii="Cambria" w:eastAsia="MS Mincho" w:hAnsi="Cambria"/>
          <w:lang w:val="lv-LV"/>
        </w:rPr>
      </w:pPr>
      <w:r w:rsidRPr="00EA53E3">
        <w:rPr>
          <w:rFonts w:ascii="Cambria" w:eastAsia="MS Mincho" w:hAnsi="Cambria"/>
          <w:lang w:val="lv-LV"/>
        </w:rPr>
        <w:t>Radīt labvēlīgus nosacījumus savstarpējo aizdevumu platformu tādu instrumentu darbībai, kuru mērķis ir atbalstīt investīciju pieejamību uzņēmējdarbības attīstībai Latvijā;</w:t>
      </w:r>
    </w:p>
    <w:p w14:paraId="572969A9" w14:textId="77777777" w:rsidR="00EA53E3" w:rsidRPr="00EA53E3" w:rsidRDefault="00EA53E3" w:rsidP="00EA53E3">
      <w:pPr>
        <w:pStyle w:val="ListParagraph"/>
        <w:numPr>
          <w:ilvl w:val="0"/>
          <w:numId w:val="25"/>
        </w:numPr>
        <w:spacing w:line="264" w:lineRule="auto"/>
        <w:rPr>
          <w:rFonts w:ascii="Cambria" w:eastAsia="MS Mincho" w:hAnsi="Cambria"/>
          <w:lang w:val="lv-LV"/>
        </w:rPr>
      </w:pPr>
      <w:r w:rsidRPr="00EA53E3">
        <w:rPr>
          <w:rFonts w:ascii="Cambria" w:eastAsia="MS Mincho" w:hAnsi="Cambria"/>
          <w:lang w:val="lv-LV"/>
        </w:rPr>
        <w:t>Noteikt LIAA kā centrālo institūciju, kura ir atbildīga par ārvalstu investoru piesaisti, eksporta atbalsta nodrošināšanu vietējiem uzņēmējiem un sadarbības veidošanu ar Latvijas valstspiederīgiem uzņēmējiem, kuri savu uzņēmējdarbību izveidojuši un attīstījuši ārpus Latvijas, nolūkā stiprināt viņu piesaisti un uzticēšanos valstij;</w:t>
      </w:r>
    </w:p>
    <w:p w14:paraId="6AC75E5F" w14:textId="0A3CB027" w:rsidR="00EA53E3" w:rsidRPr="00306281" w:rsidRDefault="00EA53E3" w:rsidP="00EA53E3">
      <w:pPr>
        <w:pStyle w:val="ListParagraph"/>
        <w:numPr>
          <w:ilvl w:val="0"/>
          <w:numId w:val="25"/>
        </w:numPr>
        <w:spacing w:line="264" w:lineRule="auto"/>
        <w:rPr>
          <w:rFonts w:ascii="Cambria" w:eastAsia="MS Mincho" w:hAnsi="Cambria"/>
          <w:lang w:val="lv-LV"/>
        </w:rPr>
      </w:pPr>
      <w:r w:rsidRPr="00EA53E3">
        <w:rPr>
          <w:rFonts w:ascii="Cambria" w:eastAsia="MS Mincho" w:hAnsi="Cambria"/>
          <w:lang w:val="lv-LV"/>
        </w:rPr>
        <w:t xml:space="preserve">Premjera birojā </w:t>
      </w:r>
      <w:r w:rsidR="008E6576">
        <w:rPr>
          <w:rFonts w:ascii="Cambria" w:eastAsia="MS Mincho" w:hAnsi="Cambria"/>
          <w:lang w:val="lv-LV"/>
        </w:rPr>
        <w:t>nozīmēt</w:t>
      </w:r>
      <w:r w:rsidRPr="00EA53E3">
        <w:rPr>
          <w:rFonts w:ascii="Cambria" w:eastAsia="MS Mincho" w:hAnsi="Cambria"/>
          <w:lang w:val="lv-LV"/>
        </w:rPr>
        <w:t xml:space="preserve"> padomniek</w:t>
      </w:r>
      <w:r w:rsidR="008E6576">
        <w:rPr>
          <w:rFonts w:ascii="Cambria" w:eastAsia="MS Mincho" w:hAnsi="Cambria"/>
          <w:lang w:val="lv-LV"/>
        </w:rPr>
        <w:t>u</w:t>
      </w:r>
      <w:r w:rsidRPr="00EA53E3">
        <w:rPr>
          <w:rFonts w:ascii="Cambria" w:eastAsia="MS Mincho" w:hAnsi="Cambria"/>
          <w:lang w:val="lv-LV"/>
        </w:rPr>
        <w:t xml:space="preserve">, kurš nodrošina augstākā līmeņa dialogu ar potenciāliem investoriem, partneriem ārvalstu tirgos eksporta un tranzīta </w:t>
      </w:r>
      <w:r w:rsidRPr="00306281">
        <w:rPr>
          <w:rFonts w:ascii="Cambria" w:eastAsia="MS Mincho" w:hAnsi="Cambria"/>
          <w:lang w:val="lv-LV"/>
        </w:rPr>
        <w:t>kravu apjoma kāpināšanai, kā arī Latvijas valstspiederīgiem augstākā līmeņa uzņēmējiem ārvalstīs;</w:t>
      </w:r>
    </w:p>
    <w:p w14:paraId="7D7C4484" w14:textId="77777777" w:rsidR="00EA53E3" w:rsidRPr="00306281" w:rsidRDefault="00EA53E3" w:rsidP="00EA53E3">
      <w:pPr>
        <w:pStyle w:val="ListParagraph"/>
        <w:numPr>
          <w:ilvl w:val="0"/>
          <w:numId w:val="25"/>
        </w:numPr>
        <w:spacing w:line="264" w:lineRule="auto"/>
        <w:rPr>
          <w:rFonts w:ascii="Cambria" w:eastAsia="MS Mincho" w:hAnsi="Cambria"/>
          <w:lang w:val="lv-LV"/>
        </w:rPr>
      </w:pPr>
      <w:r w:rsidRPr="00306281">
        <w:rPr>
          <w:rFonts w:ascii="Cambria" w:eastAsia="MS Mincho" w:hAnsi="Cambria"/>
          <w:lang w:val="lv-LV"/>
        </w:rPr>
        <w:t>Latvija ir veiksmīgi veidojusi un stiprinājusi savu starptautisko tēlu, balstoties uz dabas un kultūras mantojuma vērtībām, taču investīciju piesaistei, konkurētspējai un eksporta apjomu kāpināšanai ir vienlaikus jāveido arī uz ekonomiskām un biznesa vērtībām balstīts Latvijas starptautiskais tēls, to pozicionējot atbilstoši ārvalstu tirgu segmentācijai un mērķa grupu sociālekonomiskai un kultūrvēsturiskai tipoloģijai;</w:t>
      </w:r>
    </w:p>
    <w:p w14:paraId="235D6C46" w14:textId="77777777" w:rsidR="00EA53E3" w:rsidRPr="00EA53E3" w:rsidRDefault="00EA53E3" w:rsidP="00EA53E3">
      <w:pPr>
        <w:pStyle w:val="ListParagraph"/>
        <w:numPr>
          <w:ilvl w:val="0"/>
          <w:numId w:val="25"/>
        </w:numPr>
        <w:spacing w:line="264" w:lineRule="auto"/>
        <w:rPr>
          <w:rFonts w:ascii="Cambria" w:eastAsia="MS Mincho" w:hAnsi="Cambria"/>
          <w:lang w:val="lv-LV"/>
        </w:rPr>
      </w:pPr>
      <w:r w:rsidRPr="00306281">
        <w:rPr>
          <w:rFonts w:ascii="Cambria" w:eastAsia="MS Mincho" w:hAnsi="Cambria"/>
          <w:lang w:val="lv-LV"/>
        </w:rPr>
        <w:t>Sadarbībā ar pašvaldībām izstrādājama piedāvājuma pakete remigrējušo</w:t>
      </w:r>
      <w:r w:rsidRPr="00EA53E3">
        <w:rPr>
          <w:rFonts w:ascii="Cambria" w:eastAsia="MS Mincho" w:hAnsi="Cambria"/>
          <w:lang w:val="lv-LV"/>
        </w:rPr>
        <w:t xml:space="preserve"> Latvijas valstspiederīgo uzņēmēju piesaistei, īpaši stimulējot uzņēmējdarbības uzsākšanu reģionos.</w:t>
      </w:r>
    </w:p>
    <w:p w14:paraId="520F77B2" w14:textId="77777777" w:rsidR="00EA53E3" w:rsidRPr="00EA53E3" w:rsidRDefault="00EA53E3" w:rsidP="00EA53E3">
      <w:pPr>
        <w:rPr>
          <w:rFonts w:ascii="Cambria" w:eastAsia="MS Mincho" w:hAnsi="Cambria"/>
          <w:sz w:val="10"/>
          <w:szCs w:val="10"/>
          <w:lang w:val="lv-LV"/>
        </w:rPr>
      </w:pPr>
    </w:p>
    <w:p w14:paraId="366FBF55" w14:textId="77777777" w:rsidR="00EA53E3" w:rsidRPr="00EA53E3" w:rsidRDefault="00EA53E3" w:rsidP="00EA53E3">
      <w:pPr>
        <w:rPr>
          <w:rFonts w:ascii="Cambria" w:eastAsia="MS Mincho" w:hAnsi="Cambria"/>
          <w:b/>
          <w:u w:val="single"/>
          <w:lang w:val="lv-LV"/>
        </w:rPr>
      </w:pPr>
      <w:r w:rsidRPr="00EA53E3">
        <w:rPr>
          <w:rFonts w:ascii="Cambria" w:eastAsia="MS Mincho" w:hAnsi="Cambria"/>
          <w:b/>
          <w:u w:val="single"/>
          <w:lang w:val="lv-LV"/>
        </w:rPr>
        <w:br w:type="page"/>
      </w:r>
    </w:p>
    <w:p w14:paraId="780BE748" w14:textId="77777777" w:rsidR="00EA53E3" w:rsidRPr="00EA53E3" w:rsidRDefault="00EA53E3" w:rsidP="00EA53E3">
      <w:pPr>
        <w:rPr>
          <w:rFonts w:ascii="Cambria" w:eastAsia="MS Mincho" w:hAnsi="Cambria"/>
          <w:b/>
          <w:u w:val="single"/>
          <w:lang w:val="lv-LV"/>
        </w:rPr>
      </w:pPr>
      <w:r w:rsidRPr="00EA53E3">
        <w:rPr>
          <w:rFonts w:ascii="Cambria" w:eastAsia="MS Mincho" w:hAnsi="Cambria"/>
          <w:b/>
          <w:u w:val="single"/>
          <w:lang w:val="lv-LV"/>
        </w:rPr>
        <w:lastRenderedPageBreak/>
        <w:t>Izcila uzņēmējdarbības vide</w:t>
      </w:r>
    </w:p>
    <w:p w14:paraId="7BB4B954" w14:textId="77777777" w:rsidR="00EA53E3" w:rsidRPr="00EA53E3" w:rsidRDefault="00EA53E3" w:rsidP="00EA53E3">
      <w:pPr>
        <w:rPr>
          <w:rFonts w:ascii="Cambria" w:eastAsia="MS Mincho" w:hAnsi="Cambria"/>
          <w:lang w:val="lv-LV"/>
        </w:rPr>
      </w:pPr>
      <w:r w:rsidRPr="00EA53E3">
        <w:rPr>
          <w:rFonts w:ascii="Cambria" w:eastAsia="MS Mincho" w:hAnsi="Cambria"/>
          <w:lang w:val="lv-LV"/>
        </w:rPr>
        <w:t>Latvijas turpmākā snieguma uzlabošanu izcilas uzņēmējdarbības vides veidošanā lielā mērā noteiks mērķtiecīgs valdības darbs, veidojot efektīvāku komunikāciju ar sabiedrību. Lai to nodrošinātu, nepieciešama paradigmas maiņa no birokrātiskās procedūrās un normatīvismā balstītas kontroles uz ieinteresētu, atvērtu un individualizētu pieeju publiskās pārvaldes sadarbībai ar uzņēmējiem un citām sabiedrības grupām.</w:t>
      </w:r>
    </w:p>
    <w:p w14:paraId="5F36B53D" w14:textId="7E435E91" w:rsidR="00EA53E3" w:rsidRPr="00EA53E3" w:rsidRDefault="00EA53E3" w:rsidP="00EA53E3">
      <w:pPr>
        <w:pStyle w:val="ListParagraph"/>
        <w:numPr>
          <w:ilvl w:val="0"/>
          <w:numId w:val="25"/>
        </w:numPr>
        <w:spacing w:line="264" w:lineRule="auto"/>
        <w:rPr>
          <w:rFonts w:ascii="Cambria" w:eastAsia="MS Mincho" w:hAnsi="Cambria"/>
          <w:lang w:val="lv-LV"/>
        </w:rPr>
      </w:pPr>
      <w:r w:rsidRPr="00EA53E3">
        <w:rPr>
          <w:rFonts w:ascii="Cambria" w:eastAsia="MS Mincho" w:hAnsi="Cambria"/>
          <w:lang w:val="lv-LV"/>
        </w:rPr>
        <w:t>uzlabot ziņošanu par neefektīvu un birokrātisku publiskās pārvaldes</w:t>
      </w:r>
      <w:r w:rsidR="000F4BB1">
        <w:rPr>
          <w:rFonts w:ascii="Cambria" w:eastAsia="MS Mincho" w:hAnsi="Cambria"/>
          <w:lang w:val="lv-LV"/>
        </w:rPr>
        <w:t xml:space="preserve"> un pakalpojumu</w:t>
      </w:r>
      <w:r w:rsidRPr="00EA53E3">
        <w:rPr>
          <w:rFonts w:ascii="Cambria" w:eastAsia="MS Mincho" w:hAnsi="Cambria"/>
          <w:lang w:val="lv-LV"/>
        </w:rPr>
        <w:t xml:space="preserve"> iestāžu darbu un vienlaikus izceļot pozitīvus, savstarpējo uzticēšanos atbalstošus sadarbības piemērus.</w:t>
      </w:r>
    </w:p>
    <w:p w14:paraId="50D3CA63" w14:textId="77777777" w:rsidR="00EA53E3" w:rsidRPr="00EA53E3" w:rsidRDefault="00EA53E3" w:rsidP="00EA53E3">
      <w:pPr>
        <w:pStyle w:val="ListParagraph"/>
        <w:numPr>
          <w:ilvl w:val="0"/>
          <w:numId w:val="25"/>
        </w:numPr>
        <w:spacing w:line="264" w:lineRule="auto"/>
        <w:rPr>
          <w:rFonts w:ascii="Cambria" w:hAnsi="Cambria"/>
          <w:szCs w:val="22"/>
          <w:lang w:val="lv-LV"/>
        </w:rPr>
      </w:pPr>
      <w:r w:rsidRPr="00EA53E3">
        <w:rPr>
          <w:rFonts w:ascii="Cambria" w:hAnsi="Cambria"/>
          <w:szCs w:val="22"/>
          <w:lang w:val="lv-LV"/>
        </w:rPr>
        <w:t>Ne ilgāk kā pēc trīs gadiem ieviest vienotā konta principu VID administrēto nodokļu un nodevu nomaksai.</w:t>
      </w:r>
    </w:p>
    <w:p w14:paraId="68082103" w14:textId="553E7C51" w:rsidR="00EA53E3" w:rsidRPr="00EA53E3" w:rsidRDefault="00EA53E3" w:rsidP="00EA53E3">
      <w:pPr>
        <w:rPr>
          <w:rFonts w:ascii="Cambria" w:eastAsia="MS Mincho" w:hAnsi="Cambria"/>
          <w:lang w:val="lv-LV"/>
        </w:rPr>
      </w:pPr>
      <w:r w:rsidRPr="00EA53E3">
        <w:rPr>
          <w:rFonts w:ascii="Cambria" w:hAnsi="Cambria"/>
          <w:szCs w:val="22"/>
          <w:lang w:val="lv-LV"/>
        </w:rPr>
        <w:t xml:space="preserve">Turpmākajā periodā vienlaikus ir nepieciešams paplašināt un stiprināt ēnu ekonomikas mazināšanas aktivitātes nodokļu maksāšanas morāles celšanas jomā, primāri paplašinot sasaisti starp samaksātajiem nodokļiem un saņemtajiem publiskajiem pakalpojumiem, mērķorientēti informējot zemas </w:t>
      </w:r>
      <w:r w:rsidR="00306281">
        <w:rPr>
          <w:rFonts w:ascii="Cambria" w:hAnsi="Cambria"/>
          <w:szCs w:val="22"/>
          <w:lang w:val="lv-LV"/>
        </w:rPr>
        <w:t xml:space="preserve">nodokļu maksāšanas </w:t>
      </w:r>
      <w:r w:rsidRPr="00EA53E3">
        <w:rPr>
          <w:rFonts w:ascii="Cambria" w:hAnsi="Cambria"/>
          <w:szCs w:val="22"/>
          <w:lang w:val="lv-LV"/>
        </w:rPr>
        <w:t>morāles riskam pakļautākās sabiedrības grupas par nodokļu nomaksas nepieciešamību un ieguvumiem no tās, kā arī sekmējot sabiedrības uzticību valsts pārvaldei un pārliecību par efektīvu nodokļu izlietojumu.</w:t>
      </w:r>
      <w:r w:rsidR="0066649F">
        <w:rPr>
          <w:rFonts w:ascii="Cambria" w:hAnsi="Cambria"/>
          <w:szCs w:val="22"/>
          <w:lang w:val="lv-LV"/>
        </w:rPr>
        <w:t xml:space="preserve"> </w:t>
      </w:r>
      <w:r w:rsidRPr="00EA53E3">
        <w:rPr>
          <w:rFonts w:ascii="Cambria" w:eastAsia="MS Mincho" w:hAnsi="Cambria"/>
          <w:lang w:val="lv-LV"/>
        </w:rPr>
        <w:t xml:space="preserve">Nodrošināt, ka </w:t>
      </w:r>
      <w:r w:rsidRPr="00EA53E3">
        <w:rPr>
          <w:rFonts w:ascii="Cambria" w:eastAsia="MS Mincho" w:hAnsi="Cambria"/>
          <w:i/>
          <w:lang w:val="lv-LV"/>
        </w:rPr>
        <w:t>sāk darboties maksātnespējas procesu administratoru brīvlaišanas un administratora pienākumu veicēju loka paplašināšanas modelis</w:t>
      </w:r>
      <w:r w:rsidRPr="00EA53E3">
        <w:rPr>
          <w:rFonts w:ascii="Cambria" w:eastAsia="MS Mincho" w:hAnsi="Cambria"/>
          <w:lang w:val="lv-LV"/>
        </w:rPr>
        <w:t>, proti, neturpināt izsniegt sertifikātus negodprātīgajiem un ļaut klientiem izvēlēties savus no citām reglamentētajām profesijām, nodrošinot lielāku konkurenci administratoru vidū, kas veicinātu administratoru rīcības un profesionalitātes kvalitāti.</w:t>
      </w:r>
    </w:p>
    <w:p w14:paraId="1AE76342" w14:textId="77777777" w:rsidR="00EA53E3" w:rsidRPr="00EA53E3" w:rsidRDefault="00EA53E3" w:rsidP="00EA53E3">
      <w:pPr>
        <w:rPr>
          <w:rFonts w:ascii="Cambria" w:eastAsia="MS Mincho" w:hAnsi="Cambria"/>
          <w:sz w:val="10"/>
          <w:szCs w:val="10"/>
          <w:lang w:val="lv-LV"/>
        </w:rPr>
      </w:pPr>
    </w:p>
    <w:p w14:paraId="39D7956C" w14:textId="77777777" w:rsidR="00EA53E3" w:rsidRPr="00EA53E3" w:rsidRDefault="00EA53E3" w:rsidP="00EA53E3">
      <w:pPr>
        <w:rPr>
          <w:rFonts w:ascii="Cambria" w:eastAsia="MS Mincho" w:hAnsi="Cambria"/>
          <w:b/>
          <w:u w:val="single"/>
          <w:shd w:val="clear" w:color="auto" w:fill="FFFFFF"/>
          <w:lang w:val="lv-LV"/>
        </w:rPr>
      </w:pPr>
      <w:r w:rsidRPr="00EA53E3">
        <w:rPr>
          <w:rFonts w:ascii="Cambria" w:eastAsia="MS Mincho" w:hAnsi="Cambria"/>
          <w:b/>
          <w:u w:val="single"/>
          <w:shd w:val="clear" w:color="auto" w:fill="FFFFFF"/>
          <w:lang w:val="lv-LV"/>
        </w:rPr>
        <w:t>Augstākā izglītība un zinātne</w:t>
      </w:r>
    </w:p>
    <w:p w14:paraId="1E8C1DCA" w14:textId="77777777" w:rsidR="00EA53E3" w:rsidRPr="00EA53E3" w:rsidRDefault="00EA53E3" w:rsidP="00EA53E3">
      <w:pPr>
        <w:rPr>
          <w:rFonts w:eastAsia="MS Mincho"/>
          <w:szCs w:val="22"/>
          <w:shd w:val="clear" w:color="auto" w:fill="FFFFFF"/>
          <w:lang w:val="lv-LV"/>
        </w:rPr>
      </w:pPr>
      <w:r w:rsidRPr="00EA53E3">
        <w:rPr>
          <w:rFonts w:eastAsia="MS Mincho"/>
          <w:szCs w:val="22"/>
          <w:shd w:val="clear" w:color="auto" w:fill="FFFFFF"/>
          <w:lang w:val="lv-LV"/>
        </w:rPr>
        <w:t>Ieviest saistības pret valsti augstskolu beidzējiem, kas studējuši par valsts budžeta līdzekļiem, veicinot jauno speciālistu integrāciju vietējā darba tirgū.</w:t>
      </w:r>
    </w:p>
    <w:p w14:paraId="6B02C6B9" w14:textId="77777777" w:rsidR="00EA53E3" w:rsidRPr="00EA53E3" w:rsidRDefault="00EA53E3" w:rsidP="00EA53E3">
      <w:pPr>
        <w:rPr>
          <w:rFonts w:cstheme="majorHAnsi"/>
          <w:szCs w:val="22"/>
          <w:shd w:val="clear" w:color="auto" w:fill="FFFFFF"/>
          <w:lang w:val="lv-LV"/>
        </w:rPr>
      </w:pPr>
      <w:r w:rsidRPr="00EA53E3">
        <w:rPr>
          <w:rFonts w:cstheme="majorHAnsi"/>
          <w:szCs w:val="22"/>
          <w:shd w:val="clear" w:color="auto" w:fill="FFFFFF"/>
          <w:lang w:val="lv-LV"/>
        </w:rPr>
        <w:t>Noteikt augstākus (stingrākus) nosacījumus augstākās izglītības iestāžu studiju virzienu akreditācijai un studiju programmu licencēšanai nākamajam akreditācijas/ licencēšanas posmam 2019.gadā, samazinot vāju, neefektīvu studiju virzienu/programmu īstenošanu.</w:t>
      </w:r>
    </w:p>
    <w:p w14:paraId="648E84B8" w14:textId="66D3D623" w:rsidR="00EA53E3" w:rsidRPr="00EA53E3" w:rsidRDefault="00EA53E3" w:rsidP="00EA53E3">
      <w:pPr>
        <w:rPr>
          <w:rFonts w:eastAsia="MS Mincho"/>
          <w:szCs w:val="22"/>
          <w:shd w:val="clear" w:color="auto" w:fill="FFFFFF"/>
          <w:lang w:val="lv-LV"/>
        </w:rPr>
      </w:pPr>
      <w:r w:rsidRPr="00EA53E3">
        <w:rPr>
          <w:rFonts w:eastAsia="MS Mincho"/>
          <w:szCs w:val="22"/>
          <w:shd w:val="clear" w:color="auto" w:fill="FFFFFF"/>
          <w:lang w:val="lv-LV"/>
        </w:rPr>
        <w:t xml:space="preserve">Pārskatīt augstākās izglītības iestāžu publiskos aktīvus atbilstoši demogrāfiskām tendencēm un augstskolu sniegumam, novērtējot ieguldījumu būvniecībā </w:t>
      </w:r>
      <w:r w:rsidR="002860C8">
        <w:rPr>
          <w:rFonts w:eastAsia="MS Mincho"/>
          <w:szCs w:val="22"/>
          <w:shd w:val="clear" w:color="auto" w:fill="FFFFFF"/>
          <w:lang w:val="lv-LV"/>
        </w:rPr>
        <w:t xml:space="preserve">jeb renovācijā </w:t>
      </w:r>
      <w:r w:rsidRPr="00EA53E3">
        <w:rPr>
          <w:rFonts w:eastAsia="MS Mincho"/>
          <w:szCs w:val="22"/>
          <w:shd w:val="clear" w:color="auto" w:fill="FFFFFF"/>
          <w:lang w:val="lv-LV"/>
        </w:rPr>
        <w:t>lietderīgumu</w:t>
      </w:r>
      <w:r w:rsidR="000F4BB1">
        <w:rPr>
          <w:rFonts w:eastAsia="MS Mincho"/>
          <w:szCs w:val="22"/>
          <w:shd w:val="clear" w:color="auto" w:fill="FFFFFF"/>
          <w:lang w:val="lv-LV"/>
        </w:rPr>
        <w:t>.</w:t>
      </w:r>
    </w:p>
    <w:p w14:paraId="4A866315" w14:textId="77777777" w:rsidR="00EA53E3" w:rsidRPr="00EA53E3" w:rsidRDefault="00EA53E3" w:rsidP="00EA53E3">
      <w:pPr>
        <w:rPr>
          <w:rFonts w:cstheme="majorHAnsi"/>
          <w:szCs w:val="22"/>
          <w:shd w:val="clear" w:color="auto" w:fill="FFFFFF"/>
          <w:lang w:val="lv-LV"/>
        </w:rPr>
      </w:pPr>
      <w:r w:rsidRPr="00EA53E3">
        <w:rPr>
          <w:rFonts w:cstheme="majorHAnsi"/>
          <w:szCs w:val="22"/>
          <w:shd w:val="clear" w:color="auto" w:fill="FFFFFF"/>
          <w:lang w:val="lv-LV"/>
        </w:rPr>
        <w:t xml:space="preserve">Lai stimulētu jaunu izgudrojumu veidošanu, nostiprināt Zinātniskās darbības likumā procenta minimālo apjomu izgudrotājam par </w:t>
      </w:r>
      <w:r w:rsidRPr="00EA53E3">
        <w:rPr>
          <w:rFonts w:cstheme="majorHAnsi"/>
          <w:szCs w:val="22"/>
          <w:u w:val="single"/>
          <w:shd w:val="clear" w:color="auto" w:fill="FFFFFF"/>
          <w:lang w:val="lv-LV"/>
        </w:rPr>
        <w:t xml:space="preserve">patentēta, komercializējama </w:t>
      </w:r>
      <w:r w:rsidRPr="00EA53E3">
        <w:rPr>
          <w:rFonts w:cstheme="majorHAnsi"/>
          <w:i/>
          <w:szCs w:val="22"/>
          <w:u w:val="single"/>
          <w:shd w:val="clear" w:color="auto" w:fill="FFFFFF"/>
          <w:lang w:val="lv-LV"/>
        </w:rPr>
        <w:t>[komercializēta]</w:t>
      </w:r>
      <w:r w:rsidRPr="00EA53E3">
        <w:rPr>
          <w:rFonts w:cstheme="majorHAnsi"/>
          <w:szCs w:val="22"/>
          <w:u w:val="single"/>
          <w:shd w:val="clear" w:color="auto" w:fill="FFFFFF"/>
          <w:lang w:val="lv-LV"/>
        </w:rPr>
        <w:t xml:space="preserve"> </w:t>
      </w:r>
      <w:r w:rsidRPr="00EA53E3">
        <w:rPr>
          <w:rFonts w:cstheme="majorHAnsi"/>
          <w:szCs w:val="22"/>
          <w:shd w:val="clear" w:color="auto" w:fill="FFFFFF"/>
          <w:lang w:val="lv-LV"/>
        </w:rPr>
        <w:t>izgudrojuma</w:t>
      </w:r>
      <w:r w:rsidRPr="00EA53E3">
        <w:rPr>
          <w:rFonts w:cstheme="majorHAnsi"/>
          <w:szCs w:val="22"/>
          <w:u w:val="single"/>
          <w:shd w:val="clear" w:color="auto" w:fill="FFFFFF"/>
          <w:lang w:val="lv-LV"/>
        </w:rPr>
        <w:t xml:space="preserve"> izmantošanu</w:t>
      </w:r>
      <w:r w:rsidRPr="00EA53E3">
        <w:rPr>
          <w:rFonts w:cstheme="majorHAnsi"/>
          <w:szCs w:val="22"/>
          <w:shd w:val="clear" w:color="auto" w:fill="FFFFFF"/>
          <w:lang w:val="lv-LV"/>
        </w:rPr>
        <w:t>.</w:t>
      </w:r>
    </w:p>
    <w:p w14:paraId="2093E71C" w14:textId="77777777" w:rsidR="00EA53E3" w:rsidRPr="00EA53E3" w:rsidRDefault="00EA53E3" w:rsidP="00EA53E3">
      <w:pPr>
        <w:rPr>
          <w:rFonts w:eastAsia="MS Mincho"/>
          <w:szCs w:val="22"/>
          <w:shd w:val="clear" w:color="auto" w:fill="FFFFFF"/>
          <w:lang w:val="lv-LV"/>
        </w:rPr>
      </w:pPr>
      <w:r w:rsidRPr="00EA53E3">
        <w:rPr>
          <w:rFonts w:eastAsia="MS Mincho"/>
          <w:szCs w:val="22"/>
          <w:shd w:val="clear" w:color="auto" w:fill="FFFFFF"/>
          <w:lang w:val="lv-LV"/>
        </w:rPr>
        <w:t>Ieviest vienotu metodoloģiju un izstrādāt skaidrus kritērijus intelektuālā īpašuma aizsardzībai un patentu pieteikumu izskatīšanai, neatkarīgi no intelektuālā izgudrotāja piederības.</w:t>
      </w:r>
    </w:p>
    <w:p w14:paraId="6515E5C7" w14:textId="77777777" w:rsidR="00EA53E3" w:rsidRPr="00EA53E3" w:rsidRDefault="00EA53E3" w:rsidP="00EA53E3">
      <w:pPr>
        <w:rPr>
          <w:rFonts w:eastAsia="MS Mincho"/>
          <w:szCs w:val="22"/>
          <w:shd w:val="clear" w:color="auto" w:fill="FFFFFF"/>
          <w:lang w:val="lv-LV"/>
        </w:rPr>
      </w:pPr>
      <w:r w:rsidRPr="00EA53E3">
        <w:rPr>
          <w:rFonts w:eastAsia="MS Mincho"/>
          <w:szCs w:val="22"/>
          <w:shd w:val="clear" w:color="auto" w:fill="FFFFFF"/>
          <w:lang w:val="lv-LV"/>
        </w:rPr>
        <w:t xml:space="preserve">Lai sekmētu ieguldījumus pētniecībā un attīstībā, tādā veidā veicinot inovācijas un valsts konkurētspēju, izstrādāt metodiku un sekojoši regulāri veikt monitoringu par pētniecības un attīstības ieguldījumu atspoguļojumu valsts kapitālsabiedrību bilancē. </w:t>
      </w:r>
    </w:p>
    <w:p w14:paraId="141CDD82" w14:textId="599EF9EF" w:rsidR="00EA53E3" w:rsidRPr="00EA53E3" w:rsidRDefault="00EA53E3" w:rsidP="00EA53E3">
      <w:pPr>
        <w:rPr>
          <w:rFonts w:eastAsia="MS Mincho"/>
          <w:szCs w:val="22"/>
          <w:shd w:val="clear" w:color="auto" w:fill="FFFFFF"/>
          <w:lang w:val="lv-LV"/>
        </w:rPr>
      </w:pPr>
      <w:r w:rsidRPr="001039DE">
        <w:rPr>
          <w:rFonts w:eastAsia="MS Mincho"/>
          <w:szCs w:val="22"/>
          <w:shd w:val="clear" w:color="auto" w:fill="FFFFFF"/>
          <w:lang w:val="lv-LV"/>
        </w:rPr>
        <w:t>Atbalstot zinātni un pētniecību, kā arī sekmējot inovāciju izstrādi un attīstīšanu sākotnējā to izstrādes posmā, izvērtēt i</w:t>
      </w:r>
      <w:r w:rsidR="00C57A22" w:rsidRPr="001039DE">
        <w:rPr>
          <w:rFonts w:eastAsia="MS Mincho"/>
          <w:szCs w:val="22"/>
          <w:shd w:val="clear" w:color="auto" w:fill="FFFFFF"/>
          <w:lang w:val="lv-LV"/>
        </w:rPr>
        <w:t>espēju noteikt procentuālo</w:t>
      </w:r>
      <w:r w:rsidRPr="001039DE">
        <w:rPr>
          <w:rFonts w:eastAsia="MS Mincho"/>
          <w:szCs w:val="22"/>
          <w:shd w:val="clear" w:color="auto" w:fill="FFFFFF"/>
          <w:lang w:val="lv-LV"/>
        </w:rPr>
        <w:t xml:space="preserve"> apjomu no</w:t>
      </w:r>
      <w:r w:rsidR="001039DE">
        <w:rPr>
          <w:rFonts w:eastAsia="MS Mincho"/>
          <w:szCs w:val="22"/>
          <w:shd w:val="clear" w:color="auto" w:fill="FFFFFF"/>
          <w:lang w:val="lv-LV"/>
        </w:rPr>
        <w:t xml:space="preserve"> </w:t>
      </w:r>
      <w:r w:rsidR="0066649F">
        <w:rPr>
          <w:rFonts w:eastAsia="MS Mincho"/>
          <w:szCs w:val="22"/>
          <w:shd w:val="clear" w:color="auto" w:fill="FFFFFF"/>
          <w:lang w:val="lv-LV"/>
        </w:rPr>
        <w:t xml:space="preserve">valsts budžetā iekasētā </w:t>
      </w:r>
      <w:r w:rsidR="001039DE">
        <w:rPr>
          <w:rFonts w:eastAsia="MS Mincho"/>
          <w:szCs w:val="22"/>
          <w:shd w:val="clear" w:color="auto" w:fill="FFFFFF"/>
          <w:lang w:val="lv-LV"/>
        </w:rPr>
        <w:t>val</w:t>
      </w:r>
      <w:r w:rsidR="0066649F">
        <w:rPr>
          <w:rFonts w:eastAsia="MS Mincho"/>
          <w:szCs w:val="22"/>
          <w:shd w:val="clear" w:color="auto" w:fill="FFFFFF"/>
          <w:lang w:val="lv-LV"/>
        </w:rPr>
        <w:t>sts kapitālsabiedrību dividenžu apjoma</w:t>
      </w:r>
      <w:r w:rsidRPr="001039DE">
        <w:rPr>
          <w:rFonts w:eastAsia="MS Mincho"/>
          <w:szCs w:val="22"/>
          <w:shd w:val="clear" w:color="auto" w:fill="FFFFFF"/>
          <w:lang w:val="lv-LV"/>
        </w:rPr>
        <w:t>, kas novirzām</w:t>
      </w:r>
      <w:r w:rsidR="0066649F">
        <w:rPr>
          <w:rFonts w:eastAsia="MS Mincho"/>
          <w:szCs w:val="22"/>
          <w:shd w:val="clear" w:color="auto" w:fill="FFFFFF"/>
          <w:lang w:val="lv-LV"/>
        </w:rPr>
        <w:t>s</w:t>
      </w:r>
      <w:r w:rsidRPr="001039DE">
        <w:rPr>
          <w:rFonts w:eastAsia="MS Mincho"/>
          <w:szCs w:val="22"/>
          <w:shd w:val="clear" w:color="auto" w:fill="FFFFFF"/>
          <w:lang w:val="lv-LV"/>
        </w:rPr>
        <w:t xml:space="preserve"> jaunveidojamam Zinātnes, pētniecības un inovāciju atbalsta fondam, kuram kā publiskam fondam (nodibinājumam) būtu saistošs Sabiedriskā labuma organizāciju </w:t>
      </w:r>
      <w:r w:rsidRPr="001039DE">
        <w:rPr>
          <w:rFonts w:eastAsia="MS Mincho"/>
          <w:szCs w:val="22"/>
          <w:shd w:val="clear" w:color="auto" w:fill="FFFFFF"/>
          <w:lang w:val="lv-LV"/>
        </w:rPr>
        <w:lastRenderedPageBreak/>
        <w:t>likums. Fondam jānodrošina arī informācijas centra par intelektuālā īpašuma aizsardzības jautājumiem funkcija.</w:t>
      </w:r>
      <w:r w:rsidRPr="00EA53E3">
        <w:rPr>
          <w:rFonts w:eastAsia="MS Mincho"/>
          <w:szCs w:val="22"/>
          <w:shd w:val="clear" w:color="auto" w:fill="FFFFFF"/>
          <w:lang w:val="lv-LV"/>
        </w:rPr>
        <w:t xml:space="preserve"> </w:t>
      </w:r>
    </w:p>
    <w:p w14:paraId="326A9261" w14:textId="77777777" w:rsidR="00EA53E3" w:rsidRPr="00EA53E3" w:rsidRDefault="00EA53E3" w:rsidP="00EA53E3">
      <w:pPr>
        <w:rPr>
          <w:rFonts w:eastAsia="MS Mincho"/>
          <w:szCs w:val="22"/>
          <w:shd w:val="clear" w:color="auto" w:fill="FFFFFF"/>
          <w:lang w:val="lv-LV"/>
        </w:rPr>
      </w:pPr>
      <w:r w:rsidRPr="00EA53E3">
        <w:rPr>
          <w:rFonts w:eastAsia="MS Mincho"/>
          <w:szCs w:val="22"/>
          <w:shd w:val="clear" w:color="auto" w:fill="FFFFFF"/>
          <w:lang w:val="lv-LV"/>
        </w:rPr>
        <w:t>Lai atbalstītu inovāciju pārnesi ražošanā, izvērtēt iespēju izveidot aizdevuma garantiju programmu valsts finanšu institūcijā inovāciju komercializēšanas atbalstam zinātniskajām institūcijām un uzņēmumiem.</w:t>
      </w:r>
    </w:p>
    <w:p w14:paraId="3D7E5806" w14:textId="77777777" w:rsidR="00EA53E3" w:rsidRPr="00EA53E3" w:rsidRDefault="00EA53E3" w:rsidP="00EA53E3">
      <w:pPr>
        <w:rPr>
          <w:rFonts w:ascii="Cambria" w:eastAsia="MS Mincho" w:hAnsi="Cambria"/>
          <w:sz w:val="10"/>
          <w:szCs w:val="10"/>
          <w:lang w:val="lv-LV"/>
        </w:rPr>
      </w:pPr>
    </w:p>
    <w:p w14:paraId="3303AE47" w14:textId="77777777" w:rsidR="00EA53E3" w:rsidRPr="00EA53E3" w:rsidRDefault="00EA53E3" w:rsidP="00EA53E3">
      <w:pPr>
        <w:rPr>
          <w:rFonts w:ascii="Cambria" w:eastAsia="MS Mincho" w:hAnsi="Cambria"/>
          <w:b/>
          <w:u w:val="single"/>
          <w:lang w:val="lv-LV"/>
        </w:rPr>
      </w:pPr>
      <w:r w:rsidRPr="00EA53E3">
        <w:rPr>
          <w:rFonts w:ascii="Cambria" w:eastAsia="MS Mincho" w:hAnsi="Cambria"/>
          <w:b/>
          <w:u w:val="single"/>
          <w:lang w:val="lv-LV"/>
        </w:rPr>
        <w:t>Enerģētika</w:t>
      </w:r>
    </w:p>
    <w:p w14:paraId="2F41BA4D" w14:textId="77777777" w:rsidR="00EA53E3" w:rsidRPr="00EA53E3" w:rsidRDefault="00EA53E3" w:rsidP="00EA53E3">
      <w:pPr>
        <w:rPr>
          <w:rFonts w:ascii="Cambria" w:eastAsia="MS Mincho" w:hAnsi="Cambria"/>
          <w:lang w:val="lv-LV"/>
        </w:rPr>
      </w:pPr>
      <w:r w:rsidRPr="00EA53E3">
        <w:rPr>
          <w:rFonts w:ascii="Cambria" w:eastAsia="MS Mincho" w:hAnsi="Cambria"/>
          <w:lang w:val="lv-LV"/>
        </w:rPr>
        <w:t>Enerģētikas nozares attīstības mērķus un turpmākās investīcijas samērot ar kopējo tautsaimniecības izaugsmi, tajā skaitā, vispirms rūpīgi izvērtēt jebkādu jaunu iniciatīvu iespējamo ietekmi uz dažādām patērētāju grupām.</w:t>
      </w:r>
    </w:p>
    <w:p w14:paraId="0794F404" w14:textId="77777777" w:rsidR="00EA53E3" w:rsidRPr="00EA53E3" w:rsidRDefault="00EA53E3" w:rsidP="00EA53E3">
      <w:pPr>
        <w:rPr>
          <w:rFonts w:ascii="Cambria" w:eastAsia="MS Mincho" w:hAnsi="Cambria"/>
          <w:lang w:val="lv-LV"/>
        </w:rPr>
      </w:pPr>
      <w:r w:rsidRPr="00EA53E3">
        <w:rPr>
          <w:rFonts w:ascii="Cambria" w:eastAsia="MS Mincho" w:hAnsi="Cambria"/>
          <w:lang w:val="lv-LV"/>
        </w:rPr>
        <w:t xml:space="preserve">Atbalstīt ekonomiski pamatotus un konkurenci veicinošus reģiona mēroga infrastruktūras projektus, kuri uzlabo tirgus konkurētspēju un likviditāti, kā arī veicina enerģētisko neatkarību un drošību, vienlaikus, neradot nesamērīgu izmaksu draudus Latvijas patērētājiem.  </w:t>
      </w:r>
    </w:p>
    <w:p w14:paraId="78620156" w14:textId="77777777" w:rsidR="00EA53E3" w:rsidRPr="00EA53E3" w:rsidRDefault="00EA53E3" w:rsidP="00EA53E3">
      <w:pPr>
        <w:rPr>
          <w:rFonts w:ascii="Cambria" w:eastAsia="MS Mincho" w:hAnsi="Cambria"/>
          <w:lang w:val="lv-LV"/>
        </w:rPr>
      </w:pPr>
      <w:r w:rsidRPr="00EA53E3">
        <w:rPr>
          <w:rFonts w:ascii="Cambria" w:eastAsia="MS Mincho" w:hAnsi="Cambria"/>
          <w:lang w:val="lv-LV"/>
        </w:rPr>
        <w:t>Veidot tikai ekonomiski pamatotu atjaunojamo energoresursu atbalsta mehānismu, kas neapdraud uzņēmumu konkurētspēju un iedzīvotāju labklājību. Atbalstam zaļajai enerģijai jābūt ar pievienoto vērtību inovatīvai ekonomikai – ieguldījumi viedo enerģētikas tehnoloģiju ieviešanā un jaunos, inovatīvos risinājumos, kas ļauj tuvoties tirgus cenai.</w:t>
      </w:r>
    </w:p>
    <w:p w14:paraId="62DA2FCF" w14:textId="6C302CEA" w:rsidR="00EA53E3" w:rsidRPr="00EA53E3" w:rsidRDefault="00EA53E3" w:rsidP="00EA53E3">
      <w:pPr>
        <w:rPr>
          <w:rFonts w:ascii="Cambria" w:eastAsia="MS Mincho" w:hAnsi="Cambria"/>
          <w:lang w:val="lv-LV"/>
        </w:rPr>
      </w:pPr>
      <w:r w:rsidRPr="00EA53E3">
        <w:rPr>
          <w:rFonts w:ascii="Cambria" w:eastAsia="MS Mincho" w:hAnsi="Cambria"/>
          <w:lang w:val="lv-LV"/>
        </w:rPr>
        <w:t xml:space="preserve">Pārejā uz atjaunojamiem energoresursiem transportā </w:t>
      </w:r>
      <w:r w:rsidR="002860C8">
        <w:rPr>
          <w:rFonts w:ascii="Cambria" w:eastAsia="MS Mincho" w:hAnsi="Cambria"/>
          <w:lang w:val="lv-LV"/>
        </w:rPr>
        <w:t>radīt</w:t>
      </w:r>
      <w:r w:rsidRPr="00EA53E3">
        <w:rPr>
          <w:rFonts w:ascii="Cambria" w:eastAsia="MS Mincho" w:hAnsi="Cambria"/>
          <w:lang w:val="lv-LV"/>
        </w:rPr>
        <w:t xml:space="preserve"> iespējas, ko piedāvā straujā elektromobilitātes attīstība Eiropā. Stimulēt videi draudzīgu un ekonomisku transportlīdzekļu izplatību un nodrošināt atbilstošu uzlādes infrastruktūru.  </w:t>
      </w:r>
    </w:p>
    <w:p w14:paraId="4ED86AB4" w14:textId="7F78EB83" w:rsidR="00EA53E3" w:rsidRPr="00EA53E3" w:rsidRDefault="00EA53E3" w:rsidP="00EA53E3">
      <w:pPr>
        <w:ind w:right="91"/>
        <w:rPr>
          <w:rFonts w:ascii="Cambria" w:eastAsia="Times New Roman" w:hAnsi="Cambria"/>
          <w:lang w:val="lv-LV"/>
        </w:rPr>
      </w:pPr>
      <w:r w:rsidRPr="00EA53E3">
        <w:rPr>
          <w:rFonts w:ascii="Cambria" w:eastAsia="MS Mincho" w:hAnsi="Cambria"/>
          <w:lang w:val="lv-LV"/>
        </w:rPr>
        <w:t xml:space="preserve">Sekmēt energoefektivitātes paaugstināšanu visos enerģijas patēriņa sektoros (jāmeklē risinājumi finansēšanai pēc 2020). Uzņēmumu sektorā </w:t>
      </w:r>
      <w:r w:rsidRPr="00EA53E3">
        <w:rPr>
          <w:rFonts w:ascii="Cambria" w:eastAsia="Times New Roman" w:hAnsi="Cambria"/>
          <w:lang w:val="lv-LV"/>
        </w:rPr>
        <w:t xml:space="preserve">vērojama salīdzinoši zema aktivitāte, iespējams, jādomā par papildu stimuliem, kas ļautu apzināties reālos ieguvumus no enerģijas ietaupījumiem, paaugstinot ēku energoefektivitāti un veicot ražošanas procesu optimizāciju. </w:t>
      </w:r>
      <w:r w:rsidR="0090662F">
        <w:rPr>
          <w:rFonts w:ascii="Cambria" w:eastAsia="Times New Roman" w:hAnsi="Cambria"/>
          <w:lang w:val="lv-LV"/>
        </w:rPr>
        <w:t>Energoefektivitātes individuālo risinājumu sasaiste ar nodokļu atlaidēm – primāri NĪN.</w:t>
      </w:r>
    </w:p>
    <w:p w14:paraId="2918BEC6" w14:textId="77777777" w:rsidR="00EA53E3" w:rsidRPr="00EA53E3" w:rsidRDefault="00EA53E3" w:rsidP="00EA53E3">
      <w:pPr>
        <w:ind w:right="91"/>
        <w:rPr>
          <w:rFonts w:ascii="Cambria" w:eastAsia="Times New Roman" w:hAnsi="Cambria"/>
          <w:lang w:val="lv-LV"/>
        </w:rPr>
      </w:pPr>
    </w:p>
    <w:p w14:paraId="5F82560D" w14:textId="2C625D87" w:rsidR="00EA53E3" w:rsidRPr="00EA53E3" w:rsidRDefault="00EA53E3" w:rsidP="00EA53E3">
      <w:pPr>
        <w:pStyle w:val="Heading2"/>
        <w:rPr>
          <w:lang w:val="lv-LV"/>
        </w:rPr>
      </w:pPr>
      <w:bookmarkStart w:id="80" w:name="_Toc499025327"/>
      <w:r w:rsidRPr="00EA53E3">
        <w:rPr>
          <w:lang w:val="lv-LV"/>
        </w:rPr>
        <w:t>CILVĒKA DROŠUMSPĒJA</w:t>
      </w:r>
      <w:bookmarkEnd w:id="80"/>
    </w:p>
    <w:p w14:paraId="07219400"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 xml:space="preserve">Ņemot vērā demogrāfijas prognozes nākotnei un sabiedrības novecošanos, veikt visaptverošu budžeta izvērtējumu visām budžeta bāzes programmām visās politikās. </w:t>
      </w:r>
    </w:p>
    <w:p w14:paraId="2E376FFC"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Izvērtēt nodokļu un pabalstu tiešo ietekmi uz ienākumu nevienlīdzību un tautas ataudzi.</w:t>
      </w:r>
    </w:p>
    <w:p w14:paraId="1FCFE1ED"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Uzlabot finanšu pratību noteiktās sabiedrības grupās, vienlaikus sekmējot privāto aktīvu pārvaldību un pratību.</w:t>
      </w:r>
    </w:p>
    <w:p w14:paraId="7A588CB4" w14:textId="42E72E20"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Izstrādāt risinājumu, kas reaģē uz nekvalitatīvā mājokļu fonda radītajiem draudiem, nodrošinot mājokļu politikas segmentēšanu atkarībā no dažādo mērķa grupu (ģimenes ar bērniem, īrnieki denacionalizētajos namos</w:t>
      </w:r>
      <w:r w:rsidR="0090662F">
        <w:rPr>
          <w:rFonts w:ascii="Cambria" w:eastAsia="MS Mincho" w:hAnsi="Cambria"/>
          <w:shd w:val="clear" w:color="auto" w:fill="FFFFFF"/>
          <w:lang w:val="lv-LV"/>
        </w:rPr>
        <w:t xml:space="preserve"> u.c</w:t>
      </w:r>
      <w:r w:rsidRPr="00EA53E3">
        <w:rPr>
          <w:rFonts w:ascii="Cambria" w:eastAsia="MS Mincho" w:hAnsi="Cambria"/>
          <w:shd w:val="clear" w:color="auto" w:fill="FFFFFF"/>
          <w:lang w:val="lv-LV"/>
        </w:rPr>
        <w:t xml:space="preserve">) vajadzībām un </w:t>
      </w:r>
      <w:r w:rsidR="002F3D28" w:rsidRPr="002F3D28">
        <w:rPr>
          <w:rFonts w:ascii="Cambria" w:eastAsia="MS Mincho" w:hAnsi="Cambria"/>
          <w:shd w:val="clear" w:color="auto" w:fill="FFFFFF"/>
          <w:lang w:val="lv-LV"/>
        </w:rPr>
        <w:t>primāri, sekmējot mājokli kā ī</w:t>
      </w:r>
      <w:r w:rsidR="0090662F">
        <w:rPr>
          <w:rFonts w:ascii="Cambria" w:eastAsia="MS Mincho" w:hAnsi="Cambria"/>
          <w:shd w:val="clear" w:color="auto" w:fill="FFFFFF"/>
          <w:lang w:val="lv-LV"/>
        </w:rPr>
        <w:t>pašumu, kas vairo cilvēka īpašumā</w:t>
      </w:r>
      <w:r w:rsidR="002F3D28" w:rsidRPr="002F3D28">
        <w:rPr>
          <w:rFonts w:ascii="Cambria" w:eastAsia="MS Mincho" w:hAnsi="Cambria"/>
          <w:shd w:val="clear" w:color="auto" w:fill="FFFFFF"/>
          <w:lang w:val="lv-LV"/>
        </w:rPr>
        <w:t xml:space="preserve"> esošo kapitālu</w:t>
      </w:r>
      <w:r w:rsidR="0090662F">
        <w:rPr>
          <w:rFonts w:ascii="Cambria" w:eastAsia="MS Mincho" w:hAnsi="Cambria"/>
          <w:shd w:val="clear" w:color="auto" w:fill="FFFFFF"/>
          <w:lang w:val="lv-LV"/>
        </w:rPr>
        <w:t>/ aktīvu</w:t>
      </w:r>
      <w:r w:rsidR="002F3D28" w:rsidRPr="002F3D28">
        <w:rPr>
          <w:rFonts w:ascii="Cambria" w:eastAsia="MS Mincho" w:hAnsi="Cambria"/>
          <w:shd w:val="clear" w:color="auto" w:fill="FFFFFF"/>
          <w:lang w:val="lv-LV"/>
        </w:rPr>
        <w:t>, kā arī</w:t>
      </w:r>
      <w:r w:rsidRPr="00EA53E3">
        <w:rPr>
          <w:rFonts w:ascii="Cambria" w:eastAsia="MS Mincho" w:hAnsi="Cambria"/>
          <w:shd w:val="clear" w:color="auto" w:fill="FFFFFF"/>
          <w:lang w:val="lv-LV"/>
        </w:rPr>
        <w:t xml:space="preserve"> pieejamību īres tirgum</w:t>
      </w:r>
      <w:r w:rsidR="002F3D28">
        <w:rPr>
          <w:rFonts w:ascii="Cambria" w:eastAsia="MS Mincho" w:hAnsi="Cambria"/>
          <w:shd w:val="clear" w:color="auto" w:fill="FFFFFF"/>
          <w:lang w:val="lv-LV"/>
        </w:rPr>
        <w:t>.</w:t>
      </w:r>
    </w:p>
    <w:p w14:paraId="19F61CE0" w14:textId="77777777" w:rsidR="006D08CB" w:rsidRPr="00EA53E3" w:rsidRDefault="006D08CB" w:rsidP="00EA53E3">
      <w:pPr>
        <w:rPr>
          <w:rFonts w:ascii="Cambria" w:eastAsia="MS Mincho" w:hAnsi="Cambria"/>
          <w:sz w:val="10"/>
          <w:szCs w:val="10"/>
          <w:shd w:val="clear" w:color="auto" w:fill="FFFFFF"/>
          <w:lang w:val="lv-LV"/>
        </w:rPr>
      </w:pPr>
    </w:p>
    <w:p w14:paraId="769AA395" w14:textId="77777777" w:rsidR="00EA53E3" w:rsidRPr="00EA53E3" w:rsidRDefault="00EA53E3" w:rsidP="00EA53E3">
      <w:pPr>
        <w:rPr>
          <w:rFonts w:ascii="Cambria" w:eastAsia="MS Mincho" w:hAnsi="Cambria"/>
          <w:b/>
          <w:u w:val="single"/>
          <w:shd w:val="clear" w:color="auto" w:fill="FFFFFF"/>
          <w:lang w:val="lv-LV"/>
        </w:rPr>
      </w:pPr>
      <w:r w:rsidRPr="00EA53E3">
        <w:rPr>
          <w:rFonts w:ascii="Cambria" w:eastAsia="MS Mincho" w:hAnsi="Cambria"/>
          <w:b/>
          <w:u w:val="single"/>
          <w:shd w:val="clear" w:color="auto" w:fill="FFFFFF"/>
          <w:lang w:val="lv-LV"/>
        </w:rPr>
        <w:t>Cienīgs darbs</w:t>
      </w:r>
    </w:p>
    <w:p w14:paraId="1A2864A6"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 xml:space="preserve">Jauniešu garantiju atbalstu koncentrēt uz tiem jauniešiem, kuriem visgrūtāk atrast darbu vai mācīties. </w:t>
      </w:r>
    </w:p>
    <w:p w14:paraId="3A8DD29D" w14:textId="61F55D91"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Izstrādāt mehānismu, kā organizēt darbaspēku savu interešu aizstāvībai privātajā sektorā, īpaši palielinot spēju pašorganizēties str</w:t>
      </w:r>
      <w:r w:rsidR="001039DE">
        <w:rPr>
          <w:rFonts w:ascii="Cambria" w:eastAsia="MS Mincho" w:hAnsi="Cambria"/>
          <w:shd w:val="clear" w:color="auto" w:fill="FFFFFF"/>
          <w:lang w:val="lv-LV"/>
        </w:rPr>
        <w:t xml:space="preserve">ādājošiem ar zemiem </w:t>
      </w:r>
      <w:r w:rsidR="001039DE">
        <w:rPr>
          <w:rFonts w:ascii="Cambria" w:eastAsia="MS Mincho" w:hAnsi="Cambria"/>
          <w:shd w:val="clear" w:color="auto" w:fill="FFFFFF"/>
          <w:lang w:val="lv-LV"/>
        </w:rPr>
        <w:lastRenderedPageBreak/>
        <w:t>ienākumiem.</w:t>
      </w:r>
      <w:r w:rsidRPr="00EA53E3">
        <w:rPr>
          <w:rFonts w:ascii="Cambria" w:eastAsia="MS Mincho" w:hAnsi="Cambria"/>
          <w:shd w:val="clear" w:color="auto" w:fill="FFFFFF"/>
          <w:lang w:val="lv-LV"/>
        </w:rPr>
        <w:t xml:space="preserve">Izstrādāt priekšlikumus sociālās apdrošināšanas (t.sk. pensijas) sistēmai, kas der Latvijas valsts piederīgajiem, kas dzīves gaitā ir nodarbināti vairākās valstīs. </w:t>
      </w:r>
    </w:p>
    <w:p w14:paraId="6DD5B0B7" w14:textId="77777777" w:rsidR="00EA53E3" w:rsidRPr="00EA53E3" w:rsidRDefault="00EA53E3" w:rsidP="00EA53E3">
      <w:pPr>
        <w:rPr>
          <w:rFonts w:ascii="Cambria" w:eastAsia="MS Mincho" w:hAnsi="Cambria"/>
          <w:sz w:val="10"/>
          <w:szCs w:val="10"/>
          <w:shd w:val="clear" w:color="auto" w:fill="FFFFFF"/>
          <w:lang w:val="lv-LV"/>
        </w:rPr>
      </w:pPr>
    </w:p>
    <w:p w14:paraId="39E95AF6" w14:textId="77777777" w:rsidR="00EA53E3" w:rsidRPr="00EA53E3" w:rsidRDefault="00EA53E3" w:rsidP="00EA53E3">
      <w:pPr>
        <w:rPr>
          <w:rFonts w:ascii="Cambria" w:eastAsia="MS Mincho" w:hAnsi="Cambria"/>
          <w:b/>
          <w:u w:val="single"/>
          <w:lang w:val="lv-LV"/>
        </w:rPr>
      </w:pPr>
      <w:r w:rsidRPr="00EA53E3">
        <w:rPr>
          <w:rFonts w:ascii="Cambria" w:eastAsia="MS Mincho" w:hAnsi="Cambria"/>
          <w:b/>
          <w:u w:val="single"/>
          <w:lang w:val="lv-LV"/>
        </w:rPr>
        <w:t>Resocializācija</w:t>
      </w:r>
    </w:p>
    <w:p w14:paraId="48535A38" w14:textId="77777777" w:rsidR="00EA53E3" w:rsidRPr="00EA53E3" w:rsidRDefault="00EA53E3" w:rsidP="00EA53E3">
      <w:pPr>
        <w:rPr>
          <w:rFonts w:ascii="Cambria" w:eastAsia="MS Mincho" w:hAnsi="Cambria"/>
          <w:lang w:val="lv-LV"/>
        </w:rPr>
      </w:pPr>
      <w:r w:rsidRPr="00EA53E3">
        <w:rPr>
          <w:rFonts w:ascii="Cambria" w:eastAsia="MS Mincho" w:hAnsi="Cambria"/>
          <w:lang w:val="lv-LV"/>
        </w:rPr>
        <w:t>Neatliekama mūsdienu prasībām atbilstoša ieslodzījuma vietu infrastruktūras izveide un tās izveides uzraudzība.</w:t>
      </w:r>
    </w:p>
    <w:p w14:paraId="40B901CB" w14:textId="77777777" w:rsidR="00EA53E3" w:rsidRPr="00EA53E3" w:rsidRDefault="00EA53E3" w:rsidP="00EA53E3">
      <w:pPr>
        <w:rPr>
          <w:rFonts w:ascii="Cambria" w:eastAsia="MS Mincho" w:hAnsi="Cambria"/>
          <w:sz w:val="10"/>
          <w:szCs w:val="10"/>
          <w:lang w:val="lv-LV"/>
        </w:rPr>
      </w:pPr>
    </w:p>
    <w:p w14:paraId="14868E5C" w14:textId="77777777" w:rsidR="00EA53E3" w:rsidRPr="00EA53E3" w:rsidRDefault="00EA53E3" w:rsidP="00EA53E3">
      <w:pPr>
        <w:rPr>
          <w:rFonts w:ascii="Cambria" w:eastAsia="MS Mincho" w:hAnsi="Cambria"/>
          <w:b/>
          <w:u w:val="single"/>
          <w:shd w:val="clear" w:color="auto" w:fill="FFFFFF"/>
          <w:lang w:val="lv-LV"/>
        </w:rPr>
      </w:pPr>
      <w:r w:rsidRPr="00EA53E3">
        <w:rPr>
          <w:rFonts w:ascii="Cambria" w:eastAsia="MS Mincho" w:hAnsi="Cambria"/>
          <w:b/>
          <w:u w:val="single"/>
          <w:shd w:val="clear" w:color="auto" w:fill="FFFFFF"/>
          <w:lang w:val="lv-LV"/>
        </w:rPr>
        <w:t>Kompetenču attīstība</w:t>
      </w:r>
    </w:p>
    <w:p w14:paraId="09100916" w14:textId="60101C23" w:rsidR="00EA53E3" w:rsidRPr="00EA53E3" w:rsidRDefault="00EA53E3" w:rsidP="00EA53E3">
      <w:pPr>
        <w:rPr>
          <w:szCs w:val="22"/>
          <w:shd w:val="clear" w:color="auto" w:fill="FFFFFF"/>
          <w:lang w:val="lv-LV"/>
        </w:rPr>
      </w:pPr>
      <w:r w:rsidRPr="00EA53E3">
        <w:rPr>
          <w:szCs w:val="22"/>
          <w:shd w:val="clear" w:color="auto" w:fill="FFFFFF"/>
          <w:lang w:val="lv-LV"/>
        </w:rPr>
        <w:t>Novērst finansēšanas principa “nauda seko skolēnam” defektus.</w:t>
      </w:r>
    </w:p>
    <w:p w14:paraId="4739442B" w14:textId="77777777" w:rsidR="00EA53E3" w:rsidRPr="00EA53E3" w:rsidRDefault="00EA53E3" w:rsidP="00EA53E3">
      <w:pPr>
        <w:rPr>
          <w:szCs w:val="22"/>
          <w:shd w:val="clear" w:color="auto" w:fill="FFFFFF"/>
          <w:lang w:val="lv-LV"/>
        </w:rPr>
      </w:pPr>
      <w:r w:rsidRPr="00EA53E3">
        <w:rPr>
          <w:szCs w:val="22"/>
          <w:shd w:val="clear" w:color="auto" w:fill="FFFFFF"/>
          <w:lang w:val="lv-LV"/>
        </w:rPr>
        <w:t>Izstrādāt jaunas pedagogu studiju programmas, kas nodrošina jaunos pedagogus ar prasmēm, kompetencēm, kuras atbilst nākotnes prasībām. Nodrošināt pedagogu paaudžu maiņu, motivējot studējošos strādāt izglītības iestādēs.</w:t>
      </w:r>
    </w:p>
    <w:p w14:paraId="335F2FA7" w14:textId="787E6777" w:rsidR="008E6078" w:rsidRPr="008E6078" w:rsidRDefault="008E6078" w:rsidP="008E6078">
      <w:pPr>
        <w:pStyle w:val="ListParagraph"/>
        <w:numPr>
          <w:ilvl w:val="0"/>
          <w:numId w:val="25"/>
        </w:numPr>
        <w:rPr>
          <w:szCs w:val="22"/>
          <w:shd w:val="clear" w:color="auto" w:fill="FFFFFF"/>
          <w:lang w:val="lv-LV"/>
        </w:rPr>
      </w:pPr>
      <w:r>
        <w:rPr>
          <w:szCs w:val="22"/>
          <w:shd w:val="clear" w:color="auto" w:fill="FFFFFF"/>
          <w:lang w:val="lv-LV"/>
        </w:rPr>
        <w:t>F</w:t>
      </w:r>
      <w:r w:rsidR="009628C2" w:rsidRPr="008E6078">
        <w:rPr>
          <w:szCs w:val="22"/>
          <w:shd w:val="clear" w:color="auto" w:fill="FFFFFF"/>
          <w:lang w:val="lv-LV"/>
        </w:rPr>
        <w:t>inansiālu stimulu radīšana (pašvaldības / valsts) jaunajiem skolu pedagogiem, tos sasaistot ar konkrētā pedagoga faktiskajiem darba rezultātiem un jaunradi izglītības procesā, pilsētas vai novada līmenī.</w:t>
      </w:r>
    </w:p>
    <w:p w14:paraId="3DC63F88" w14:textId="5C2151E9" w:rsidR="00EA53E3" w:rsidRPr="00EA53E3" w:rsidRDefault="00EA53E3" w:rsidP="009628C2">
      <w:pPr>
        <w:rPr>
          <w:szCs w:val="22"/>
          <w:shd w:val="clear" w:color="auto" w:fill="FFFFFF"/>
          <w:lang w:val="lv-LV"/>
        </w:rPr>
      </w:pPr>
      <w:r w:rsidRPr="00EA53E3">
        <w:rPr>
          <w:szCs w:val="22"/>
          <w:shd w:val="clear" w:color="auto" w:fill="FFFFFF"/>
          <w:lang w:val="lv-LV"/>
        </w:rPr>
        <w:t xml:space="preserve">Noteikt, ka vispārējā vidējā izglītība ir pabeigta, ja eksāmena darba kopvērtējums ir ne mazāks kā 25 procenti. Profesionālajā vidējā izglītībā centralizētos eksāmenus noteikt kā izvēles eksāmenus, ja audzēknis vēlas iegūt arī vidējo izglītību. </w:t>
      </w:r>
    </w:p>
    <w:p w14:paraId="79801134" w14:textId="691E3E63" w:rsidR="00EA53E3" w:rsidRPr="00EA53E3" w:rsidRDefault="0090662F" w:rsidP="00EA53E3">
      <w:pPr>
        <w:rPr>
          <w:szCs w:val="22"/>
          <w:lang w:val="lv-LV"/>
        </w:rPr>
      </w:pPr>
      <w:r>
        <w:rPr>
          <w:szCs w:val="22"/>
          <w:lang w:val="lv-LV"/>
        </w:rPr>
        <w:t>Ī</w:t>
      </w:r>
      <w:r w:rsidR="00EA53E3" w:rsidRPr="00EA53E3">
        <w:rPr>
          <w:szCs w:val="22"/>
          <w:lang w:val="lv-LV"/>
        </w:rPr>
        <w:t xml:space="preserve">stenot gudru talantu attīstības politiku, kas vērsta uz visaptverošu skolēnu spēju attīstību un </w:t>
      </w:r>
      <w:r w:rsidR="007B126F">
        <w:rPr>
          <w:szCs w:val="22"/>
          <w:lang w:val="lv-LV"/>
        </w:rPr>
        <w:t>jauno talantu selekciju skolās.</w:t>
      </w:r>
    </w:p>
    <w:p w14:paraId="08F03097" w14:textId="4D9506F4" w:rsidR="008E6078" w:rsidRPr="008E6078" w:rsidRDefault="008E6078" w:rsidP="008E6078">
      <w:pPr>
        <w:pStyle w:val="ListParagraph"/>
        <w:numPr>
          <w:ilvl w:val="0"/>
          <w:numId w:val="24"/>
        </w:numPr>
        <w:rPr>
          <w:rFonts w:ascii="Cambria" w:eastAsia="MS Mincho" w:hAnsi="Cambria"/>
          <w:szCs w:val="22"/>
          <w:shd w:val="clear" w:color="auto" w:fill="FFFFFF"/>
          <w:lang w:val="lv-LV"/>
        </w:rPr>
      </w:pPr>
      <w:r>
        <w:rPr>
          <w:szCs w:val="22"/>
          <w:lang w:val="lv-LV"/>
        </w:rPr>
        <w:t>P</w:t>
      </w:r>
      <w:r w:rsidRPr="008E6078">
        <w:rPr>
          <w:szCs w:val="22"/>
          <w:lang w:val="lv-LV"/>
        </w:rPr>
        <w:t>astāvīga plaša spektra interešu izglītības pieejamības nodrošināšana sākot ar 5 klasi, dažādu nozaru mobilo demonstrāciju/ praktisko laboratoriju pastāvīga funkcionēšana mazpilsētās un lauku apvidos</w:t>
      </w:r>
      <w:r>
        <w:rPr>
          <w:rFonts w:ascii="Cambria" w:eastAsia="MS Mincho" w:hAnsi="Cambria"/>
          <w:szCs w:val="22"/>
          <w:shd w:val="clear" w:color="auto" w:fill="FFFFFF"/>
          <w:lang w:val="lv-LV"/>
        </w:rPr>
        <w:t>.</w:t>
      </w:r>
    </w:p>
    <w:p w14:paraId="29E5D65D" w14:textId="0184B4AD" w:rsidR="00EA53E3" w:rsidRPr="00EA53E3" w:rsidRDefault="00EA53E3" w:rsidP="00EA53E3">
      <w:pPr>
        <w:rPr>
          <w:rFonts w:ascii="Cambria" w:eastAsia="MS Mincho" w:hAnsi="Cambria"/>
          <w:szCs w:val="22"/>
          <w:shd w:val="clear" w:color="auto" w:fill="FFFFFF"/>
          <w:lang w:val="lv-LV"/>
        </w:rPr>
      </w:pPr>
      <w:r w:rsidRPr="00EA53E3">
        <w:rPr>
          <w:rFonts w:ascii="Cambria" w:eastAsia="MS Mincho" w:hAnsi="Cambria"/>
          <w:szCs w:val="22"/>
          <w:shd w:val="clear" w:color="auto" w:fill="FFFFFF"/>
          <w:lang w:val="lv-LV"/>
        </w:rPr>
        <w:t>Nodrošināt mentoringu un izstrādāt metodiku pedagogu un atbalsta personāla darbam ar skolēniem, kuriem vērojams zems sasniegumu līmenis, lai uzlabotu skolēnu sniegumu, pedagogu prasmes un kompetences, kā arī skolēnu un pedagogu motivāciju un savstarpējo sadarbību.</w:t>
      </w:r>
    </w:p>
    <w:p w14:paraId="715D878C" w14:textId="77777777" w:rsidR="00EA53E3" w:rsidRPr="00EA53E3" w:rsidRDefault="00EA53E3" w:rsidP="00EA53E3">
      <w:pPr>
        <w:rPr>
          <w:rFonts w:ascii="Cambria" w:eastAsia="MS Mincho" w:hAnsi="Cambria"/>
          <w:szCs w:val="22"/>
          <w:shd w:val="clear" w:color="auto" w:fill="FFFFFF"/>
          <w:lang w:val="lv-LV"/>
        </w:rPr>
      </w:pPr>
      <w:r w:rsidRPr="00EA53E3">
        <w:rPr>
          <w:rFonts w:ascii="Cambria" w:eastAsia="MS Mincho" w:hAnsi="Cambria"/>
          <w:szCs w:val="22"/>
          <w:shd w:val="clear" w:color="auto" w:fill="FFFFFF"/>
          <w:lang w:val="lv-LV"/>
        </w:rPr>
        <w:t>Ņemot vērā demogrāfiskās slodzes līmeni un sabiedrības novecošanās procesu, izmantojot izglītības infrastruktūru un cilvēkresursus, veidot mūsdienām aktuālu pieaugušo izglītības programmu piedāvājumu augstākās izglītības iestādēs, koledžās un profesionālās izglītības kompetences centros.</w:t>
      </w:r>
    </w:p>
    <w:p w14:paraId="2C25F6ED" w14:textId="77777777" w:rsidR="00EA53E3" w:rsidRPr="00EA53E3" w:rsidRDefault="00EA53E3" w:rsidP="00EA53E3">
      <w:pPr>
        <w:rPr>
          <w:rFonts w:ascii="Cambria" w:eastAsia="MS Mincho" w:hAnsi="Cambria"/>
          <w:sz w:val="10"/>
          <w:szCs w:val="10"/>
          <w:shd w:val="clear" w:color="auto" w:fill="FFFFFF"/>
          <w:lang w:val="lv-LV"/>
        </w:rPr>
      </w:pPr>
    </w:p>
    <w:p w14:paraId="477EBFAF" w14:textId="77777777" w:rsidR="00EA53E3" w:rsidRPr="00EA53E3" w:rsidRDefault="00EA53E3" w:rsidP="00EA53E3">
      <w:pPr>
        <w:rPr>
          <w:rFonts w:ascii="Cambria" w:eastAsia="MS Mincho" w:hAnsi="Cambria" w:cs="Calibri"/>
          <w:b/>
          <w:szCs w:val="22"/>
          <w:u w:val="single"/>
          <w:lang w:val="lv-LV"/>
        </w:rPr>
      </w:pPr>
      <w:r w:rsidRPr="00EA53E3">
        <w:rPr>
          <w:rFonts w:ascii="Cambria" w:eastAsia="MS Mincho" w:hAnsi="Cambria" w:cs="Calibri"/>
          <w:b/>
          <w:szCs w:val="22"/>
          <w:u w:val="single"/>
          <w:lang w:val="lv-LV"/>
        </w:rPr>
        <w:t>Ģimenes ar bērniem</w:t>
      </w:r>
    </w:p>
    <w:p w14:paraId="648C7164" w14:textId="77777777" w:rsidR="00EA53E3" w:rsidRPr="00EA53E3" w:rsidRDefault="00EA53E3" w:rsidP="00EA53E3">
      <w:pPr>
        <w:rPr>
          <w:rFonts w:ascii="Cambria" w:hAnsi="Cambria"/>
          <w:szCs w:val="22"/>
          <w:lang w:val="lv-LV"/>
        </w:rPr>
      </w:pPr>
      <w:r w:rsidRPr="00EA53E3">
        <w:rPr>
          <w:rFonts w:ascii="Cambria" w:hAnsi="Cambria"/>
          <w:szCs w:val="22"/>
          <w:lang w:val="lv-LV"/>
        </w:rPr>
        <w:t>Ģimenes institūcijas kā vērtības popularizēšana sabiedrībā, tās nozīmīguma un lomas stiprināšana, izpratnes veidošana par ģimenes sociālajām funkcijām. Īpaša uzmanība pievēršama daudzbērnu ģimenēm, attīstot “Latvijas goda ģimenēm” piedāvāto pakalpojumu /atvieglojumu klāstu, vienlaicīgi mazinot aizspriedumus un ceļot lielo ģimeņu prestižu un nozīmīgumu sabiedrības attīstībā.</w:t>
      </w:r>
    </w:p>
    <w:p w14:paraId="117405CB" w14:textId="628E5AC2" w:rsidR="002F3D28" w:rsidRDefault="00EA53E3" w:rsidP="00EA53E3">
      <w:pPr>
        <w:rPr>
          <w:rFonts w:ascii="Cambria" w:hAnsi="Cambria"/>
          <w:szCs w:val="22"/>
          <w:lang w:val="lv-LV"/>
        </w:rPr>
      </w:pPr>
      <w:r w:rsidRPr="00EA53E3">
        <w:rPr>
          <w:rFonts w:ascii="Cambria" w:hAnsi="Cambria"/>
          <w:szCs w:val="22"/>
          <w:lang w:val="lv-LV"/>
        </w:rPr>
        <w:t>Lai mazinātu nabadzības riskus, nepieciešams pārskatīt valsts sniegto atbalstu ģimenēm ar bērniem, izstrādājot īpašus atbalsta instrumentus viena vecāka ģimenēm, strādājošām 1.un 2. ienā</w:t>
      </w:r>
      <w:r w:rsidR="008912F7">
        <w:rPr>
          <w:rFonts w:ascii="Cambria" w:hAnsi="Cambria"/>
          <w:szCs w:val="22"/>
          <w:lang w:val="lv-LV"/>
        </w:rPr>
        <w:t>kumu kvintiles ģimenēm, ģimenēm</w:t>
      </w:r>
      <w:r w:rsidRPr="00EA53E3">
        <w:rPr>
          <w:rFonts w:ascii="Cambria" w:hAnsi="Cambria"/>
          <w:szCs w:val="22"/>
          <w:lang w:val="lv-LV"/>
        </w:rPr>
        <w:t>,</w:t>
      </w:r>
      <w:r w:rsidR="008912F7">
        <w:rPr>
          <w:rFonts w:ascii="Cambria" w:hAnsi="Cambria"/>
          <w:szCs w:val="22"/>
          <w:lang w:val="lv-LV"/>
        </w:rPr>
        <w:t xml:space="preserve"> </w:t>
      </w:r>
      <w:r w:rsidRPr="00EA53E3">
        <w:rPr>
          <w:rFonts w:ascii="Cambria" w:hAnsi="Cambria"/>
          <w:szCs w:val="22"/>
          <w:lang w:val="lv-LV"/>
        </w:rPr>
        <w:t xml:space="preserve">kur viens no vecākiem ir invalīds ar darbspēju zaudējumu, kā arī pārdomātam ģimeņu ar </w:t>
      </w:r>
      <w:r w:rsidRPr="00B74E21">
        <w:rPr>
          <w:rFonts w:ascii="Cambria" w:hAnsi="Cambria"/>
          <w:szCs w:val="22"/>
          <w:lang w:val="lv-LV"/>
        </w:rPr>
        <w:t>bērniem atbalstam</w:t>
      </w:r>
      <w:r w:rsidR="00B74E21" w:rsidRPr="00B74E21">
        <w:rPr>
          <w:rFonts w:ascii="Cambria" w:hAnsi="Cambria"/>
          <w:szCs w:val="22"/>
          <w:lang w:val="lv-LV"/>
        </w:rPr>
        <w:t>.</w:t>
      </w:r>
      <w:r w:rsidRPr="00B74E21">
        <w:rPr>
          <w:rFonts w:ascii="Cambria" w:hAnsi="Cambria"/>
          <w:szCs w:val="22"/>
          <w:lang w:val="lv-LV"/>
        </w:rPr>
        <w:t xml:space="preserve"> </w:t>
      </w:r>
      <w:r w:rsidRPr="00EA53E3">
        <w:rPr>
          <w:rFonts w:ascii="Cambria" w:hAnsi="Cambria"/>
          <w:szCs w:val="22"/>
          <w:lang w:val="lv-LV"/>
        </w:rPr>
        <w:t xml:space="preserve">Lai nodrošinātu nepieciešamo investīciju apjomu minēto mērķa grupu atbalstam, pārskatāma universālā ģimenes valsts pabalsta piešķiršanas un izmaksu sistēma, </w:t>
      </w:r>
      <w:r w:rsidR="00306281">
        <w:rPr>
          <w:rFonts w:ascii="Cambria" w:hAnsi="Cambria"/>
          <w:szCs w:val="22"/>
          <w:lang w:val="lv-LV"/>
        </w:rPr>
        <w:t>piemēram, izvērtējot iespējas atteik</w:t>
      </w:r>
      <w:r w:rsidRPr="00EA53E3">
        <w:rPr>
          <w:rFonts w:ascii="Cambria" w:hAnsi="Cambria"/>
          <w:szCs w:val="22"/>
          <w:lang w:val="lv-LV"/>
        </w:rPr>
        <w:t xml:space="preserve">ties </w:t>
      </w:r>
      <w:r w:rsidRPr="00B74E21">
        <w:rPr>
          <w:rFonts w:ascii="Cambria" w:hAnsi="Cambria"/>
          <w:szCs w:val="22"/>
          <w:lang w:val="lv-LV"/>
        </w:rPr>
        <w:t xml:space="preserve">no ģimenes valsts pabalsta izmaksas, ja divu vecāku ģimenē, kuras ienākumi atbilst vismaz </w:t>
      </w:r>
      <w:r w:rsidR="002F3D28" w:rsidRPr="00B74E21">
        <w:rPr>
          <w:rFonts w:ascii="Cambria" w:hAnsi="Cambria"/>
          <w:szCs w:val="22"/>
          <w:lang w:val="lv-LV"/>
        </w:rPr>
        <w:t>4</w:t>
      </w:r>
      <w:r w:rsidRPr="00B74E21">
        <w:rPr>
          <w:rFonts w:ascii="Cambria" w:hAnsi="Cambria"/>
          <w:szCs w:val="22"/>
          <w:lang w:val="lv-LV"/>
        </w:rPr>
        <w:t>.ienākumu kvintiles grupai, apgādībā ir viens bērn</w:t>
      </w:r>
      <w:r w:rsidR="002F3D28" w:rsidRPr="00B74E21">
        <w:rPr>
          <w:rFonts w:ascii="Cambria" w:hAnsi="Cambria"/>
          <w:szCs w:val="22"/>
          <w:lang w:val="lv-LV"/>
        </w:rPr>
        <w:t>s</w:t>
      </w:r>
      <w:r w:rsidRPr="00B74E21">
        <w:rPr>
          <w:rFonts w:ascii="Cambria" w:hAnsi="Cambria"/>
          <w:szCs w:val="22"/>
          <w:lang w:val="lv-LV"/>
        </w:rPr>
        <w:t>.</w:t>
      </w:r>
      <w:r w:rsidRPr="00EA53E3">
        <w:rPr>
          <w:rFonts w:ascii="Cambria" w:hAnsi="Cambria"/>
          <w:szCs w:val="22"/>
          <w:lang w:val="lv-LV"/>
        </w:rPr>
        <w:t xml:space="preserve"> </w:t>
      </w:r>
    </w:p>
    <w:p w14:paraId="3DD35E3C" w14:textId="3ADB8D84" w:rsidR="00EA53E3" w:rsidRPr="00EA53E3" w:rsidRDefault="00EA53E3" w:rsidP="00EA53E3">
      <w:pPr>
        <w:rPr>
          <w:rFonts w:ascii="Cambria" w:hAnsi="Cambria"/>
          <w:szCs w:val="22"/>
          <w:lang w:val="lv-LV"/>
        </w:rPr>
      </w:pPr>
      <w:r w:rsidRPr="00EA53E3">
        <w:rPr>
          <w:rFonts w:ascii="Cambria" w:hAnsi="Cambria"/>
          <w:szCs w:val="22"/>
          <w:lang w:val="lv-LV"/>
        </w:rPr>
        <w:lastRenderedPageBreak/>
        <w:t>Lai veicinātu darbaspēka atgriešanos darba tirgū, nepieciešams paplašināt un nodrošināt pašvaldībās piedāvāto</w:t>
      </w:r>
      <w:r w:rsidR="00B74E21">
        <w:rPr>
          <w:rFonts w:ascii="Cambria" w:hAnsi="Cambria"/>
          <w:szCs w:val="22"/>
          <w:lang w:val="lv-LV"/>
        </w:rPr>
        <w:t xml:space="preserve"> pakalpojumu pieejamību ģimenēm</w:t>
      </w:r>
      <w:r w:rsidRPr="00EA53E3">
        <w:rPr>
          <w:rFonts w:ascii="Cambria" w:hAnsi="Cambria"/>
          <w:szCs w:val="22"/>
          <w:lang w:val="lv-LV"/>
        </w:rPr>
        <w:t xml:space="preserve">, elastīgus bērnu uzraudzības pakalpojumus, kā arī veikt regulāru ģimenes un darba dzīves saskaņošanas labās prakses monitoringu un konkrētu instrumentu piedāvāšanu darba devējiem un darba ņēmējiem. </w:t>
      </w:r>
    </w:p>
    <w:p w14:paraId="70D30341" w14:textId="77777777" w:rsidR="00EA53E3" w:rsidRPr="00EA53E3" w:rsidRDefault="00EA53E3" w:rsidP="00EA53E3">
      <w:pPr>
        <w:pStyle w:val="ListParagraph"/>
        <w:numPr>
          <w:ilvl w:val="0"/>
          <w:numId w:val="24"/>
        </w:numPr>
        <w:spacing w:line="264" w:lineRule="auto"/>
        <w:rPr>
          <w:rFonts w:ascii="Cambria" w:hAnsi="Cambria"/>
          <w:szCs w:val="22"/>
          <w:lang w:val="lv-LV"/>
        </w:rPr>
      </w:pPr>
      <w:r w:rsidRPr="00EA53E3">
        <w:rPr>
          <w:rFonts w:ascii="Cambria" w:hAnsi="Cambria"/>
          <w:szCs w:val="22"/>
          <w:lang w:val="lv-LV"/>
        </w:rPr>
        <w:t>Veikt pastāvīgu novērtējumu par elastīgā darba instrumentu pieprasījuma-piedāvājuma praksi valsts pārvaldes iestādēs, kā arī cēloņiem elastīgā darba instrumentu nepieciešamībai;</w:t>
      </w:r>
    </w:p>
    <w:p w14:paraId="6AFD0EBA" w14:textId="77777777" w:rsidR="00EA53E3" w:rsidRPr="00EA53E3" w:rsidRDefault="00EA53E3" w:rsidP="00EA53E3">
      <w:pPr>
        <w:rPr>
          <w:rFonts w:ascii="Cambria" w:hAnsi="Cambria"/>
          <w:szCs w:val="22"/>
          <w:lang w:val="lv-LV"/>
        </w:rPr>
      </w:pPr>
      <w:r w:rsidRPr="00EA53E3">
        <w:rPr>
          <w:rFonts w:ascii="Cambria" w:hAnsi="Cambria"/>
          <w:szCs w:val="22"/>
          <w:lang w:val="lv-LV"/>
        </w:rPr>
        <w:t xml:space="preserve">Ņemot vērā zīdaiņu mirstības rādītājus, kā arī grūtnieču īpatsvaru reģionos, kuras grūtniecības uzskaitē stājušās novēloti, veikt būtiskus uzlabojums grūtnieču, zīdaiņu un bērnu ambulatoro pakalpojumu pieejamības nodrošināšanai: </w:t>
      </w:r>
    </w:p>
    <w:p w14:paraId="092AE6DE" w14:textId="77777777" w:rsidR="00EA53E3" w:rsidRPr="00EA53E3" w:rsidRDefault="00EA53E3" w:rsidP="00EA53E3">
      <w:pPr>
        <w:pStyle w:val="ListParagraph"/>
        <w:numPr>
          <w:ilvl w:val="0"/>
          <w:numId w:val="24"/>
        </w:numPr>
        <w:spacing w:line="264" w:lineRule="auto"/>
        <w:rPr>
          <w:rFonts w:ascii="Cambria" w:hAnsi="Cambria"/>
          <w:szCs w:val="22"/>
          <w:lang w:val="lv-LV"/>
        </w:rPr>
      </w:pPr>
      <w:r w:rsidRPr="00EA53E3">
        <w:rPr>
          <w:rFonts w:ascii="Cambria" w:hAnsi="Cambria"/>
          <w:szCs w:val="22"/>
          <w:lang w:val="lv-LV"/>
        </w:rPr>
        <w:t>Identificēt iemeslus novēlotai sieviešu reģistrācijai grūtnieču uzskaitē tajos novados, kur uzskaitē novēloti stājas vairāk kā desmit procenti sieviešu;</w:t>
      </w:r>
    </w:p>
    <w:p w14:paraId="4DE77856" w14:textId="77777777" w:rsidR="00EA53E3" w:rsidRPr="00EA53E3" w:rsidRDefault="00EA53E3" w:rsidP="00EA53E3">
      <w:pPr>
        <w:pStyle w:val="ListParagraph"/>
        <w:numPr>
          <w:ilvl w:val="0"/>
          <w:numId w:val="24"/>
        </w:numPr>
        <w:spacing w:line="264" w:lineRule="auto"/>
        <w:rPr>
          <w:rFonts w:ascii="Cambria" w:hAnsi="Cambria"/>
          <w:szCs w:val="22"/>
          <w:lang w:val="lv-LV"/>
        </w:rPr>
      </w:pPr>
      <w:r w:rsidRPr="00EA53E3">
        <w:rPr>
          <w:rFonts w:ascii="Cambria" w:hAnsi="Cambria"/>
          <w:szCs w:val="22"/>
          <w:lang w:val="lv-LV"/>
        </w:rPr>
        <w:t>Atbilstoši veiktajam novērtējumam lemt (a) par mobilo grūtnieču aprūpes vienību organizēšanu slimnīcu sadarbības teritorijās, tādā veidā arī nodrošinot grūtniecēm paredzētos izmeklējumus lauku reģionos; (b) par transporta vaučeru ieviešanu grūtniecēm attālos reģionos;</w:t>
      </w:r>
    </w:p>
    <w:p w14:paraId="44006318" w14:textId="77777777" w:rsidR="00EA53E3" w:rsidRPr="00EA53E3" w:rsidRDefault="00EA53E3" w:rsidP="00EA53E3">
      <w:pPr>
        <w:pStyle w:val="ListParagraph"/>
        <w:numPr>
          <w:ilvl w:val="0"/>
          <w:numId w:val="24"/>
        </w:numPr>
        <w:spacing w:line="264" w:lineRule="auto"/>
        <w:rPr>
          <w:rFonts w:ascii="Cambria" w:hAnsi="Cambria"/>
          <w:szCs w:val="22"/>
          <w:lang w:val="lv-LV"/>
        </w:rPr>
      </w:pPr>
      <w:r w:rsidRPr="00EA53E3">
        <w:rPr>
          <w:rFonts w:ascii="Cambria" w:hAnsi="Cambria"/>
          <w:szCs w:val="22"/>
          <w:lang w:val="lv-LV"/>
        </w:rPr>
        <w:t>Identificēt gadījumu skaitu katrā no novadiem, kad jaundzimušo patronāža nav nodrošināta, veicot analīzi par iemesliem patronāžas neesamībai;</w:t>
      </w:r>
    </w:p>
    <w:p w14:paraId="5DE6601E" w14:textId="77777777" w:rsidR="00EA53E3" w:rsidRPr="00EA53E3" w:rsidRDefault="00EA53E3" w:rsidP="00EA53E3">
      <w:pPr>
        <w:pStyle w:val="ListParagraph"/>
        <w:numPr>
          <w:ilvl w:val="0"/>
          <w:numId w:val="24"/>
        </w:numPr>
        <w:spacing w:line="264" w:lineRule="auto"/>
        <w:rPr>
          <w:rFonts w:ascii="Cambria" w:hAnsi="Cambria"/>
          <w:szCs w:val="22"/>
          <w:lang w:val="lv-LV"/>
        </w:rPr>
      </w:pPr>
      <w:r w:rsidRPr="00EA53E3">
        <w:rPr>
          <w:rFonts w:ascii="Cambria" w:hAnsi="Cambria"/>
          <w:szCs w:val="22"/>
          <w:lang w:val="lv-LV"/>
        </w:rPr>
        <w:t>Veikt novērtējumu par okulista, LOR, neirologa, traumatologa, fizioterapeita un zobārsta pakalpojumu teritoriālo un finansiālo pieejamību bērniem katrā no novadiem, izstrādājot risinājumus šo speciālistu pieejamības nodrošināšanai visās slimnīcu sadarbības teritorijās.</w:t>
      </w:r>
    </w:p>
    <w:p w14:paraId="6A0234EA"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 xml:space="preserve">Ieviest risku vadības sistēmu efektīvai, dažādu dienestu koordinētai rīcībai, lai mazinātu vardarbības atkārtošanās risku ne tikai bērniem, bet arī sievietēm un gados veciem cilvēkiem. </w:t>
      </w:r>
    </w:p>
    <w:p w14:paraId="71B4E2ED" w14:textId="77777777" w:rsidR="00EA53E3" w:rsidRPr="00EA53E3" w:rsidRDefault="00EA53E3" w:rsidP="00EA53E3">
      <w:pPr>
        <w:rPr>
          <w:rFonts w:ascii="Cambria" w:eastAsia="MS Mincho" w:hAnsi="Cambria"/>
          <w:sz w:val="10"/>
          <w:szCs w:val="10"/>
          <w:shd w:val="clear" w:color="auto" w:fill="FFFFFF"/>
          <w:lang w:val="lv-LV"/>
        </w:rPr>
      </w:pPr>
    </w:p>
    <w:p w14:paraId="437289D8" w14:textId="77777777" w:rsidR="00EA53E3" w:rsidRPr="00EA53E3" w:rsidRDefault="00EA53E3" w:rsidP="00EA53E3">
      <w:pPr>
        <w:rPr>
          <w:rFonts w:ascii="Cambria" w:eastAsia="MS Mincho" w:hAnsi="Cambria"/>
          <w:b/>
          <w:u w:val="single"/>
          <w:shd w:val="clear" w:color="auto" w:fill="FFFFFF"/>
          <w:lang w:val="lv-LV"/>
        </w:rPr>
      </w:pPr>
      <w:r w:rsidRPr="00EA53E3">
        <w:rPr>
          <w:rFonts w:ascii="Cambria" w:eastAsia="MS Mincho" w:hAnsi="Cambria"/>
          <w:b/>
          <w:u w:val="single"/>
          <w:shd w:val="clear" w:color="auto" w:fill="FFFFFF"/>
          <w:lang w:val="lv-LV"/>
        </w:rPr>
        <w:t>Veselība</w:t>
      </w:r>
    </w:p>
    <w:p w14:paraId="1C1F051A" w14:textId="4E423D86" w:rsidR="00EA53E3" w:rsidRPr="00EA53E3" w:rsidRDefault="00AE2EFA" w:rsidP="00EA53E3">
      <w:pPr>
        <w:rPr>
          <w:rFonts w:ascii="Cambria" w:eastAsia="MS Mincho" w:hAnsi="Cambria"/>
          <w:shd w:val="clear" w:color="auto" w:fill="FFFFFF"/>
          <w:lang w:val="lv-LV"/>
        </w:rPr>
      </w:pPr>
      <w:r>
        <w:rPr>
          <w:rFonts w:ascii="Cambria" w:eastAsia="MS Mincho" w:hAnsi="Cambria"/>
          <w:shd w:val="clear" w:color="auto" w:fill="FFFFFF"/>
          <w:lang w:val="lv-LV"/>
        </w:rPr>
        <w:t>Palielināt</w:t>
      </w:r>
      <w:r w:rsidR="00EA53E3" w:rsidRPr="00F055E3">
        <w:rPr>
          <w:rFonts w:ascii="Cambria" w:eastAsia="MS Mincho" w:hAnsi="Cambria"/>
          <w:shd w:val="clear" w:color="auto" w:fill="FFFFFF"/>
          <w:lang w:val="lv-LV"/>
        </w:rPr>
        <w:t xml:space="preserve"> sekundāro ambulatoro veselības aprūpes pakalpojumu (speciālisti, diagnostika) pieejamību iedzīvotājiem, kuru ģimeņu ienākumi atbilst 1.un 2.ienākumu kvintilei.</w:t>
      </w:r>
    </w:p>
    <w:p w14:paraId="20B8C788" w14:textId="2B47FBA3" w:rsidR="00EA53E3" w:rsidRPr="00B27DD4" w:rsidRDefault="00EA53E3" w:rsidP="00EA53E3">
      <w:pPr>
        <w:pStyle w:val="ListParagraph"/>
        <w:numPr>
          <w:ilvl w:val="0"/>
          <w:numId w:val="24"/>
        </w:numPr>
        <w:spacing w:line="264" w:lineRule="auto"/>
        <w:rPr>
          <w:rFonts w:ascii="Cambria" w:eastAsia="MS Mincho" w:hAnsi="Cambria"/>
          <w:shd w:val="clear" w:color="auto" w:fill="FFFFFF"/>
          <w:lang w:val="lv-LV"/>
        </w:rPr>
      </w:pPr>
      <w:r w:rsidRPr="00EA53E3">
        <w:rPr>
          <w:rFonts w:ascii="Cambria" w:eastAsia="MS Mincho" w:hAnsi="Cambria"/>
          <w:shd w:val="clear" w:color="auto" w:fill="FFFFFF"/>
          <w:lang w:val="lv-LV"/>
        </w:rPr>
        <w:t>Izvērtēt iespējas iesaistīt pašvaldības sekundāro ambulatoro veselības aprūpes pakalpojumu līdzfinansēšanā tām iedzīvotāju grupām, kuru ģimeņu ienākumi atbilst 1.vai 2.ienākumu kvintilei, pakalpojuma saņemšanu nodrošinot noteiktā sadarbības teritorijas slimnīcā.</w:t>
      </w:r>
    </w:p>
    <w:p w14:paraId="081858B9" w14:textId="24CFD3BB" w:rsidR="00902C10" w:rsidRDefault="00902C10" w:rsidP="00902C10">
      <w:pPr>
        <w:rPr>
          <w:lang w:val="lv-LV"/>
        </w:rPr>
      </w:pPr>
      <w:r>
        <w:rPr>
          <w:lang w:val="lv-LV"/>
        </w:rPr>
        <w:t>Uzmanību koncentrēt noteiktu iedzīvotāju grupu vajadzībām saistībā ar veselības aprūpi, prioritāri gādājot par veselības aprūpes pakalpojumu pieejamību saprātīgā termiņā grūtniecēm un bērniem, kā arī pacientiem ar tādām saslimšanām, kas var izraisīt ilgstošu darbspēju zaudējumu un invaliditāti. Tuvākajā laikā:</w:t>
      </w:r>
    </w:p>
    <w:p w14:paraId="29107338" w14:textId="53528DE4" w:rsidR="00902C10" w:rsidRDefault="00F055E3" w:rsidP="00902C10">
      <w:pPr>
        <w:pStyle w:val="ListParagraph"/>
        <w:numPr>
          <w:ilvl w:val="0"/>
          <w:numId w:val="28"/>
        </w:numPr>
        <w:rPr>
          <w:lang w:val="lv-LV"/>
        </w:rPr>
      </w:pPr>
      <w:r>
        <w:rPr>
          <w:lang w:val="lv-LV"/>
        </w:rPr>
        <w:t xml:space="preserve">analizējams </w:t>
      </w:r>
      <w:r w:rsidRPr="00F055E3">
        <w:rPr>
          <w:lang w:val="lv-LV"/>
        </w:rPr>
        <w:t>un</w:t>
      </w:r>
      <w:r w:rsidR="00902C10" w:rsidRPr="00F055E3">
        <w:rPr>
          <w:lang w:val="lv-LV"/>
        </w:rPr>
        <w:t xml:space="preserve"> pārskatāms onkoloģisko pacientu diagnostikas un ārstniecības ceļš, </w:t>
      </w:r>
    </w:p>
    <w:p w14:paraId="1CBE9A35" w14:textId="365C10A5" w:rsidR="000565E9" w:rsidRPr="000565E9" w:rsidRDefault="000565E9" w:rsidP="000565E9">
      <w:pPr>
        <w:pStyle w:val="ListParagraph"/>
        <w:numPr>
          <w:ilvl w:val="0"/>
          <w:numId w:val="28"/>
        </w:numPr>
        <w:rPr>
          <w:lang w:val="lv-LV"/>
        </w:rPr>
      </w:pPr>
      <w:r w:rsidRPr="00027B9E">
        <w:rPr>
          <w:lang w:val="lv-LV"/>
        </w:rPr>
        <w:t xml:space="preserve">aktualizējams jautājums par psihiskās veselības jomas pacientu ārstniecības procesu, </w:t>
      </w:r>
      <w:r>
        <w:rPr>
          <w:lang w:val="lv-LV"/>
        </w:rPr>
        <w:t xml:space="preserve">ievērojot deinsticionalizācijas </w:t>
      </w:r>
      <w:r w:rsidR="00AE2EFA">
        <w:rPr>
          <w:lang w:val="lv-LV"/>
        </w:rPr>
        <w:t xml:space="preserve">pasākumu </w:t>
      </w:r>
      <w:r>
        <w:rPr>
          <w:lang w:val="lv-LV"/>
        </w:rPr>
        <w:t>īstenošanu</w:t>
      </w:r>
    </w:p>
    <w:p w14:paraId="5DEDD52F" w14:textId="70677640" w:rsidR="00902C10" w:rsidRPr="00902C10" w:rsidRDefault="00902C10" w:rsidP="00902C10">
      <w:pPr>
        <w:pStyle w:val="ListParagraph"/>
        <w:numPr>
          <w:ilvl w:val="0"/>
          <w:numId w:val="28"/>
        </w:numPr>
        <w:rPr>
          <w:lang w:val="lv-LV"/>
        </w:rPr>
      </w:pPr>
      <w:r w:rsidRPr="00F055E3">
        <w:rPr>
          <w:lang w:val="lv-LV"/>
        </w:rPr>
        <w:t>aktualizējams jautājums par muskuļu un skeleta sistēmas slimību ārstniecības procesu un pakalpojumu pieejamību</w:t>
      </w:r>
      <w:r w:rsidRPr="00902C10">
        <w:rPr>
          <w:lang w:val="lv-LV"/>
        </w:rPr>
        <w:t xml:space="preserve">, īpaši pirmspensijas vecuma iedzīvotājiem, ņemot vērā šīs slimību grupas saslimšanu ietekmi uz darbspējām un priekšlaicīgu vai ilgstošu darbspēju zaudējumu. </w:t>
      </w:r>
    </w:p>
    <w:p w14:paraId="6BCB7B4E" w14:textId="69411326" w:rsidR="00EA53E3" w:rsidRPr="00817E81" w:rsidRDefault="00F055E3" w:rsidP="00EA53E3">
      <w:pPr>
        <w:rPr>
          <w:rFonts w:ascii="Cambria" w:eastAsia="MS Mincho" w:hAnsi="Cambria"/>
          <w:shd w:val="clear" w:color="auto" w:fill="FFFFFF"/>
          <w:lang w:val="lv-LV"/>
        </w:rPr>
      </w:pPr>
      <w:r w:rsidRPr="00817E81">
        <w:rPr>
          <w:rFonts w:ascii="Cambria" w:eastAsia="MS Mincho" w:hAnsi="Cambria"/>
          <w:shd w:val="clear" w:color="auto" w:fill="FFFFFF"/>
          <w:lang w:val="lv-LV"/>
        </w:rPr>
        <w:lastRenderedPageBreak/>
        <w:t>U</w:t>
      </w:r>
      <w:r w:rsidR="00EA53E3" w:rsidRPr="00817E81">
        <w:rPr>
          <w:rFonts w:ascii="Cambria" w:eastAsia="MS Mincho" w:hAnsi="Cambria"/>
          <w:shd w:val="clear" w:color="auto" w:fill="FFFFFF"/>
          <w:lang w:val="lv-LV"/>
        </w:rPr>
        <w:t>zlabot veselības aprūpes sistēmas pārvaldību, nodrošinot kompetentu augstākā līmeņa vadītāju iecelšanu konkursa kārtībā visās veselības nozares iestādēs un struktūrās, kur vadības funkcija patlaban tiek nodrošināta nepilnīgi.</w:t>
      </w:r>
    </w:p>
    <w:p w14:paraId="3A96134D" w14:textId="60689A94" w:rsidR="00EA53E3" w:rsidRPr="00EA53E3" w:rsidRDefault="0000655B" w:rsidP="00EA53E3">
      <w:pPr>
        <w:rPr>
          <w:rFonts w:ascii="Cambria" w:eastAsia="MS Mincho" w:hAnsi="Cambria"/>
          <w:shd w:val="clear" w:color="auto" w:fill="FFFFFF"/>
          <w:lang w:val="lv-LV"/>
        </w:rPr>
      </w:pPr>
      <w:r>
        <w:rPr>
          <w:rFonts w:ascii="Cambria" w:eastAsia="MS Mincho" w:hAnsi="Cambria"/>
          <w:shd w:val="clear" w:color="auto" w:fill="FFFFFF"/>
          <w:lang w:val="lv-LV"/>
        </w:rPr>
        <w:t>Pastāvīgi</w:t>
      </w:r>
      <w:r w:rsidR="00EA53E3" w:rsidRPr="00EA53E3">
        <w:rPr>
          <w:rFonts w:ascii="Cambria" w:eastAsia="MS Mincho" w:hAnsi="Cambria"/>
          <w:shd w:val="clear" w:color="auto" w:fill="FFFFFF"/>
          <w:lang w:val="lv-LV"/>
        </w:rPr>
        <w:t xml:space="preserve"> </w:t>
      </w:r>
      <w:r>
        <w:rPr>
          <w:rFonts w:ascii="Cambria" w:eastAsia="MS Mincho" w:hAnsi="Cambria"/>
          <w:shd w:val="clear" w:color="auto" w:fill="FFFFFF"/>
          <w:lang w:val="lv-LV"/>
        </w:rPr>
        <w:t xml:space="preserve">uzraudzīt </w:t>
      </w:r>
      <w:r w:rsidR="00EA53E3" w:rsidRPr="00EA53E3">
        <w:rPr>
          <w:rFonts w:ascii="Cambria" w:eastAsia="MS Mincho" w:hAnsi="Cambria"/>
          <w:shd w:val="clear" w:color="auto" w:fill="FFFFFF"/>
          <w:lang w:val="lv-LV"/>
        </w:rPr>
        <w:t>veselības aprūpes sistēmas efektivitāti, nodrošinot regulāru ieguldījumu monitoringu, uzraudzību un kontroli.</w:t>
      </w:r>
    </w:p>
    <w:p w14:paraId="2A6F554E" w14:textId="77777777" w:rsidR="00EA53E3" w:rsidRPr="00EA53E3" w:rsidRDefault="00EA53E3" w:rsidP="00EA53E3">
      <w:pPr>
        <w:pStyle w:val="ListParagraph"/>
        <w:numPr>
          <w:ilvl w:val="0"/>
          <w:numId w:val="24"/>
        </w:numPr>
        <w:spacing w:line="264" w:lineRule="auto"/>
        <w:rPr>
          <w:rFonts w:ascii="Cambria" w:eastAsia="MS Mincho" w:hAnsi="Cambria"/>
          <w:szCs w:val="22"/>
          <w:shd w:val="clear" w:color="auto" w:fill="FFFFFF"/>
          <w:lang w:val="lv-LV"/>
        </w:rPr>
      </w:pPr>
      <w:r w:rsidRPr="00EA53E3">
        <w:rPr>
          <w:rFonts w:ascii="Cambria" w:eastAsia="MS Mincho" w:hAnsi="Cambria"/>
          <w:shd w:val="clear" w:color="auto" w:fill="FFFFFF"/>
          <w:lang w:val="lv-LV"/>
        </w:rPr>
        <w:t xml:space="preserve">Veikt nepieciešamos uzlabojumus reģistru sistēmās, lai nodrošinātu informācijas analīzes iespējas attiecībā par cilvēkresursiem veselības aprūpē un uzlabotu analītiku par </w:t>
      </w:r>
      <w:r w:rsidRPr="00EA53E3">
        <w:rPr>
          <w:rFonts w:ascii="Cambria" w:eastAsia="MS Mincho" w:hAnsi="Cambria"/>
          <w:szCs w:val="22"/>
          <w:shd w:val="clear" w:color="auto" w:fill="FFFFFF"/>
          <w:lang w:val="lv-LV"/>
        </w:rPr>
        <w:t>sekundāriem ambulatoriem un stacionāriem pakalpojumiem.</w:t>
      </w:r>
    </w:p>
    <w:p w14:paraId="0C284D22" w14:textId="77777777" w:rsidR="00EA53E3" w:rsidRPr="00EA53E3" w:rsidRDefault="00EA53E3" w:rsidP="00EA53E3">
      <w:pPr>
        <w:pStyle w:val="ListParagraph"/>
        <w:numPr>
          <w:ilvl w:val="0"/>
          <w:numId w:val="24"/>
        </w:numPr>
        <w:spacing w:line="264" w:lineRule="auto"/>
        <w:rPr>
          <w:rFonts w:ascii="Cambria" w:eastAsia="MS Mincho" w:hAnsi="Cambria"/>
          <w:szCs w:val="22"/>
          <w:shd w:val="clear" w:color="auto" w:fill="FFFFFF"/>
          <w:lang w:val="lv-LV"/>
        </w:rPr>
      </w:pPr>
      <w:r w:rsidRPr="00EA53E3">
        <w:rPr>
          <w:szCs w:val="22"/>
          <w:lang w:val="lv-LV"/>
        </w:rPr>
        <w:t>Īstenot nepieciešamās darbības, lai nodrošinātu harmonizētu izdevumu uzskaiti, kā arī centralizētu informācijas apkopošanu, t.sk. par privātiem veselības aprūpes pakalpojumiem.</w:t>
      </w:r>
    </w:p>
    <w:p w14:paraId="0123C2E2" w14:textId="77777777" w:rsidR="00EA53E3" w:rsidRPr="00B27DD4" w:rsidRDefault="00EA53E3" w:rsidP="00EA53E3">
      <w:pPr>
        <w:pStyle w:val="ListParagraph"/>
        <w:numPr>
          <w:ilvl w:val="0"/>
          <w:numId w:val="24"/>
        </w:numPr>
        <w:spacing w:line="264" w:lineRule="auto"/>
        <w:rPr>
          <w:rFonts w:ascii="Cambria" w:eastAsia="MS Mincho" w:hAnsi="Cambria"/>
          <w:szCs w:val="22"/>
          <w:shd w:val="clear" w:color="auto" w:fill="FFFFFF"/>
          <w:lang w:val="lv-LV"/>
        </w:rPr>
      </w:pPr>
      <w:r w:rsidRPr="00EA53E3">
        <w:rPr>
          <w:bCs/>
          <w:szCs w:val="22"/>
          <w:lang w:val="lv-LV"/>
        </w:rPr>
        <w:t>Nodrošināt sistēmisku izdevumu efektivitātes un lietderīguma izvērtējuma veikšanu, palielinot finansējuma sadales un izlietojuma caurredzamību.</w:t>
      </w:r>
    </w:p>
    <w:p w14:paraId="038D5F0E" w14:textId="056F009D" w:rsidR="00B27DD4" w:rsidRPr="00B27DD4" w:rsidRDefault="00902C10" w:rsidP="00EA53E3">
      <w:pPr>
        <w:pStyle w:val="ListParagraph"/>
        <w:numPr>
          <w:ilvl w:val="0"/>
          <w:numId w:val="24"/>
        </w:numPr>
        <w:spacing w:line="264" w:lineRule="auto"/>
        <w:rPr>
          <w:rFonts w:ascii="Cambria" w:eastAsia="MS Mincho" w:hAnsi="Cambria"/>
          <w:szCs w:val="22"/>
          <w:shd w:val="clear" w:color="auto" w:fill="FFFFFF"/>
          <w:lang w:val="lv-LV"/>
        </w:rPr>
      </w:pPr>
      <w:r>
        <w:rPr>
          <w:lang w:val="lv-LV"/>
        </w:rPr>
        <w:t>I</w:t>
      </w:r>
      <w:r w:rsidR="00B27DD4">
        <w:rPr>
          <w:lang w:val="lv-LV"/>
        </w:rPr>
        <w:t>zmanotojot gan veselības, gan labklājības sistēmās uzkrāto informāciju, steidzami padziļināti analizējami ilgstošas darba nespējas cēloņi reģionālā griezumā, kā arī hronisko slimību ārstēšanas process pirmspensijas vecuma iedzīvotājiem, lai tālāk lemtu par taktisko rīcību un uzlabotu darbspējas vecuma iedzīvotāju dzīves kvalitāti, mazinātu Latvijas konkurētspējas apdraudējuma riskus.</w:t>
      </w:r>
    </w:p>
    <w:p w14:paraId="02E64BB1" w14:textId="6E1EB064" w:rsidR="00B27DD4" w:rsidRPr="00B27DD4" w:rsidRDefault="000D77BB" w:rsidP="00B27DD4">
      <w:pPr>
        <w:spacing w:line="264" w:lineRule="auto"/>
        <w:rPr>
          <w:rFonts w:ascii="Cambria" w:eastAsia="MS Mincho" w:hAnsi="Cambria"/>
          <w:szCs w:val="22"/>
          <w:shd w:val="clear" w:color="auto" w:fill="FFFFFF"/>
          <w:lang w:val="lv-LV"/>
        </w:rPr>
      </w:pPr>
      <w:r>
        <w:rPr>
          <w:rFonts w:ascii="Cambria" w:eastAsia="MS Mincho" w:hAnsi="Cambria"/>
          <w:szCs w:val="22"/>
          <w:shd w:val="clear" w:color="auto" w:fill="FFFFFF"/>
          <w:lang w:val="lv-LV"/>
        </w:rPr>
        <w:t>Realizēt</w:t>
      </w:r>
      <w:r w:rsidR="00B27DD4">
        <w:rPr>
          <w:rFonts w:ascii="Cambria" w:eastAsia="MS Mincho" w:hAnsi="Cambria"/>
          <w:szCs w:val="22"/>
          <w:shd w:val="clear" w:color="auto" w:fill="FFFFFF"/>
          <w:lang w:val="lv-LV"/>
        </w:rPr>
        <w:t xml:space="preserve"> </w:t>
      </w:r>
      <w:r>
        <w:rPr>
          <w:rFonts w:ascii="Cambria" w:eastAsia="MS Mincho" w:hAnsi="Cambria"/>
          <w:szCs w:val="22"/>
          <w:shd w:val="clear" w:color="auto" w:fill="FFFFFF"/>
          <w:lang w:val="lv-LV"/>
        </w:rPr>
        <w:t>aktīvu</w:t>
      </w:r>
      <w:r w:rsidR="00902C10">
        <w:rPr>
          <w:rFonts w:ascii="Cambria" w:eastAsia="MS Mincho" w:hAnsi="Cambria"/>
          <w:szCs w:val="22"/>
          <w:shd w:val="clear" w:color="auto" w:fill="FFFFFF"/>
          <w:lang w:val="lv-LV"/>
        </w:rPr>
        <w:t>, uz pierādījumiem balstītu</w:t>
      </w:r>
      <w:r>
        <w:rPr>
          <w:rFonts w:ascii="Cambria" w:eastAsia="MS Mincho" w:hAnsi="Cambria"/>
          <w:szCs w:val="22"/>
          <w:shd w:val="clear" w:color="auto" w:fill="FFFFFF"/>
          <w:lang w:val="lv-LV"/>
        </w:rPr>
        <w:t xml:space="preserve"> sabiedrības veselības rīcībpolitiku, kas vērsta uz veselības veicināšanu un slimību profilaksi, mazinot veselību ietekmējošo riska faktoru izplatību sabiedrībā</w:t>
      </w:r>
      <w:r w:rsidR="00902C10">
        <w:rPr>
          <w:rFonts w:ascii="Cambria" w:eastAsia="MS Mincho" w:hAnsi="Cambria"/>
          <w:szCs w:val="22"/>
          <w:shd w:val="clear" w:color="auto" w:fill="FFFFFF"/>
          <w:lang w:val="lv-LV"/>
        </w:rPr>
        <w:t>, kā arī sekmējot ģimenes ārsta komandas darbu un iesaisti slimību profilaksē un agrīnu intervenču īstenošanā</w:t>
      </w:r>
      <w:r>
        <w:rPr>
          <w:rFonts w:ascii="Cambria" w:eastAsia="MS Mincho" w:hAnsi="Cambria"/>
          <w:szCs w:val="22"/>
          <w:shd w:val="clear" w:color="auto" w:fill="FFFFFF"/>
          <w:lang w:val="lv-LV"/>
        </w:rPr>
        <w:t>.</w:t>
      </w:r>
    </w:p>
    <w:p w14:paraId="53F80E0D" w14:textId="77777777" w:rsidR="00EA53E3" w:rsidRPr="00EA53E3" w:rsidRDefault="00EA53E3" w:rsidP="00EA53E3">
      <w:pPr>
        <w:rPr>
          <w:rFonts w:ascii="Cambria" w:eastAsia="MS Mincho" w:hAnsi="Cambria"/>
          <w:sz w:val="10"/>
          <w:szCs w:val="10"/>
          <w:shd w:val="clear" w:color="auto" w:fill="FFFFFF"/>
          <w:lang w:val="lv-LV"/>
        </w:rPr>
      </w:pPr>
    </w:p>
    <w:p w14:paraId="6E3FDA2B" w14:textId="77777777" w:rsidR="00EA53E3" w:rsidRPr="00EA53E3" w:rsidRDefault="00EA53E3" w:rsidP="00EA53E3">
      <w:pPr>
        <w:rPr>
          <w:rFonts w:ascii="Cambria" w:eastAsia="MS Mincho" w:hAnsi="Cambria"/>
          <w:b/>
          <w:u w:val="single"/>
          <w:shd w:val="clear" w:color="auto" w:fill="FFFFFF"/>
          <w:lang w:val="lv-LV"/>
        </w:rPr>
      </w:pPr>
      <w:r w:rsidRPr="00EA53E3">
        <w:rPr>
          <w:rFonts w:ascii="Cambria" w:eastAsia="MS Mincho" w:hAnsi="Cambria"/>
          <w:b/>
          <w:u w:val="single"/>
          <w:shd w:val="clear" w:color="auto" w:fill="FFFFFF"/>
          <w:lang w:val="lv-LV"/>
        </w:rPr>
        <w:t>Sabiedrības saliedētība</w:t>
      </w:r>
    </w:p>
    <w:p w14:paraId="2C9B3879"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Īstenot remigrācijas atbalsta pasākumus, kas ņem vērā cilvēku dzīves cikla notikumus.</w:t>
      </w:r>
    </w:p>
    <w:p w14:paraId="59D23AD8"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NVO fonda turpmākos granta projektu konkursus koncentrēt uz izpratnes un uzticēšanās veidošanu starp tām iedzīvotāju grupām, kuru vidū vērojama spriedze un sociālā izolētība.</w:t>
      </w:r>
    </w:p>
    <w:p w14:paraId="3F9FEB10" w14:textId="77777777" w:rsidR="00EA53E3" w:rsidRPr="00EA53E3" w:rsidRDefault="00EA53E3" w:rsidP="00EA53E3">
      <w:pPr>
        <w:rPr>
          <w:rFonts w:ascii="Cambria" w:eastAsia="MS Mincho" w:hAnsi="Cambria"/>
          <w:shd w:val="clear" w:color="auto" w:fill="FFFFFF"/>
          <w:lang w:val="lv-LV"/>
        </w:rPr>
      </w:pPr>
      <w:r w:rsidRPr="00EA53E3">
        <w:rPr>
          <w:rFonts w:ascii="Cambria" w:eastAsia="MS Mincho" w:hAnsi="Cambria"/>
          <w:shd w:val="clear" w:color="auto" w:fill="FFFFFF"/>
          <w:lang w:val="lv-LV"/>
        </w:rPr>
        <w:t>Nodrošināt pieejamus un pietiekamus latviešu valodas kursus interesentiem ar zemām valodas prasmēm.</w:t>
      </w:r>
    </w:p>
    <w:p w14:paraId="0E405106" w14:textId="355B7225" w:rsidR="00EA53E3" w:rsidRPr="00EA53E3" w:rsidRDefault="00EA53E3" w:rsidP="00EA53E3">
      <w:pPr>
        <w:rPr>
          <w:rFonts w:ascii="Cambria" w:eastAsia="MS Mincho" w:hAnsi="Cambria"/>
          <w:shd w:val="clear" w:color="auto" w:fill="FFFFFF"/>
          <w:lang w:val="lv-LV"/>
        </w:rPr>
      </w:pPr>
      <w:r w:rsidRPr="00242A68">
        <w:rPr>
          <w:rFonts w:ascii="Cambria" w:eastAsia="MS Mincho" w:hAnsi="Cambria"/>
          <w:shd w:val="clear" w:color="auto" w:fill="FFFFFF"/>
          <w:lang w:val="lv-LV"/>
        </w:rPr>
        <w:t>Pilnveidojamas Latvijas iedzīvotāju un institūciju</w:t>
      </w:r>
      <w:r w:rsidRPr="00EA53E3">
        <w:rPr>
          <w:rFonts w:ascii="Cambria" w:eastAsia="MS Mincho" w:hAnsi="Cambria"/>
          <w:shd w:val="clear" w:color="auto" w:fill="FFFFFF"/>
          <w:lang w:val="lv-LV"/>
        </w:rPr>
        <w:t xml:space="preserve"> starpkultūru komunikācijas prasmes.</w:t>
      </w:r>
    </w:p>
    <w:p w14:paraId="1036C279" w14:textId="77777777" w:rsidR="00EA53E3" w:rsidRPr="00EA53E3" w:rsidRDefault="00EA53E3" w:rsidP="00EA53E3">
      <w:pPr>
        <w:rPr>
          <w:rFonts w:ascii="Cambria" w:eastAsia="MS Mincho" w:hAnsi="Cambria"/>
          <w:shd w:val="clear" w:color="auto" w:fill="FFFFFF"/>
          <w:lang w:val="lv-LV"/>
        </w:rPr>
      </w:pPr>
    </w:p>
    <w:p w14:paraId="0EABF19F" w14:textId="425E2FF3" w:rsidR="00EA53E3" w:rsidRPr="00EA53E3" w:rsidRDefault="005B0E9F" w:rsidP="00EA53E3">
      <w:pPr>
        <w:pStyle w:val="Heading2"/>
        <w:rPr>
          <w:lang w:val="lv-LV"/>
        </w:rPr>
      </w:pPr>
      <w:bookmarkStart w:id="81" w:name="_Toc499025328"/>
      <w:r>
        <w:rPr>
          <w:lang w:val="lv-LV"/>
        </w:rPr>
        <w:t>IZAUGSMI ATBALSTOŠAS TERITORIJAS</w:t>
      </w:r>
      <w:bookmarkEnd w:id="81"/>
    </w:p>
    <w:p w14:paraId="756116EF" w14:textId="77777777" w:rsidR="00EA53E3" w:rsidRPr="00EA53E3" w:rsidRDefault="00EA53E3" w:rsidP="00EA53E3">
      <w:pPr>
        <w:rPr>
          <w:rFonts w:ascii="Cambria" w:eastAsia="MS Mincho" w:hAnsi="Cambria"/>
          <w:b/>
          <w:szCs w:val="22"/>
          <w:u w:val="single"/>
          <w:lang w:val="lv-LV"/>
        </w:rPr>
      </w:pPr>
      <w:r w:rsidRPr="00EA53E3">
        <w:rPr>
          <w:rFonts w:ascii="Cambria" w:eastAsia="MS Mincho" w:hAnsi="Cambria"/>
          <w:b/>
          <w:szCs w:val="22"/>
          <w:u w:val="single"/>
          <w:lang w:val="lv-LV"/>
        </w:rPr>
        <w:t>Reģionālā attīstība</w:t>
      </w:r>
    </w:p>
    <w:p w14:paraId="28B9B52E" w14:textId="35D67052"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Turpināt darbu pie valsts administratīvi teritoriālā iedalījuma pilnveidošanas gan reģionālās, gan vietējās pārvaldes līmenī, noteikt</w:t>
      </w:r>
      <w:r w:rsidR="00AF3B25">
        <w:rPr>
          <w:rFonts w:ascii="Cambria" w:eastAsia="MS Mincho" w:hAnsi="Cambria"/>
          <w:szCs w:val="22"/>
          <w:lang w:val="lv-LV"/>
        </w:rPr>
        <w:t xml:space="preserve"> sadarbības teritoriju funkcionēšanas ietvaru</w:t>
      </w:r>
      <w:r w:rsidRPr="00EA53E3">
        <w:rPr>
          <w:rFonts w:ascii="Cambria" w:eastAsia="MS Mincho" w:hAnsi="Cambria"/>
          <w:szCs w:val="22"/>
          <w:lang w:val="lv-LV"/>
        </w:rPr>
        <w:t>. Pārskatīt funkciju sadalījumu starp valsti un pašvaldībām vispārējās izglītības, veselības aprūpes</w:t>
      </w:r>
      <w:r w:rsidR="000C0409">
        <w:rPr>
          <w:rFonts w:ascii="Cambria" w:eastAsia="MS Mincho" w:hAnsi="Cambria"/>
          <w:szCs w:val="22"/>
          <w:lang w:val="lv-LV"/>
        </w:rPr>
        <w:t>, publiskās infrastruktūras</w:t>
      </w:r>
      <w:r w:rsidRPr="00EA53E3">
        <w:rPr>
          <w:rFonts w:ascii="Cambria" w:eastAsia="MS Mincho" w:hAnsi="Cambria"/>
          <w:szCs w:val="22"/>
          <w:lang w:val="lv-LV"/>
        </w:rPr>
        <w:t xml:space="preserve"> un uzņēmējdarbības atbalsta jomās.</w:t>
      </w:r>
    </w:p>
    <w:p w14:paraId="77685DFB" w14:textId="77777777"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 xml:space="preserve">Formulēt būtiskākās sadarbības jomas un meklēt veiksmīgākās sadarbības formas starp valsti un pašvaldībām (prioritāri pakalpojumu (t.sk. izglītības, sociālās aprūpes, kultūras u.tml.) kvalitātes uzlabošanai, pieejamībai un sasniedzamībai, uzlabojot mobilitātes pakalpojuma kvalitāti). </w:t>
      </w:r>
    </w:p>
    <w:p w14:paraId="79EA4FD4" w14:textId="17811BE8"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lastRenderedPageBreak/>
        <w:t xml:space="preserve">Novērtēt nacionālo attīstības centru attīstības potenciālu, noteikt uzņēmējdarbības atbalsta resursus, vienlaikus izstrādājot </w:t>
      </w:r>
      <w:r w:rsidR="004F18C0">
        <w:rPr>
          <w:rFonts w:ascii="Cambria" w:eastAsia="MS Mincho" w:hAnsi="Cambria"/>
          <w:szCs w:val="22"/>
          <w:lang w:val="lv-LV"/>
        </w:rPr>
        <w:t xml:space="preserve">īpašu </w:t>
      </w:r>
      <w:r w:rsidRPr="00EA53E3">
        <w:rPr>
          <w:rFonts w:ascii="Cambria" w:eastAsia="MS Mincho" w:hAnsi="Cambria"/>
          <w:szCs w:val="22"/>
          <w:lang w:val="lv-LV"/>
        </w:rPr>
        <w:t>modeli nacionāl</w:t>
      </w:r>
      <w:r w:rsidR="00E93DA1">
        <w:rPr>
          <w:rFonts w:ascii="Cambria" w:eastAsia="MS Mincho" w:hAnsi="Cambria"/>
          <w:szCs w:val="22"/>
          <w:lang w:val="lv-LV"/>
        </w:rPr>
        <w:t xml:space="preserve">ās attīstības centru </w:t>
      </w:r>
      <w:r w:rsidR="004F18C0">
        <w:rPr>
          <w:rFonts w:ascii="Cambria" w:eastAsia="MS Mincho" w:hAnsi="Cambria"/>
          <w:szCs w:val="22"/>
          <w:lang w:val="lv-LV"/>
        </w:rPr>
        <w:t>kvalifikācijas kritērijiem</w:t>
      </w:r>
      <w:r w:rsidRPr="00EA53E3">
        <w:rPr>
          <w:rFonts w:ascii="Cambria" w:eastAsia="MS Mincho" w:hAnsi="Cambria"/>
          <w:szCs w:val="22"/>
          <w:lang w:val="lv-LV"/>
        </w:rPr>
        <w:t xml:space="preserve"> </w:t>
      </w:r>
      <w:r w:rsidR="004F18C0">
        <w:rPr>
          <w:rFonts w:ascii="Cambria" w:eastAsia="MS Mincho" w:hAnsi="Cambria"/>
          <w:szCs w:val="22"/>
          <w:lang w:val="lv-LV"/>
        </w:rPr>
        <w:t xml:space="preserve">turpmākai </w:t>
      </w:r>
      <w:r w:rsidRPr="00EA53E3">
        <w:rPr>
          <w:rFonts w:ascii="Cambria" w:eastAsia="MS Mincho" w:hAnsi="Cambria"/>
          <w:szCs w:val="22"/>
          <w:lang w:val="lv-LV"/>
        </w:rPr>
        <w:t xml:space="preserve"> </w:t>
      </w:r>
      <w:r w:rsidR="004F18C0">
        <w:rPr>
          <w:rFonts w:ascii="Cambria" w:eastAsia="MS Mincho" w:hAnsi="Cambria"/>
          <w:szCs w:val="22"/>
          <w:lang w:val="lv-LV"/>
        </w:rPr>
        <w:t xml:space="preserve">dotāciju saņemšanai no </w:t>
      </w:r>
      <w:r w:rsidRPr="00EA53E3">
        <w:rPr>
          <w:rFonts w:ascii="Cambria" w:eastAsia="MS Mincho" w:hAnsi="Cambria"/>
          <w:szCs w:val="22"/>
          <w:lang w:val="lv-LV"/>
        </w:rPr>
        <w:t>pašvaldību finanšu izlīdzin</w:t>
      </w:r>
      <w:r w:rsidR="004F18C0">
        <w:rPr>
          <w:rFonts w:ascii="Cambria" w:eastAsia="MS Mincho" w:hAnsi="Cambria"/>
          <w:szCs w:val="22"/>
          <w:lang w:val="lv-LV"/>
        </w:rPr>
        <w:t>āšanas fonda</w:t>
      </w:r>
      <w:r w:rsidRPr="00EA53E3">
        <w:rPr>
          <w:rFonts w:ascii="Cambria" w:eastAsia="MS Mincho" w:hAnsi="Cambria"/>
          <w:szCs w:val="22"/>
          <w:lang w:val="lv-LV"/>
        </w:rPr>
        <w:t>.</w:t>
      </w:r>
    </w:p>
    <w:p w14:paraId="468E4655" w14:textId="77777777"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 xml:space="preserve">Pilnveidot pašvaldību iespējas atbalstīt uzņēmējdarbību, radot vietējā mēroga atbalsta instrumentus uzņēmējdarbības attīstībai, kā arī attīstot pašvaldību speciālistu zināšanas un prasmes sadarbības ar uzņēmējiem veidošanai. Izveidot elastīgu ietvaru (piem., tematisko mērķi vai prioritāro virzienu) pašvaldību integrēto darbību īstenošanai, kas ļautu vairākām pašvaldībām kopā efektīvi un integrēti risināt aktuālos izaicinājumus tādās jomās kā uzņēmējdarbības attīstība, demogrāfiskie, vides, klimata u.c. izaicinājumi. </w:t>
      </w:r>
    </w:p>
    <w:p w14:paraId="67858AC0" w14:textId="5D1616B5"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Nodrošināt integrētu rīcību pilsētu</w:t>
      </w:r>
      <w:r w:rsidR="00820020">
        <w:rPr>
          <w:rFonts w:ascii="Cambria" w:eastAsia="MS Mincho" w:hAnsi="Cambria"/>
          <w:szCs w:val="22"/>
          <w:lang w:val="lv-LV"/>
        </w:rPr>
        <w:t xml:space="preserve"> un to areālu</w:t>
      </w:r>
      <w:r w:rsidRPr="00EA53E3">
        <w:rPr>
          <w:rFonts w:ascii="Cambria" w:eastAsia="MS Mincho" w:hAnsi="Cambria"/>
          <w:szCs w:val="22"/>
          <w:lang w:val="lv-LV"/>
        </w:rPr>
        <w:t xml:space="preserve"> ilgtspējīgai attīstībai, īpašu uzmanību koncentrējot Rīgas pilsētas areāla attīstībai</w:t>
      </w:r>
      <w:r w:rsidR="00242A68">
        <w:rPr>
          <w:rFonts w:ascii="Cambria" w:eastAsia="MS Mincho" w:hAnsi="Cambria"/>
          <w:szCs w:val="22"/>
          <w:lang w:val="lv-LV"/>
        </w:rPr>
        <w:t xml:space="preserve"> un publisko </w:t>
      </w:r>
      <w:r w:rsidR="009C0346">
        <w:rPr>
          <w:rFonts w:ascii="Cambria" w:eastAsia="MS Mincho" w:hAnsi="Cambria"/>
          <w:szCs w:val="22"/>
          <w:lang w:val="lv-LV"/>
        </w:rPr>
        <w:t>pakalpojumu integrētam piedāvājumam</w:t>
      </w:r>
      <w:r w:rsidRPr="00EA53E3">
        <w:rPr>
          <w:rFonts w:ascii="Cambria" w:eastAsia="MS Mincho" w:hAnsi="Cambria"/>
          <w:szCs w:val="22"/>
          <w:lang w:val="lv-LV"/>
        </w:rPr>
        <w:t>.</w:t>
      </w:r>
    </w:p>
    <w:p w14:paraId="38CF35E3" w14:textId="77777777" w:rsidR="009C0346" w:rsidRDefault="009C0346" w:rsidP="00EA53E3">
      <w:pPr>
        <w:rPr>
          <w:lang w:val="lv-LV"/>
        </w:rPr>
      </w:pPr>
    </w:p>
    <w:p w14:paraId="1200EE20" w14:textId="337208FA" w:rsidR="00EA53E3" w:rsidRPr="00EA53E3" w:rsidRDefault="00EA53E3" w:rsidP="00EA53E3">
      <w:pPr>
        <w:rPr>
          <w:rFonts w:ascii="Cambria" w:eastAsia="MS Mincho" w:hAnsi="Cambria"/>
          <w:b/>
          <w:szCs w:val="22"/>
          <w:u w:val="single"/>
          <w:lang w:val="lv-LV"/>
        </w:rPr>
      </w:pPr>
      <w:r w:rsidRPr="00EA53E3">
        <w:rPr>
          <w:rFonts w:ascii="Cambria" w:eastAsia="MS Mincho" w:hAnsi="Cambria"/>
          <w:b/>
          <w:szCs w:val="22"/>
          <w:u w:val="single"/>
          <w:lang w:val="lv-LV"/>
        </w:rPr>
        <w:t>IKT attīstība</w:t>
      </w:r>
    </w:p>
    <w:p w14:paraId="48BC0B21" w14:textId="77777777"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Veicināt atvērto datu pieejamību, pieejamo datu klāsta paplašināšanu un komercializāciju, ievērojot sensitīvo datu drošību.</w:t>
      </w:r>
    </w:p>
    <w:p w14:paraId="7103D218" w14:textId="77777777"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Ieviest vienotu valsts pārvaldes iestāžu IKT jautājuma pārvaldību, novēršot neefektīvu, saskaldītu līdzekļu izmantošanu, tai skaitā:</w:t>
      </w:r>
    </w:p>
    <w:p w14:paraId="3A9FCC25" w14:textId="77777777" w:rsidR="00EA53E3" w:rsidRPr="009C0346" w:rsidRDefault="00EA53E3" w:rsidP="00EA53E3">
      <w:pPr>
        <w:pStyle w:val="ListParagraph"/>
        <w:numPr>
          <w:ilvl w:val="0"/>
          <w:numId w:val="20"/>
        </w:numPr>
        <w:spacing w:line="264" w:lineRule="auto"/>
        <w:rPr>
          <w:rFonts w:ascii="Cambria" w:eastAsia="MS Mincho" w:hAnsi="Cambria"/>
          <w:szCs w:val="22"/>
          <w:lang w:val="lv-LV"/>
        </w:rPr>
      </w:pPr>
      <w:r w:rsidRPr="009C0346">
        <w:rPr>
          <w:rFonts w:ascii="Cambria" w:eastAsia="MS Mincho" w:hAnsi="Cambria"/>
          <w:szCs w:val="22"/>
          <w:lang w:val="lv-LV"/>
        </w:rPr>
        <w:t>nodrošinot centralizētu IKT projektu realizāciju – iestādes pasūta, bet VRAA realizē (sagatavo tehnisko specifikāciju, veic iepirkumu procesu, slēdz līgumus kontrolē izpildītājus utt.);</w:t>
      </w:r>
    </w:p>
    <w:p w14:paraId="1F6770CC" w14:textId="77777777" w:rsidR="00EA53E3" w:rsidRPr="009C0346" w:rsidRDefault="00EA53E3" w:rsidP="00EA53E3">
      <w:pPr>
        <w:pStyle w:val="ListParagraph"/>
        <w:numPr>
          <w:ilvl w:val="0"/>
          <w:numId w:val="20"/>
        </w:numPr>
        <w:spacing w:line="264" w:lineRule="auto"/>
        <w:rPr>
          <w:rFonts w:ascii="Cambria" w:eastAsia="MS Mincho" w:hAnsi="Cambria"/>
          <w:szCs w:val="22"/>
          <w:lang w:val="lv-LV"/>
        </w:rPr>
      </w:pPr>
      <w:r w:rsidRPr="009C0346">
        <w:rPr>
          <w:rFonts w:ascii="Cambria" w:eastAsia="MS Mincho" w:hAnsi="Cambria"/>
          <w:szCs w:val="22"/>
          <w:lang w:val="lv-LV"/>
        </w:rPr>
        <w:t>novēršot IKT aparatūras (</w:t>
      </w:r>
      <w:r w:rsidRPr="009C0346">
        <w:rPr>
          <w:rFonts w:ascii="Cambria" w:eastAsia="MS Mincho" w:hAnsi="Cambria"/>
          <w:i/>
          <w:szCs w:val="22"/>
          <w:lang w:val="lv-LV"/>
        </w:rPr>
        <w:t>hardware</w:t>
      </w:r>
      <w:r w:rsidRPr="009C0346">
        <w:rPr>
          <w:rFonts w:ascii="Cambria" w:eastAsia="MS Mincho" w:hAnsi="Cambria"/>
          <w:szCs w:val="22"/>
          <w:lang w:val="lv-LV"/>
        </w:rPr>
        <w:t>) un programmatūras (</w:t>
      </w:r>
      <w:r w:rsidRPr="009C0346">
        <w:rPr>
          <w:rFonts w:ascii="Cambria" w:eastAsia="MS Mincho" w:hAnsi="Cambria"/>
          <w:i/>
          <w:szCs w:val="22"/>
          <w:lang w:val="lv-LV"/>
        </w:rPr>
        <w:t>software</w:t>
      </w:r>
      <w:r w:rsidRPr="009C0346">
        <w:rPr>
          <w:rFonts w:ascii="Cambria" w:eastAsia="MS Mincho" w:hAnsi="Cambria"/>
          <w:szCs w:val="22"/>
          <w:lang w:val="lv-LV"/>
        </w:rPr>
        <w:t>) lietojuma sadrumstalotību valsts pārvaldes iestādēs.</w:t>
      </w:r>
    </w:p>
    <w:p w14:paraId="5E5F1547" w14:textId="77777777" w:rsidR="00EA53E3" w:rsidRPr="00EA53E3" w:rsidRDefault="00EA53E3" w:rsidP="00EA53E3">
      <w:pPr>
        <w:rPr>
          <w:rFonts w:ascii="Cambria" w:eastAsia="MS Mincho" w:hAnsi="Cambria"/>
          <w:szCs w:val="22"/>
          <w:lang w:val="lv-LV"/>
        </w:rPr>
      </w:pPr>
      <w:r w:rsidRPr="009C0346">
        <w:rPr>
          <w:rFonts w:ascii="Cambria" w:eastAsia="MS Mincho" w:hAnsi="Cambria"/>
          <w:szCs w:val="22"/>
          <w:lang w:val="lv-LV"/>
        </w:rPr>
        <w:t>Izvērtēt iespējas pārvaldes informācijas sistēmu transformēšanai</w:t>
      </w:r>
      <w:r w:rsidRPr="00EA53E3">
        <w:rPr>
          <w:rFonts w:ascii="Cambria" w:eastAsia="MS Mincho" w:hAnsi="Cambria"/>
          <w:szCs w:val="22"/>
          <w:lang w:val="lv-LV"/>
        </w:rPr>
        <w:t xml:space="preserve"> izmantošanai mākoņpakalpojumu vidē.</w:t>
      </w:r>
    </w:p>
    <w:p w14:paraId="00C03677" w14:textId="77777777"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 xml:space="preserve">Izvērtēt turpmākas valsts pārvaldes institūciju klientu klātienes apkalpošanas struktūru </w:t>
      </w:r>
      <w:r w:rsidRPr="00EA53E3">
        <w:rPr>
          <w:rFonts w:ascii="Cambria" w:eastAsia="MS Mincho" w:hAnsi="Cambria"/>
          <w:i/>
          <w:szCs w:val="22"/>
          <w:lang w:val="lv-LV"/>
        </w:rPr>
        <w:t>(front-office</w:t>
      </w:r>
      <w:r w:rsidRPr="00EA53E3">
        <w:rPr>
          <w:rFonts w:ascii="Cambria" w:eastAsia="MS Mincho" w:hAnsi="Cambria"/>
          <w:szCs w:val="22"/>
          <w:lang w:val="lv-LV"/>
        </w:rPr>
        <w:t>) optimizācijas iespējas, nododot klientu klātienes apkalpošanas funkciju Valsts un pašvaldību vienoto klientu apkalpošanas centru tīklam. Šobrīd nav vienotas pieejas iestāžu klātienes apkalpošanas struktūru organizēšanai.</w:t>
      </w:r>
    </w:p>
    <w:p w14:paraId="68F61565" w14:textId="2DAE7D63"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Izmantojot darba tirgus apsteidzošo pārkārtojumu sistēmu, novērtēt IKT jomas speciālistu pieprasījumu vidējā termiņā un ilgtermiņā, un, ņemot vērā uzņēmējdarbības un</w:t>
      </w:r>
      <w:r w:rsidR="009C0346">
        <w:rPr>
          <w:rFonts w:ascii="Cambria" w:eastAsia="MS Mincho" w:hAnsi="Cambria"/>
          <w:szCs w:val="22"/>
          <w:lang w:val="lv-LV"/>
        </w:rPr>
        <w:t xml:space="preserve"> nozaru attīstības perspektīvas.</w:t>
      </w:r>
    </w:p>
    <w:p w14:paraId="439FBD4D" w14:textId="77777777" w:rsidR="00EA53E3" w:rsidRPr="00EA53E3" w:rsidRDefault="00EA53E3" w:rsidP="00EA53E3">
      <w:pPr>
        <w:rPr>
          <w:rFonts w:ascii="Cambria" w:eastAsia="MS Mincho" w:hAnsi="Cambria"/>
          <w:sz w:val="10"/>
          <w:szCs w:val="10"/>
          <w:lang w:val="lv-LV"/>
        </w:rPr>
      </w:pPr>
    </w:p>
    <w:p w14:paraId="622E10B5" w14:textId="77777777" w:rsidR="00EA53E3" w:rsidRPr="00EA53E3" w:rsidRDefault="00EA53E3" w:rsidP="00EA53E3">
      <w:pPr>
        <w:rPr>
          <w:rFonts w:ascii="Cambria" w:eastAsia="MS Mincho" w:hAnsi="Cambria"/>
          <w:b/>
          <w:szCs w:val="22"/>
          <w:u w:val="single"/>
          <w:lang w:val="lv-LV"/>
        </w:rPr>
      </w:pPr>
      <w:r w:rsidRPr="00EA53E3">
        <w:rPr>
          <w:rFonts w:ascii="Cambria" w:eastAsia="MS Mincho" w:hAnsi="Cambria"/>
          <w:b/>
          <w:szCs w:val="22"/>
          <w:u w:val="single"/>
          <w:lang w:val="lv-LV"/>
        </w:rPr>
        <w:t>Atkritumu apsaimniekošanas nozares attīstība</w:t>
      </w:r>
    </w:p>
    <w:p w14:paraId="1C43D283" w14:textId="03F94812" w:rsidR="00EA53E3" w:rsidRPr="009C0346" w:rsidRDefault="00A010CA" w:rsidP="00EA53E3">
      <w:pPr>
        <w:rPr>
          <w:rFonts w:ascii="Cambria" w:eastAsia="MS Mincho" w:hAnsi="Cambria"/>
          <w:szCs w:val="22"/>
          <w:lang w:val="lv-LV"/>
        </w:rPr>
      </w:pPr>
      <w:r>
        <w:rPr>
          <w:rFonts w:ascii="Cambria" w:eastAsia="MS Mincho" w:hAnsi="Cambria"/>
          <w:szCs w:val="22"/>
          <w:lang w:val="lv-LV"/>
        </w:rPr>
        <w:t>E</w:t>
      </w:r>
      <w:r w:rsidR="00EA53E3" w:rsidRPr="00EA53E3">
        <w:rPr>
          <w:rFonts w:ascii="Cambria" w:eastAsia="MS Mincho" w:hAnsi="Cambria"/>
          <w:szCs w:val="22"/>
          <w:lang w:val="lv-LV"/>
        </w:rPr>
        <w:t xml:space="preserve">fektīvākajā veidā veikt </w:t>
      </w:r>
      <w:r w:rsidR="00EA53E3" w:rsidRPr="009C0346">
        <w:rPr>
          <w:rFonts w:ascii="Cambria" w:eastAsia="MS Mincho" w:hAnsi="Cambria"/>
          <w:szCs w:val="22"/>
          <w:lang w:val="lv-LV"/>
        </w:rPr>
        <w:t>ieguldījumus atkritumu šķirošanas rezultātu uzlabošanai (t.sk. izvērtējot vairākas alternatīvas, piemēram, PET pudeļu un citu dzērienu iepakojuma depozīta sistēmas izveide; biodegradablo atkritumu pārstrādes mobilo konteineru izvietošana publiski pieejamās vietās, u.tml.)</w:t>
      </w:r>
    </w:p>
    <w:p w14:paraId="70EFAE80" w14:textId="77777777" w:rsidR="00EA53E3" w:rsidRPr="00EA53E3" w:rsidRDefault="00EA53E3" w:rsidP="00EA53E3">
      <w:pPr>
        <w:rPr>
          <w:rFonts w:ascii="Cambria" w:eastAsia="MS Mincho" w:hAnsi="Cambria"/>
          <w:szCs w:val="22"/>
          <w:lang w:val="lv-LV"/>
        </w:rPr>
      </w:pPr>
      <w:r w:rsidRPr="009C0346">
        <w:rPr>
          <w:rFonts w:ascii="Cambria" w:eastAsia="MS Mincho" w:hAnsi="Cambria"/>
          <w:szCs w:val="22"/>
          <w:lang w:val="lv-LV"/>
        </w:rPr>
        <w:t>Veikt atkritumu šķirošanas popularizēšanu iedzīvotāju</w:t>
      </w:r>
      <w:r w:rsidRPr="00EA53E3">
        <w:rPr>
          <w:rFonts w:ascii="Cambria" w:eastAsia="MS Mincho" w:hAnsi="Cambria"/>
          <w:szCs w:val="22"/>
          <w:lang w:val="lv-LV"/>
        </w:rPr>
        <w:t xml:space="preserve"> vidū, lai nodrošinātu sabiedrības paradumu maiņu.  Izstrādāt, ieviest un popularizēt  mikro, t.sk. IKT risinājumus atkritumu radīšanas samazināšanai, šķirošanai un pārkāpumu fiksēšanai.</w:t>
      </w:r>
    </w:p>
    <w:p w14:paraId="36064635" w14:textId="77777777"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t>Vidi kontrolējošo dienestu darbības un kapacitātes uzlabošana, kā arī normatīvo aktu pilnveide, lai Latvijā neveidotos apkārtējo vidi un iedzīvotāju veselību apdraudošas nelegālās atkritumu krātuves, vienlaikus ieviešot jaunas tehnoloģijas un metodes sabiedrības iesaistei.</w:t>
      </w:r>
    </w:p>
    <w:p w14:paraId="29C033B3" w14:textId="77777777" w:rsidR="00EA53E3" w:rsidRPr="00EA53E3" w:rsidRDefault="00EA53E3" w:rsidP="00EA53E3">
      <w:pPr>
        <w:rPr>
          <w:rFonts w:ascii="Cambria" w:eastAsia="MS Mincho" w:hAnsi="Cambria"/>
          <w:szCs w:val="22"/>
          <w:lang w:val="lv-LV"/>
        </w:rPr>
      </w:pPr>
      <w:r w:rsidRPr="00EA53E3">
        <w:rPr>
          <w:rFonts w:ascii="Cambria" w:eastAsia="MS Mincho" w:hAnsi="Cambria"/>
          <w:szCs w:val="22"/>
          <w:lang w:val="lv-LV"/>
        </w:rPr>
        <w:lastRenderedPageBreak/>
        <w:t>Izstrādāt sistēmu sadarbībai ar zinātniskajām institūcijām par atkritumu pārstrādes iespēju attīstīšanu.</w:t>
      </w:r>
    </w:p>
    <w:p w14:paraId="4D8C28B4" w14:textId="77777777" w:rsidR="00EA53E3" w:rsidRPr="00EA53E3" w:rsidRDefault="00EA53E3" w:rsidP="00EA53E3">
      <w:pPr>
        <w:rPr>
          <w:rFonts w:ascii="Cambria" w:eastAsia="MS Mincho" w:hAnsi="Cambria"/>
          <w:sz w:val="10"/>
          <w:szCs w:val="10"/>
          <w:lang w:val="lv-LV"/>
        </w:rPr>
      </w:pPr>
    </w:p>
    <w:p w14:paraId="15025098" w14:textId="77777777" w:rsidR="00EA53E3" w:rsidRPr="00EA53E3" w:rsidRDefault="00EA53E3" w:rsidP="00EA53E3">
      <w:pPr>
        <w:rPr>
          <w:rFonts w:ascii="Cambria" w:eastAsia="MS Mincho" w:hAnsi="Cambria" w:cs="Calibri"/>
          <w:b/>
          <w:szCs w:val="22"/>
          <w:u w:val="single"/>
          <w:lang w:val="lv-LV"/>
        </w:rPr>
      </w:pPr>
      <w:r w:rsidRPr="00EA53E3">
        <w:rPr>
          <w:rFonts w:ascii="Cambria" w:eastAsia="MS Mincho" w:hAnsi="Cambria" w:cs="Calibri"/>
          <w:b/>
          <w:szCs w:val="22"/>
          <w:u w:val="single"/>
          <w:lang w:val="lv-LV"/>
        </w:rPr>
        <w:t>Transporta, tranzīta un satiksmes infrastruktūra</w:t>
      </w:r>
    </w:p>
    <w:p w14:paraId="14DA8A79" w14:textId="5A04C71D" w:rsidR="00EA53E3" w:rsidRPr="00EA53E3" w:rsidRDefault="00EA53E3" w:rsidP="00EA53E3">
      <w:pPr>
        <w:rPr>
          <w:rFonts w:ascii="Cambria" w:hAnsi="Cambria"/>
          <w:szCs w:val="22"/>
          <w:lang w:val="lv-LV"/>
        </w:rPr>
      </w:pPr>
      <w:r w:rsidRPr="00EA53E3">
        <w:rPr>
          <w:rFonts w:ascii="Cambria" w:hAnsi="Cambria"/>
          <w:szCs w:val="22"/>
          <w:lang w:val="lv-LV"/>
        </w:rPr>
        <w:t xml:space="preserve">Būtiski ir bez sarežģījumiem turpināt dzelzceļa projekta “Rail Baltica” ieviešanu, panākot maksimāli iespējamo ES finanšu atbalsta intensitāti un gala rezultātā nodrošinot Latvijas integrāciju ar ES dzelzceļa tīklu. </w:t>
      </w:r>
      <w:r w:rsidR="005C776B">
        <w:rPr>
          <w:rFonts w:ascii="Cambria" w:hAnsi="Cambria"/>
          <w:szCs w:val="22"/>
          <w:lang w:val="lv-LV"/>
        </w:rPr>
        <w:t>Svarīgi</w:t>
      </w:r>
      <w:r w:rsidRPr="00EA53E3">
        <w:rPr>
          <w:rFonts w:ascii="Cambria" w:hAnsi="Cambria"/>
          <w:szCs w:val="22"/>
          <w:lang w:val="lv-LV"/>
        </w:rPr>
        <w:t xml:space="preserve"> </w:t>
      </w:r>
      <w:r w:rsidR="005C776B">
        <w:rPr>
          <w:rFonts w:ascii="Cambria" w:hAnsi="Cambria"/>
          <w:szCs w:val="22"/>
          <w:lang w:val="lv-LV"/>
        </w:rPr>
        <w:t>sekmēt turpmāku</w:t>
      </w:r>
      <w:r w:rsidRPr="00EA53E3">
        <w:rPr>
          <w:rFonts w:ascii="Cambria" w:hAnsi="Cambria"/>
          <w:szCs w:val="22"/>
          <w:lang w:val="lv-LV"/>
        </w:rPr>
        <w:t xml:space="preserve"> Rīgas lidostas un nacionālās aviokompānijas “AirBaltic” attīstību, nodrošinot Latvijas starptautisko sasniedzamību, investīciju un tūristu piesaisti.</w:t>
      </w:r>
    </w:p>
    <w:p w14:paraId="1EFF00BA" w14:textId="0C4EF42A" w:rsidR="00EA53E3" w:rsidRPr="00EA53E3" w:rsidRDefault="00EA53E3" w:rsidP="00EA53E3">
      <w:pPr>
        <w:rPr>
          <w:rFonts w:ascii="Cambria" w:hAnsi="Cambria"/>
          <w:szCs w:val="22"/>
          <w:lang w:val="lv-LV"/>
        </w:rPr>
      </w:pPr>
      <w:r w:rsidRPr="00EA53E3">
        <w:rPr>
          <w:rFonts w:ascii="Cambria" w:hAnsi="Cambria"/>
          <w:szCs w:val="22"/>
          <w:lang w:val="lv-LV"/>
        </w:rPr>
        <w:t>Ostu un dzelzceļa infrastruktūras attīstības projektu īstenošana jāvērtē pēc to ekonomiskās atdeves potenciāla kontekstā ar kravu pārvadājumu prognozēm un panākumiem jaunu kravu piesaistē. Prioritāri atbalstāmi ieguldījumi, kas rada savstarpēju sinerģiju un pozitīvu ietekmi gan uz kravu, gan pasažieru pārvadājumiem. Lai saglabātu infrastruktūras apjomu un kvalitāti, nepieciešams nodrošināt skaidrus loģistikas piedāvājumus, kas definē konkurētspējīgus cenu un termiņu nosacījumus kravu pārvadājumam no Latvijas robežas līdz iekraušanai kuģos</w:t>
      </w:r>
      <w:r w:rsidR="00714211">
        <w:rPr>
          <w:rFonts w:ascii="Cambria" w:hAnsi="Cambria"/>
          <w:szCs w:val="22"/>
          <w:lang w:val="lv-LV"/>
        </w:rPr>
        <w:t xml:space="preserve"> un apstrādei loģistikas punktos</w:t>
      </w:r>
      <w:r w:rsidRPr="00EA53E3">
        <w:rPr>
          <w:rFonts w:ascii="Cambria" w:hAnsi="Cambria"/>
          <w:szCs w:val="22"/>
          <w:lang w:val="lv-LV"/>
        </w:rPr>
        <w:t xml:space="preserve">, vienlaikus nodrošinot samērojamus ieguvumus visiem loģistikas ķēdes dalībniekiem – LDZ un ostu teritorijās strādājošiem kravu termināliem. Šādu piedāvājumu izstrāde un aktīvs darbs kravu nosūtītāju piesaistei ir kritiski svarīgi esošo KF izcelsmes kravu apjomu noturēšanai un jaunu kravu </w:t>
      </w:r>
      <w:r w:rsidR="00714211">
        <w:rPr>
          <w:rFonts w:ascii="Cambria" w:hAnsi="Cambria"/>
          <w:szCs w:val="22"/>
          <w:lang w:val="lv-LV"/>
        </w:rPr>
        <w:t>piesaistīšanai</w:t>
      </w:r>
      <w:r w:rsidRPr="00EA53E3">
        <w:rPr>
          <w:rFonts w:ascii="Cambria" w:hAnsi="Cambria"/>
          <w:szCs w:val="22"/>
          <w:lang w:val="lv-LV"/>
        </w:rPr>
        <w:t>.</w:t>
      </w:r>
    </w:p>
    <w:p w14:paraId="199E1079" w14:textId="77777777" w:rsidR="00EA53E3" w:rsidRPr="00EA53E3" w:rsidRDefault="00EA53E3" w:rsidP="00EA53E3">
      <w:pPr>
        <w:rPr>
          <w:rFonts w:ascii="Cambria" w:hAnsi="Cambria"/>
          <w:szCs w:val="22"/>
          <w:lang w:val="lv-LV"/>
        </w:rPr>
      </w:pPr>
      <w:r w:rsidRPr="00647DB1">
        <w:rPr>
          <w:rFonts w:ascii="Cambria" w:hAnsi="Cambria"/>
          <w:szCs w:val="22"/>
          <w:lang w:val="lv-LV"/>
        </w:rPr>
        <w:t>Prioritāri sakārtot ceļus un nodrošināt ērtu sabiedrisko</w:t>
      </w:r>
      <w:r w:rsidRPr="00EA53E3">
        <w:rPr>
          <w:rFonts w:ascii="Cambria" w:hAnsi="Cambria"/>
          <w:szCs w:val="22"/>
          <w:lang w:val="lv-LV"/>
        </w:rPr>
        <w:t xml:space="preserve"> transportu starp nacionālas nozīmes centriem un reģionālas/novada nozīmes attīstības centriem, skatot to ciešā saistībā ar ekonomisko aktivitāti un darba vietu piedāvājumu, tādējādi radot priekšnosacījumus augstākai darbaspēka mobilitātei. Ieguldījumi jāveic primāri tikai to vietējo autoceļu sakārtošanā, kuru tuvumā atrodas tos izmantojošie novada nozīmes saimnieciskās darbības veicēji un nozīmīgs pašvaldības iedzīvotāju īpatsvars.</w:t>
      </w:r>
    </w:p>
    <w:p w14:paraId="5FEAA1E9" w14:textId="77777777" w:rsidR="00EA53E3" w:rsidRPr="00EA53E3" w:rsidRDefault="00EA53E3" w:rsidP="00EA53E3">
      <w:pPr>
        <w:rPr>
          <w:rFonts w:ascii="Cambria" w:hAnsi="Cambria"/>
          <w:szCs w:val="22"/>
          <w:lang w:val="lv-LV"/>
        </w:rPr>
      </w:pPr>
      <w:r w:rsidRPr="00EA53E3">
        <w:rPr>
          <w:rFonts w:ascii="Cambria" w:hAnsi="Cambria"/>
          <w:szCs w:val="22"/>
          <w:lang w:val="lv-LV"/>
        </w:rPr>
        <w:t>Teritorijās ar zemu iedzīvotāju blīvumu jāievieš uz pieprasījumu balstīts sabiedriskā transporta modelis, tai skaitā izmantojot privāto autotransportu.</w:t>
      </w:r>
    </w:p>
    <w:p w14:paraId="47524B13" w14:textId="77777777" w:rsidR="00EA53E3" w:rsidRPr="00EA53E3" w:rsidRDefault="00EA53E3" w:rsidP="00EA53E3">
      <w:pPr>
        <w:rPr>
          <w:rFonts w:ascii="Cambria" w:eastAsia="MS Mincho" w:hAnsi="Cambria"/>
          <w:b/>
          <w:sz w:val="10"/>
          <w:szCs w:val="10"/>
          <w:u w:val="single"/>
          <w:lang w:val="lv-LV"/>
        </w:rPr>
      </w:pPr>
    </w:p>
    <w:p w14:paraId="3B16F32A" w14:textId="3A690B96" w:rsidR="00EA53E3" w:rsidRPr="00EA53E3" w:rsidRDefault="00EA53E3" w:rsidP="00EA53E3">
      <w:pPr>
        <w:pStyle w:val="Heading2"/>
        <w:rPr>
          <w:lang w:val="lv-LV"/>
        </w:rPr>
      </w:pPr>
      <w:bookmarkStart w:id="82" w:name="_Toc499025329"/>
      <w:r w:rsidRPr="00EA53E3">
        <w:rPr>
          <w:lang w:val="lv-LV"/>
        </w:rPr>
        <w:t>IEKŠĒJĀ DROŠĪBA UN AIZSARDZĪBA</w:t>
      </w:r>
      <w:bookmarkEnd w:id="82"/>
    </w:p>
    <w:p w14:paraId="7A7B753C" w14:textId="77777777" w:rsidR="00EA53E3" w:rsidRPr="00EA53E3" w:rsidRDefault="00EA53E3" w:rsidP="00EA53E3">
      <w:pPr>
        <w:rPr>
          <w:rFonts w:ascii="Cambria" w:hAnsi="Cambria"/>
          <w:szCs w:val="22"/>
          <w:lang w:val="lv-LV"/>
        </w:rPr>
      </w:pPr>
      <w:r w:rsidRPr="00647DB1">
        <w:rPr>
          <w:rFonts w:ascii="Cambria" w:hAnsi="Cambria"/>
          <w:szCs w:val="22"/>
          <w:lang w:val="lv-LV"/>
        </w:rPr>
        <w:t>Nodrošināt mērķtiecīgu aizsardzības</w:t>
      </w:r>
      <w:r w:rsidRPr="00EA53E3">
        <w:rPr>
          <w:rFonts w:ascii="Cambria" w:hAnsi="Cambria"/>
          <w:szCs w:val="22"/>
          <w:lang w:val="lv-LV"/>
        </w:rPr>
        <w:t xml:space="preserve"> nozares sadarbību ar Latvijas zinātniekiem, lai izstrādātu un ieviestu ražošanā eksportspējīgus inovatīvus tehnoloģiskos risinājumus militārām, pretizlūkošanas un drošības vajadzībām. Nozares sadarbība ar zinātniekiem ir priekšnoteikums nišas produktu eksportam. Izvērtējot noteiktas kvalifikācijas speciālistu piedāvājumu darba tirgū, kā arī ņemot vērā darba tirgus vajadzības, izstrādāt vidēja termiņa viedo imigrācijas plānu, lai īstenotu valsts nacionālām interesēm atbilstošu rīcību kontrolētai augstākā līmeņa speciālistu piesaistei no latviskai identitātei, mentalitātei un kultūrai radniecīgām Eiropas un trešajām valstīm citviet jomās, kurās ir vērojams darbaspēka trūkums.</w:t>
      </w:r>
    </w:p>
    <w:p w14:paraId="6D4D7CF9" w14:textId="77777777" w:rsidR="00EA53E3" w:rsidRPr="00EA53E3" w:rsidRDefault="00EA53E3" w:rsidP="00EA53E3">
      <w:pPr>
        <w:pStyle w:val="ListParagraph"/>
        <w:numPr>
          <w:ilvl w:val="0"/>
          <w:numId w:val="20"/>
        </w:numPr>
        <w:spacing w:line="264" w:lineRule="auto"/>
        <w:rPr>
          <w:rFonts w:ascii="Cambria" w:hAnsi="Cambria"/>
          <w:szCs w:val="22"/>
          <w:lang w:val="lv-LV"/>
        </w:rPr>
      </w:pPr>
      <w:r w:rsidRPr="00EA53E3">
        <w:rPr>
          <w:rFonts w:ascii="Cambria" w:hAnsi="Cambria"/>
          <w:szCs w:val="22"/>
          <w:lang w:val="lv-LV"/>
        </w:rPr>
        <w:t>Darba tirgus vajadzību apzināšana un novērtēšana, t.sk. teritoriālā griezumā;</w:t>
      </w:r>
    </w:p>
    <w:p w14:paraId="50C0582A" w14:textId="77777777" w:rsidR="00EA53E3" w:rsidRPr="00EA53E3" w:rsidRDefault="00EA53E3" w:rsidP="00EA53E3">
      <w:pPr>
        <w:pStyle w:val="ListParagraph"/>
        <w:numPr>
          <w:ilvl w:val="0"/>
          <w:numId w:val="20"/>
        </w:numPr>
        <w:spacing w:line="264" w:lineRule="auto"/>
        <w:rPr>
          <w:rFonts w:ascii="Cambria" w:hAnsi="Cambria"/>
          <w:szCs w:val="22"/>
          <w:lang w:val="lv-LV"/>
        </w:rPr>
      </w:pPr>
      <w:r w:rsidRPr="00EA53E3">
        <w:rPr>
          <w:rFonts w:ascii="Cambria" w:hAnsi="Cambria"/>
          <w:szCs w:val="22"/>
          <w:lang w:val="lv-LV"/>
        </w:rPr>
        <w:t>Prioritāro izcelsmes valstu identificēšana augstākā līmeņa speciālistu piesaistei;</w:t>
      </w:r>
    </w:p>
    <w:p w14:paraId="7E0318E6" w14:textId="77777777" w:rsidR="00EA53E3" w:rsidRPr="00EA53E3" w:rsidRDefault="00EA53E3" w:rsidP="00EA53E3">
      <w:pPr>
        <w:pStyle w:val="ListParagraph"/>
        <w:numPr>
          <w:ilvl w:val="0"/>
          <w:numId w:val="20"/>
        </w:numPr>
        <w:spacing w:line="264" w:lineRule="auto"/>
        <w:rPr>
          <w:rFonts w:ascii="Cambria" w:hAnsi="Cambria"/>
          <w:szCs w:val="22"/>
          <w:lang w:val="lv-LV"/>
        </w:rPr>
      </w:pPr>
      <w:r w:rsidRPr="00EA53E3">
        <w:rPr>
          <w:rFonts w:ascii="Cambria" w:hAnsi="Cambria"/>
          <w:szCs w:val="22"/>
          <w:lang w:val="lv-LV"/>
        </w:rPr>
        <w:t>Novērtēt sabiedrības gatavību un spēju integrēt pēc lieluma, etniskā sastāva un reliģiskās piederības atšķirīgas imigrantu kopienas, veicot analīzi etniskā un reģionālā griezumā;</w:t>
      </w:r>
    </w:p>
    <w:p w14:paraId="57DF20FF" w14:textId="77777777" w:rsidR="00EA53E3" w:rsidRPr="00EA53E3" w:rsidRDefault="00EA53E3" w:rsidP="00EA53E3">
      <w:pPr>
        <w:pStyle w:val="ListParagraph"/>
        <w:numPr>
          <w:ilvl w:val="0"/>
          <w:numId w:val="20"/>
        </w:numPr>
        <w:spacing w:line="264" w:lineRule="auto"/>
        <w:rPr>
          <w:rFonts w:ascii="Cambria" w:hAnsi="Cambria"/>
          <w:szCs w:val="22"/>
          <w:lang w:val="lv-LV"/>
        </w:rPr>
      </w:pPr>
      <w:r w:rsidRPr="00EA53E3">
        <w:rPr>
          <w:rFonts w:ascii="Cambria" w:hAnsi="Cambria"/>
          <w:szCs w:val="22"/>
          <w:lang w:val="lv-LV"/>
        </w:rPr>
        <w:t>Augstākās izglītības eksporta potenciāla novērtēšana un taktiskās rīcības pilnveide, lai piesaistītu izglītojamus speciālistus darba tirgus vajadzībām atbilstošās nozarēs un profesijās;</w:t>
      </w:r>
    </w:p>
    <w:p w14:paraId="2601B0C7" w14:textId="77777777" w:rsidR="00EA53E3" w:rsidRPr="00EA53E3" w:rsidRDefault="00EA53E3" w:rsidP="00EA53E3">
      <w:pPr>
        <w:pStyle w:val="ListParagraph"/>
        <w:numPr>
          <w:ilvl w:val="0"/>
          <w:numId w:val="20"/>
        </w:numPr>
        <w:spacing w:line="264" w:lineRule="auto"/>
        <w:rPr>
          <w:rFonts w:ascii="Cambria" w:hAnsi="Cambria"/>
          <w:szCs w:val="22"/>
          <w:lang w:val="lv-LV"/>
        </w:rPr>
      </w:pPr>
      <w:r w:rsidRPr="00EA53E3">
        <w:rPr>
          <w:rFonts w:ascii="Cambria" w:hAnsi="Cambria"/>
          <w:szCs w:val="22"/>
          <w:lang w:val="lv-LV"/>
        </w:rPr>
        <w:t>Citu tīklu un kanālu iesaiste kontrolētai augstākā līmeņa speciālistu piesaistei.</w:t>
      </w:r>
    </w:p>
    <w:p w14:paraId="29E7897A" w14:textId="77777777" w:rsidR="00EA53E3" w:rsidRPr="00EA53E3" w:rsidRDefault="00EA53E3" w:rsidP="00EA53E3">
      <w:pPr>
        <w:rPr>
          <w:rFonts w:ascii="Cambria" w:hAnsi="Cambria"/>
          <w:szCs w:val="22"/>
          <w:lang w:val="lv-LV"/>
        </w:rPr>
      </w:pPr>
      <w:r w:rsidRPr="00EA53E3">
        <w:rPr>
          <w:rFonts w:ascii="Cambria" w:hAnsi="Cambria"/>
          <w:szCs w:val="22"/>
          <w:lang w:val="lv-LV"/>
        </w:rPr>
        <w:lastRenderedPageBreak/>
        <w:t xml:space="preserve">Palielināt Iekšlietu ministrijas dienestu profesijas prestižu, pilnveidojot amatpersonu izglītības un kvalifikācijas paaugstināšanas sistēmu, kā arī piesaistot dienestam kvalificētus speciālistus, lai nodrošinātu sabiedrības vajadzībām atbilstošu iekšējās drošības un aizsardzības līmeni. </w:t>
      </w:r>
    </w:p>
    <w:p w14:paraId="3291D63A" w14:textId="3D977855" w:rsidR="00EA53E3" w:rsidRPr="00EA53E3" w:rsidRDefault="00EA53E3" w:rsidP="00EA53E3">
      <w:pPr>
        <w:rPr>
          <w:rFonts w:ascii="Cambria" w:hAnsi="Cambria"/>
          <w:szCs w:val="22"/>
          <w:lang w:val="lv-LV"/>
        </w:rPr>
      </w:pPr>
      <w:r w:rsidRPr="00EA53E3">
        <w:rPr>
          <w:rFonts w:ascii="Cambria" w:hAnsi="Cambria"/>
          <w:szCs w:val="22"/>
          <w:lang w:val="lv-LV"/>
        </w:rPr>
        <w:t xml:space="preserve">Ņemot vērā, ka ārpolitiskās norises un ģeopolitiskie riski var radīt arvien jaunus drošības izaicinājumus, atbildīgajiem dienestiem </w:t>
      </w:r>
      <w:r w:rsidRPr="00647DB1">
        <w:rPr>
          <w:rFonts w:ascii="Cambria" w:hAnsi="Cambria"/>
          <w:szCs w:val="22"/>
          <w:lang w:val="lv-LV"/>
        </w:rPr>
        <w:t>nepieciešams pilnveidot iespējamo drošības risku prognozēšanu, vadību un novēršanu ilgtermiņā, attīstot arī operatīvās reaģēšanas spējas uz aktuālajiem drošības riskiem un izaicinājumiem</w:t>
      </w:r>
      <w:r w:rsidR="00262ECC" w:rsidRPr="00647DB1">
        <w:rPr>
          <w:rFonts w:ascii="Cambria" w:hAnsi="Cambria"/>
          <w:szCs w:val="22"/>
          <w:lang w:val="lv-LV"/>
        </w:rPr>
        <w:t xml:space="preserve"> un komunikāciju ar sabiedrību</w:t>
      </w:r>
      <w:r w:rsidRPr="00647DB1">
        <w:rPr>
          <w:rFonts w:ascii="Cambria" w:hAnsi="Cambria"/>
          <w:szCs w:val="22"/>
          <w:lang w:val="lv-LV"/>
        </w:rPr>
        <w:t>.</w:t>
      </w:r>
    </w:p>
    <w:p w14:paraId="1FD43ECC" w14:textId="77777777" w:rsidR="00EA53E3" w:rsidRPr="00EA53E3" w:rsidRDefault="00EA53E3" w:rsidP="00EA53E3">
      <w:pPr>
        <w:pStyle w:val="ListParagraph"/>
        <w:numPr>
          <w:ilvl w:val="0"/>
          <w:numId w:val="20"/>
        </w:numPr>
        <w:spacing w:line="264" w:lineRule="auto"/>
        <w:rPr>
          <w:rFonts w:ascii="Cambria" w:hAnsi="Cambria"/>
          <w:szCs w:val="22"/>
          <w:lang w:val="lv-LV"/>
        </w:rPr>
      </w:pPr>
      <w:r w:rsidRPr="00EA53E3">
        <w:rPr>
          <w:rFonts w:ascii="Cambria" w:hAnsi="Cambria"/>
          <w:szCs w:val="22"/>
          <w:lang w:val="lv-LV"/>
        </w:rPr>
        <w:t>Materiālo rezervju novērtēšana, papildināšana un gatavība krīzes situācijām;</w:t>
      </w:r>
    </w:p>
    <w:p w14:paraId="2C79D5C7" w14:textId="77777777" w:rsidR="00EA53E3" w:rsidRPr="00EA53E3" w:rsidRDefault="00EA53E3" w:rsidP="00EA53E3">
      <w:pPr>
        <w:pStyle w:val="ListParagraph"/>
        <w:numPr>
          <w:ilvl w:val="0"/>
          <w:numId w:val="20"/>
        </w:numPr>
        <w:spacing w:line="264" w:lineRule="auto"/>
        <w:rPr>
          <w:rFonts w:ascii="Cambria" w:hAnsi="Cambria"/>
          <w:szCs w:val="22"/>
          <w:lang w:val="lv-LV"/>
        </w:rPr>
      </w:pPr>
      <w:r w:rsidRPr="00EA53E3">
        <w:rPr>
          <w:rFonts w:ascii="Cambria" w:hAnsi="Cambria"/>
          <w:szCs w:val="22"/>
          <w:lang w:val="lv-LV"/>
        </w:rPr>
        <w:t>Epidemioloģiskās drošības gatavības pārbaude, t.i., novērtēt dienestu gatavību un resursus infekciju slimību straujas izplatības un epidēmijas gadījumos;</w:t>
      </w:r>
    </w:p>
    <w:p w14:paraId="79A10C31" w14:textId="05D2D938" w:rsidR="00D41EEC" w:rsidRPr="001E0D0E" w:rsidRDefault="00EA53E3" w:rsidP="00B27DD4">
      <w:pPr>
        <w:pStyle w:val="ListParagraph"/>
        <w:numPr>
          <w:ilvl w:val="0"/>
          <w:numId w:val="20"/>
        </w:numPr>
        <w:spacing w:line="264" w:lineRule="auto"/>
        <w:rPr>
          <w:rFonts w:ascii="Cambria" w:hAnsi="Cambria"/>
          <w:szCs w:val="22"/>
          <w:lang w:val="lv-LV"/>
        </w:rPr>
      </w:pPr>
      <w:r w:rsidRPr="00EA53E3">
        <w:rPr>
          <w:rFonts w:ascii="Cambria" w:hAnsi="Cambria"/>
          <w:szCs w:val="22"/>
          <w:lang w:val="lv-LV"/>
        </w:rPr>
        <w:t>Novērtēt dienestu gatavību un resursus nelegālo imigrantu pastiprinātas plūsmas gadījumā.</w:t>
      </w:r>
    </w:p>
    <w:sectPr w:rsidR="00D41EEC" w:rsidRPr="001E0D0E" w:rsidSect="00A05830">
      <w:footerReference w:type="default" r:id="rId83"/>
      <w:pgSz w:w="11900" w:h="16840"/>
      <w:pgMar w:top="1440" w:right="1800" w:bottom="1440" w:left="1800" w:header="907" w:footer="624"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412127" w16cid:durableId="1DBD85DE"/>
  <w16cid:commentId w16cid:paraId="0D2D890D" w16cid:durableId="1DBD85E4"/>
  <w16cid:commentId w16cid:paraId="5611BB64" w16cid:durableId="1DBD85EE"/>
  <w16cid:commentId w16cid:paraId="1C411B08" w16cid:durableId="1DBD85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A940F" w14:textId="77777777" w:rsidR="00CA1425" w:rsidRDefault="00CA1425" w:rsidP="00C736EC">
      <w:pPr>
        <w:spacing w:before="0" w:after="0"/>
      </w:pPr>
      <w:r>
        <w:separator/>
      </w:r>
    </w:p>
  </w:endnote>
  <w:endnote w:type="continuationSeparator" w:id="0">
    <w:p w14:paraId="2460E1D6" w14:textId="77777777" w:rsidR="00CA1425" w:rsidRDefault="00CA1425" w:rsidP="00C736E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honar Bangla">
    <w:charset w:val="00"/>
    <w:family w:val="swiss"/>
    <w:pitch w:val="variable"/>
    <w:sig w:usb0="0001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eiryo">
    <w:charset w:val="80"/>
    <w:family w:val="swiss"/>
    <w:pitch w:val="variable"/>
    <w:sig w:usb0="E10102FF" w:usb1="EAC7FFFF" w:usb2="00010012" w:usb3="00000000" w:csb0="0002009F" w:csb1="00000000"/>
  </w:font>
  <w:font w:name="source_sans_proregular">
    <w:altName w:val="Times New Roman"/>
    <w:panose1 w:val="00000000000000000000"/>
    <w:charset w:val="00"/>
    <w:family w:val="roman"/>
    <w:notTrueType/>
    <w:pitch w:val="default"/>
  </w:font>
  <w:font w:name="Verdana">
    <w:panose1 w:val="020B0604030504040204"/>
    <w:charset w:val="BA"/>
    <w:family w:val="swiss"/>
    <w:pitch w:val="variable"/>
    <w:sig w:usb0="A1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Candara">
    <w:panose1 w:val="020E0502030303020204"/>
    <w:charset w:val="BA"/>
    <w:family w:val="swiss"/>
    <w:pitch w:val="variable"/>
    <w:sig w:usb0="A00002EF" w:usb1="4000A44B"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28677"/>
      <w:docPartObj>
        <w:docPartGallery w:val="Page Numbers (Bottom of Page)"/>
        <w:docPartUnique/>
      </w:docPartObj>
    </w:sdtPr>
    <w:sdtEndPr>
      <w:rPr>
        <w:noProof/>
      </w:rPr>
    </w:sdtEndPr>
    <w:sdtContent>
      <w:p w14:paraId="6240BBD1" w14:textId="7E42AE4F" w:rsidR="00A05830" w:rsidRDefault="00A05830">
        <w:pPr>
          <w:pStyle w:val="Footer"/>
          <w:jc w:val="center"/>
        </w:pPr>
        <w:r>
          <w:fldChar w:fldCharType="begin"/>
        </w:r>
        <w:r>
          <w:instrText xml:space="preserve"> PAGE   \* MERGEFORMAT </w:instrText>
        </w:r>
        <w:r>
          <w:fldChar w:fldCharType="separate"/>
        </w:r>
        <w:r w:rsidR="00585749">
          <w:rPr>
            <w:noProof/>
          </w:rPr>
          <w:t>21</w:t>
        </w:r>
        <w:r>
          <w:rPr>
            <w:noProof/>
          </w:rPr>
          <w:fldChar w:fldCharType="end"/>
        </w:r>
      </w:p>
    </w:sdtContent>
  </w:sdt>
  <w:p w14:paraId="1282273B" w14:textId="77777777" w:rsidR="00A05830" w:rsidRDefault="00A058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1F977" w14:textId="77777777" w:rsidR="00CA1425" w:rsidRDefault="00CA1425" w:rsidP="00C736EC">
      <w:pPr>
        <w:spacing w:before="0" w:after="0"/>
      </w:pPr>
      <w:r>
        <w:separator/>
      </w:r>
    </w:p>
  </w:footnote>
  <w:footnote w:type="continuationSeparator" w:id="0">
    <w:p w14:paraId="6314473A" w14:textId="77777777" w:rsidR="00CA1425" w:rsidRDefault="00CA1425" w:rsidP="00C736EC">
      <w:pPr>
        <w:spacing w:before="0" w:after="0"/>
      </w:pPr>
      <w:r>
        <w:continuationSeparator/>
      </w:r>
    </w:p>
  </w:footnote>
  <w:footnote w:id="1">
    <w:p w14:paraId="46385F8D" w14:textId="77777777" w:rsidR="0047559B" w:rsidRPr="00677143" w:rsidRDefault="0047559B" w:rsidP="00677143">
      <w:pPr>
        <w:pStyle w:val="FootnoteText"/>
        <w:jc w:val="both"/>
        <w:rPr>
          <w:rStyle w:val="InternetLink"/>
          <w:rFonts w:asciiTheme="minorHAnsi" w:hAnsiTheme="minorHAnsi" w:cs="Times New Roman"/>
          <w:sz w:val="18"/>
          <w:szCs w:val="18"/>
        </w:rPr>
      </w:pPr>
      <w:r w:rsidRPr="00677143">
        <w:rPr>
          <w:rStyle w:val="FootnoteReference"/>
          <w:rFonts w:asciiTheme="minorHAnsi" w:hAnsiTheme="minorHAnsi" w:cs="Times New Roman"/>
          <w:sz w:val="18"/>
          <w:szCs w:val="18"/>
        </w:rPr>
        <w:footnoteRef/>
      </w:r>
      <w:r w:rsidRPr="00677143">
        <w:rPr>
          <w:rFonts w:asciiTheme="minorHAnsi" w:hAnsiTheme="minorHAnsi" w:cs="Times New Roman"/>
          <w:sz w:val="18"/>
          <w:szCs w:val="18"/>
        </w:rPr>
        <w:t xml:space="preserve">Deklarācija par Laimdotas Straujumas vadītā Ministru kabineta iecerēto darbību, 2014. </w:t>
      </w:r>
      <w:r w:rsidRPr="00677143">
        <w:rPr>
          <w:rFonts w:asciiTheme="minorHAnsi" w:hAnsiTheme="minorHAnsi" w:cs="Times New Roman"/>
          <w:sz w:val="18"/>
          <w:szCs w:val="18"/>
        </w:rPr>
        <w:br/>
      </w:r>
      <w:hyperlink r:id="rId1">
        <w:r w:rsidRPr="00677143">
          <w:rPr>
            <w:rStyle w:val="InternetLink"/>
            <w:rFonts w:asciiTheme="minorHAnsi" w:hAnsiTheme="minorHAnsi" w:cs="Times New Roman"/>
            <w:sz w:val="18"/>
            <w:szCs w:val="18"/>
          </w:rPr>
          <w:t>http://www.pkc.gov.lv/sites/default/files/inline-files/LS_MK_deklaracija.pdf</w:t>
        </w:r>
      </w:hyperlink>
    </w:p>
  </w:footnote>
  <w:footnote w:id="2">
    <w:p w14:paraId="7BB67D62" w14:textId="77777777" w:rsidR="0047559B" w:rsidRPr="00677143" w:rsidRDefault="0047559B" w:rsidP="00677143">
      <w:pPr>
        <w:pStyle w:val="FootnoteText"/>
        <w:jc w:val="both"/>
        <w:rPr>
          <w:rFonts w:asciiTheme="minorHAnsi" w:hAnsiTheme="minorHAnsi" w:cs="Times New Roman"/>
          <w:sz w:val="18"/>
          <w:szCs w:val="18"/>
        </w:rPr>
      </w:pPr>
      <w:r w:rsidRPr="00677143">
        <w:rPr>
          <w:rStyle w:val="FootnoteReference"/>
          <w:rFonts w:asciiTheme="minorHAnsi" w:hAnsiTheme="minorHAnsi" w:cs="Times New Roman"/>
          <w:sz w:val="18"/>
          <w:szCs w:val="18"/>
        </w:rPr>
        <w:footnoteRef/>
      </w:r>
      <w:r w:rsidRPr="00677143">
        <w:rPr>
          <w:rFonts w:asciiTheme="minorHAnsi" w:hAnsiTheme="minorHAnsi" w:cs="Times New Roman"/>
          <w:sz w:val="18"/>
          <w:szCs w:val="18"/>
        </w:rPr>
        <w:t xml:space="preserve"> Valsts aizsardzības finansēšanas likums - </w:t>
      </w:r>
      <w:hyperlink r:id="rId2">
        <w:r w:rsidRPr="00677143">
          <w:rPr>
            <w:rStyle w:val="InternetLink"/>
            <w:rFonts w:asciiTheme="minorHAnsi" w:hAnsiTheme="minorHAnsi" w:cs="Times New Roman"/>
            <w:sz w:val="18"/>
            <w:szCs w:val="18"/>
          </w:rPr>
          <w:t>https://likumi.lv/doc.php?id=267469</w:t>
        </w:r>
      </w:hyperlink>
      <w:r w:rsidRPr="00677143">
        <w:rPr>
          <w:rFonts w:asciiTheme="minorHAnsi" w:hAnsiTheme="minorHAnsi" w:cs="Times New Roman"/>
          <w:sz w:val="18"/>
          <w:szCs w:val="18"/>
        </w:rPr>
        <w:t xml:space="preserve"> </w:t>
      </w:r>
    </w:p>
  </w:footnote>
  <w:footnote w:id="3">
    <w:p w14:paraId="22F51EA6" w14:textId="77777777" w:rsidR="0047559B" w:rsidRPr="0039360B" w:rsidRDefault="0047559B" w:rsidP="00677143">
      <w:pPr>
        <w:pStyle w:val="FootnoteText"/>
        <w:rPr>
          <w:rStyle w:val="InternetLink"/>
          <w:rFonts w:cs="Times New Roman"/>
          <w:sz w:val="18"/>
          <w:szCs w:val="18"/>
        </w:rPr>
      </w:pPr>
      <w:r w:rsidRPr="00677143">
        <w:rPr>
          <w:rStyle w:val="FootnoteReference"/>
          <w:rFonts w:asciiTheme="minorHAnsi" w:hAnsiTheme="minorHAnsi" w:cs="Times New Roman"/>
          <w:sz w:val="18"/>
          <w:szCs w:val="18"/>
        </w:rPr>
        <w:footnoteRef/>
      </w:r>
      <w:r w:rsidRPr="00677143">
        <w:rPr>
          <w:rFonts w:asciiTheme="minorHAnsi" w:hAnsiTheme="minorHAnsi" w:cs="Times New Roman"/>
          <w:sz w:val="18"/>
          <w:szCs w:val="18"/>
        </w:rPr>
        <w:t xml:space="preserve"> Latvijas ilgtspējīgas attīstības stratēģijas līdz 2030.gadam, Nacionālā attīstības plāna2014.–2020. gadam un Deklarācijas par Laimdotas Straujumas vadītā Ministru kabineta iecerēto darbību. Īstenošanas uzraudzības ziņojums, 2015. </w:t>
      </w:r>
      <w:r w:rsidRPr="00677143">
        <w:rPr>
          <w:rFonts w:asciiTheme="minorHAnsi" w:hAnsiTheme="minorHAnsi" w:cs="Times New Roman"/>
          <w:sz w:val="18"/>
          <w:szCs w:val="18"/>
        </w:rPr>
        <w:br/>
      </w:r>
      <w:hyperlink r:id="rId3">
        <w:r w:rsidRPr="00677143">
          <w:rPr>
            <w:rStyle w:val="InternetLink"/>
            <w:rFonts w:asciiTheme="minorHAnsi" w:hAnsiTheme="minorHAnsi" w:cs="Times New Roman"/>
            <w:sz w:val="18"/>
            <w:szCs w:val="18"/>
          </w:rPr>
          <w:t>http://www.pkc.gov.lv/sites/default/files/inline-files/MPzin_07092015_Uzraudzibas_zinojums_4.pdf</w:t>
        </w:r>
      </w:hyperlink>
    </w:p>
  </w:footnote>
  <w:footnote w:id="4">
    <w:p w14:paraId="30A59E7F" w14:textId="77777777" w:rsidR="0047559B" w:rsidRPr="00677143" w:rsidRDefault="0047559B" w:rsidP="00677143">
      <w:pPr>
        <w:pStyle w:val="FootnoteText"/>
        <w:jc w:val="both"/>
        <w:rPr>
          <w:rFonts w:asciiTheme="minorHAnsi" w:hAnsiTheme="minorHAnsi" w:cs="Times New Roman"/>
          <w:sz w:val="18"/>
          <w:szCs w:val="18"/>
        </w:rPr>
      </w:pPr>
      <w:r w:rsidRPr="00677143">
        <w:rPr>
          <w:rStyle w:val="FootnoteReference"/>
          <w:rFonts w:asciiTheme="minorHAnsi" w:hAnsiTheme="minorHAnsi" w:cs="Times New Roman"/>
          <w:sz w:val="18"/>
          <w:szCs w:val="18"/>
        </w:rPr>
        <w:footnoteRef/>
      </w:r>
      <w:r w:rsidRPr="00677143">
        <w:rPr>
          <w:rFonts w:asciiTheme="minorHAnsi" w:hAnsiTheme="minorHAnsi" w:cs="Times New Roman"/>
          <w:sz w:val="18"/>
          <w:szCs w:val="18"/>
        </w:rPr>
        <w:t xml:space="preserve"> Ministru prezidenta pārskats Saeimai par nacionālo drošību, 2015</w:t>
      </w:r>
    </w:p>
  </w:footnote>
  <w:footnote w:id="5">
    <w:p w14:paraId="5CBE3FF5" w14:textId="77777777" w:rsidR="0047559B" w:rsidRPr="00677143" w:rsidRDefault="0047559B" w:rsidP="00677143">
      <w:pPr>
        <w:pStyle w:val="FootnoteText"/>
        <w:jc w:val="both"/>
        <w:rPr>
          <w:rStyle w:val="InternetLink"/>
          <w:rFonts w:asciiTheme="minorHAnsi" w:hAnsiTheme="minorHAnsi" w:cs="Times New Roman"/>
          <w:sz w:val="18"/>
          <w:szCs w:val="18"/>
        </w:rPr>
      </w:pPr>
      <w:r w:rsidRPr="00677143">
        <w:rPr>
          <w:rStyle w:val="FootnoteReference"/>
          <w:rFonts w:asciiTheme="minorHAnsi" w:hAnsiTheme="minorHAnsi" w:cs="Times New Roman"/>
          <w:sz w:val="18"/>
          <w:szCs w:val="18"/>
        </w:rPr>
        <w:footnoteRef/>
      </w:r>
      <w:r w:rsidRPr="00677143">
        <w:rPr>
          <w:rFonts w:asciiTheme="minorHAnsi" w:hAnsiTheme="minorHAnsi" w:cs="Times New Roman"/>
          <w:sz w:val="18"/>
          <w:szCs w:val="18"/>
        </w:rPr>
        <w:t xml:space="preserve">Deklarācija par Māra Kučinska vadītā Ministru kabineta iecerēto darbību, 2016. </w:t>
      </w:r>
      <w:hyperlink r:id="rId4">
        <w:r w:rsidRPr="00677143">
          <w:rPr>
            <w:rStyle w:val="InternetLink"/>
            <w:rFonts w:asciiTheme="minorHAnsi" w:hAnsiTheme="minorHAnsi" w:cs="Times New Roman"/>
            <w:sz w:val="18"/>
            <w:szCs w:val="18"/>
          </w:rPr>
          <w:t>http://www.pkc.gov.lv/sites/default/files/inline-files/20160210_MKucinskis_Deklaracija.pdf</w:t>
        </w:r>
      </w:hyperlink>
    </w:p>
  </w:footnote>
  <w:footnote w:id="6">
    <w:p w14:paraId="09A88155" w14:textId="77777777" w:rsidR="0047559B" w:rsidRPr="00677143" w:rsidRDefault="0047559B" w:rsidP="00677143">
      <w:pPr>
        <w:pStyle w:val="FootnoteText"/>
        <w:jc w:val="both"/>
        <w:rPr>
          <w:rFonts w:asciiTheme="minorHAnsi" w:hAnsiTheme="minorHAnsi" w:cs="Times New Roman"/>
          <w:sz w:val="18"/>
          <w:szCs w:val="18"/>
        </w:rPr>
      </w:pPr>
      <w:r w:rsidRPr="00677143">
        <w:rPr>
          <w:rStyle w:val="FootnoteReference"/>
          <w:rFonts w:asciiTheme="minorHAnsi" w:hAnsiTheme="minorHAnsi"/>
          <w:sz w:val="18"/>
          <w:szCs w:val="18"/>
        </w:rPr>
        <w:footnoteRef/>
      </w:r>
      <w:r w:rsidRPr="00677143">
        <w:rPr>
          <w:rFonts w:asciiTheme="minorHAnsi" w:hAnsiTheme="minorHAnsi"/>
          <w:sz w:val="18"/>
          <w:szCs w:val="18"/>
        </w:rPr>
        <w:t xml:space="preserve"> </w:t>
      </w:r>
      <w:r w:rsidRPr="00677143">
        <w:rPr>
          <w:rFonts w:asciiTheme="minorHAnsi" w:hAnsiTheme="minorHAnsi" w:cs="Times New Roman"/>
          <w:sz w:val="18"/>
          <w:szCs w:val="18"/>
        </w:rPr>
        <w:t>Ministru prezidenta pārskats Saeimai par nacionālo drošību, 2015</w:t>
      </w:r>
    </w:p>
  </w:footnote>
  <w:footnote w:id="7">
    <w:p w14:paraId="20765FDD" w14:textId="77777777" w:rsidR="0047559B" w:rsidRPr="00BA21D4" w:rsidRDefault="0047559B" w:rsidP="00677143">
      <w:pPr>
        <w:pStyle w:val="FootnoteText"/>
        <w:rPr>
          <w:rStyle w:val="InternetLink"/>
          <w:rFonts w:cs="Times New Roman"/>
          <w:sz w:val="18"/>
          <w:szCs w:val="18"/>
        </w:rPr>
      </w:pPr>
      <w:r w:rsidRPr="00677143">
        <w:rPr>
          <w:rStyle w:val="FootnoteReference"/>
          <w:rFonts w:asciiTheme="minorHAnsi" w:hAnsiTheme="minorHAnsi" w:cs="Times New Roman"/>
          <w:sz w:val="18"/>
          <w:szCs w:val="18"/>
        </w:rPr>
        <w:footnoteRef/>
      </w:r>
      <w:r w:rsidRPr="00677143">
        <w:rPr>
          <w:rFonts w:asciiTheme="minorHAnsi" w:hAnsiTheme="minorHAnsi" w:cs="Times New Roman"/>
          <w:sz w:val="18"/>
          <w:szCs w:val="18"/>
        </w:rPr>
        <w:t xml:space="preserve"> Ministru prezidenta M.Kučinska ikgadējais ziņojums Saeimai par Ministru kabineta paveikto un iecerēto darbību, 2017. </w:t>
      </w:r>
      <w:hyperlink r:id="rId5">
        <w:r w:rsidRPr="00677143">
          <w:rPr>
            <w:rStyle w:val="InternetLink"/>
            <w:rFonts w:asciiTheme="minorHAnsi" w:hAnsiTheme="minorHAnsi" w:cs="Times New Roman"/>
            <w:sz w:val="18"/>
            <w:szCs w:val="18"/>
          </w:rPr>
          <w:t>http://titania.saeima.lv/LIVS12/saeimalivs_lmp.nsf/0/7F00CC80354C1541C22580DB00517BB4?OpenDocument</w:t>
        </w:r>
      </w:hyperlink>
    </w:p>
  </w:footnote>
  <w:footnote w:id="8">
    <w:p w14:paraId="760EED56" w14:textId="77777777" w:rsidR="0047559B" w:rsidRPr="00EB0BD3" w:rsidRDefault="0047559B" w:rsidP="00677143">
      <w:pPr>
        <w:pStyle w:val="FootnoteText"/>
        <w:rPr>
          <w:rFonts w:asciiTheme="minorHAnsi" w:hAnsiTheme="minorHAnsi"/>
          <w:sz w:val="18"/>
          <w:szCs w:val="18"/>
        </w:rPr>
      </w:pPr>
      <w:r w:rsidRPr="00EB0BD3">
        <w:rPr>
          <w:rStyle w:val="FootnoteReference"/>
          <w:rFonts w:asciiTheme="minorHAnsi" w:hAnsiTheme="minorHAnsi"/>
          <w:sz w:val="18"/>
          <w:szCs w:val="18"/>
        </w:rPr>
        <w:footnoteRef/>
      </w:r>
      <w:r w:rsidRPr="00EB0BD3">
        <w:rPr>
          <w:rFonts w:asciiTheme="minorHAnsi" w:hAnsiTheme="minorHAnsi"/>
          <w:sz w:val="18"/>
          <w:szCs w:val="18"/>
        </w:rPr>
        <w:t xml:space="preserve"> „NAP prioritāšu, rīcības virzienu un uzdevumu indikatīvā finanšu ietvara izvērsums atbalstītām darbībām”.</w:t>
      </w:r>
    </w:p>
  </w:footnote>
  <w:footnote w:id="9">
    <w:p w14:paraId="35B3E79E" w14:textId="77777777" w:rsidR="0047559B" w:rsidRPr="007E6882" w:rsidRDefault="0047559B" w:rsidP="00677143">
      <w:pPr>
        <w:pStyle w:val="FootnoteText"/>
        <w:rPr>
          <w:rFonts w:asciiTheme="minorHAnsi" w:hAnsiTheme="minorHAnsi"/>
          <w:sz w:val="18"/>
          <w:szCs w:val="18"/>
        </w:rPr>
      </w:pPr>
      <w:r w:rsidRPr="007E6882">
        <w:rPr>
          <w:rStyle w:val="FootnoteReference"/>
          <w:rFonts w:asciiTheme="minorHAnsi" w:hAnsiTheme="minorHAnsi"/>
          <w:sz w:val="18"/>
          <w:szCs w:val="18"/>
        </w:rPr>
        <w:footnoteRef/>
      </w:r>
      <w:r w:rsidRPr="007E6882">
        <w:rPr>
          <w:rFonts w:asciiTheme="minorHAnsi" w:hAnsiTheme="minorHAnsi"/>
          <w:sz w:val="18"/>
          <w:szCs w:val="18"/>
        </w:rPr>
        <w:t xml:space="preserve"> T.sk. 2016.gada neatliekamie pasākumi</w:t>
      </w:r>
    </w:p>
  </w:footnote>
  <w:footnote w:id="10">
    <w:p w14:paraId="4A1BD9E6" w14:textId="77777777" w:rsidR="0047559B" w:rsidRPr="00E2189D" w:rsidRDefault="0047559B" w:rsidP="00E2189D">
      <w:pPr>
        <w:pStyle w:val="FootnoteText"/>
        <w:jc w:val="both"/>
        <w:rPr>
          <w:rFonts w:asciiTheme="minorHAnsi" w:hAnsiTheme="minorHAnsi"/>
          <w:sz w:val="18"/>
          <w:szCs w:val="18"/>
        </w:rPr>
      </w:pPr>
      <w:r w:rsidRPr="00E2189D">
        <w:rPr>
          <w:rStyle w:val="FootnoteReference"/>
          <w:rFonts w:asciiTheme="minorHAnsi" w:hAnsiTheme="minorHAnsi"/>
          <w:sz w:val="18"/>
          <w:szCs w:val="18"/>
        </w:rPr>
        <w:footnoteRef/>
      </w:r>
      <w:r w:rsidRPr="00E2189D">
        <w:rPr>
          <w:rFonts w:asciiTheme="minorHAnsi" w:hAnsiTheme="minorHAnsi"/>
          <w:sz w:val="18"/>
          <w:szCs w:val="18"/>
        </w:rPr>
        <w:t xml:space="preserve"> </w:t>
      </w:r>
      <w:r w:rsidRPr="00E2189D">
        <w:rPr>
          <w:rFonts w:asciiTheme="minorHAnsi" w:hAnsiTheme="minorHAnsi" w:cs="Times New Roman"/>
          <w:sz w:val="18"/>
          <w:szCs w:val="18"/>
        </w:rPr>
        <w:t>Kopējais sākotnēji plānotais finansējums atbilstoši NAP2020 finansēšanas tabulā norādītajam sākotnēji plānotajam finansējumam atbalstāmo rīcības virzienu īstenošanai</w:t>
      </w:r>
    </w:p>
  </w:footnote>
  <w:footnote w:id="11">
    <w:p w14:paraId="29832C8A" w14:textId="77777777" w:rsidR="0047559B" w:rsidRPr="00E2189D" w:rsidRDefault="0047559B" w:rsidP="00E2189D">
      <w:pPr>
        <w:pStyle w:val="FootnoteText"/>
        <w:jc w:val="both"/>
        <w:rPr>
          <w:rFonts w:asciiTheme="minorHAnsi" w:hAnsiTheme="minorHAnsi" w:cs="Times New Roman"/>
          <w:sz w:val="18"/>
          <w:szCs w:val="18"/>
        </w:rPr>
      </w:pPr>
      <w:r w:rsidRPr="00E2189D">
        <w:rPr>
          <w:rStyle w:val="FootnoteReference"/>
          <w:rFonts w:asciiTheme="minorHAnsi" w:hAnsiTheme="minorHAnsi" w:cs="Times New Roman"/>
          <w:sz w:val="18"/>
          <w:szCs w:val="18"/>
        </w:rPr>
        <w:footnoteRef/>
      </w:r>
      <w:r w:rsidRPr="00E2189D">
        <w:rPr>
          <w:rFonts w:asciiTheme="minorHAnsi" w:hAnsiTheme="minorHAnsi" w:cs="Times New Roman"/>
          <w:sz w:val="18"/>
          <w:szCs w:val="18"/>
        </w:rPr>
        <w:t xml:space="preserve"> Ziņojuma izstrādes laikā apzinātās faktiski veiktās investīcijas un turpmākajos periodos veicamās investīcijas no visiem NAP2020 finansēšanas avotiem</w:t>
      </w:r>
    </w:p>
  </w:footnote>
  <w:footnote w:id="12">
    <w:p w14:paraId="285077C3" w14:textId="77777777" w:rsidR="0047559B" w:rsidRPr="00E2189D" w:rsidRDefault="0047559B" w:rsidP="00E2189D">
      <w:pPr>
        <w:pStyle w:val="FootnoteText"/>
        <w:jc w:val="both"/>
        <w:rPr>
          <w:rFonts w:asciiTheme="minorHAnsi" w:hAnsiTheme="minorHAnsi" w:cs="Times New Roman"/>
          <w:sz w:val="18"/>
          <w:szCs w:val="18"/>
        </w:rPr>
      </w:pPr>
      <w:r w:rsidRPr="00E2189D">
        <w:rPr>
          <w:rStyle w:val="FootnoteReference"/>
          <w:rFonts w:asciiTheme="minorHAnsi" w:hAnsiTheme="minorHAnsi" w:cs="Times New Roman"/>
          <w:sz w:val="18"/>
          <w:szCs w:val="18"/>
        </w:rPr>
        <w:footnoteRef/>
      </w:r>
      <w:r w:rsidRPr="00E2189D">
        <w:rPr>
          <w:rFonts w:asciiTheme="minorHAnsi" w:hAnsiTheme="minorHAnsi" w:cs="Times New Roman"/>
          <w:sz w:val="18"/>
          <w:szCs w:val="18"/>
        </w:rPr>
        <w:t xml:space="preserve"> Kopējais ES fondu 2014-2020 periodā pieejamais finansējums, kas attiecināms uz NAP2020 (t.sk. ELFLA un EJZF), bez līdzfinansējuma un tehniskās palīdzības</w:t>
      </w:r>
    </w:p>
  </w:footnote>
  <w:footnote w:id="13">
    <w:p w14:paraId="320F2E36" w14:textId="77777777" w:rsidR="0047559B" w:rsidRPr="00E2189D" w:rsidRDefault="0047559B" w:rsidP="00E2189D">
      <w:pPr>
        <w:pStyle w:val="FootnoteText"/>
        <w:jc w:val="both"/>
        <w:rPr>
          <w:rFonts w:asciiTheme="minorHAnsi" w:hAnsiTheme="minorHAnsi" w:cs="Times New Roman"/>
          <w:sz w:val="18"/>
          <w:szCs w:val="18"/>
        </w:rPr>
      </w:pPr>
      <w:r w:rsidRPr="00E2189D">
        <w:rPr>
          <w:rStyle w:val="FootnoteReference"/>
          <w:rFonts w:asciiTheme="minorHAnsi" w:hAnsiTheme="minorHAnsi" w:cs="Times New Roman"/>
          <w:sz w:val="18"/>
          <w:szCs w:val="18"/>
        </w:rPr>
        <w:footnoteRef/>
      </w:r>
      <w:r w:rsidRPr="00E2189D">
        <w:rPr>
          <w:rFonts w:asciiTheme="minorHAnsi" w:hAnsiTheme="minorHAnsi" w:cs="Times New Roman"/>
          <w:sz w:val="18"/>
          <w:szCs w:val="18"/>
        </w:rPr>
        <w:t xml:space="preserve"> Faktiski veiktās un turpmākajos periodos veicamās investīcijas no valsts budžeta, pašvaldību budžetiem un privātajiem finansēšanas avotiem, t.sk. ES fondu līdzfinansējumi</w:t>
      </w:r>
    </w:p>
  </w:footnote>
  <w:footnote w:id="14">
    <w:p w14:paraId="05D9F205" w14:textId="77777777" w:rsidR="0047559B" w:rsidRPr="00E2189D" w:rsidRDefault="0047559B" w:rsidP="00E2189D">
      <w:pPr>
        <w:pStyle w:val="FootnoteText"/>
        <w:rPr>
          <w:rFonts w:asciiTheme="minorHAnsi" w:hAnsiTheme="minorHAnsi"/>
          <w:sz w:val="18"/>
          <w:szCs w:val="18"/>
        </w:rPr>
      </w:pPr>
      <w:r w:rsidRPr="00E2189D">
        <w:rPr>
          <w:rStyle w:val="FootnoteReference"/>
          <w:rFonts w:asciiTheme="minorHAnsi" w:hAnsiTheme="minorHAnsi"/>
          <w:sz w:val="18"/>
          <w:szCs w:val="18"/>
        </w:rPr>
        <w:footnoteRef/>
      </w:r>
      <w:r w:rsidRPr="00E2189D">
        <w:rPr>
          <w:rFonts w:asciiTheme="minorHAnsi" w:hAnsiTheme="minorHAnsi"/>
          <w:sz w:val="18"/>
          <w:szCs w:val="18"/>
        </w:rPr>
        <w:t xml:space="preserve"> </w:t>
      </w:r>
      <w:r w:rsidRPr="00E2189D">
        <w:rPr>
          <w:rFonts w:asciiTheme="minorHAnsi" w:hAnsiTheme="minorHAnsi" w:cs="Times New Roman"/>
          <w:sz w:val="18"/>
          <w:szCs w:val="18"/>
        </w:rPr>
        <w:t>CEF, Horizon, EEZ u.c. ārvalstu finansējuma avoti</w:t>
      </w:r>
    </w:p>
  </w:footnote>
  <w:footnote w:id="15">
    <w:p w14:paraId="49D39662" w14:textId="77777777" w:rsidR="0047559B" w:rsidRPr="00195A36" w:rsidRDefault="0047559B" w:rsidP="005200A9">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8.3.6.1.pasākums “Dalība starptautiskos pētījumos”</w:t>
      </w:r>
    </w:p>
  </w:footnote>
  <w:footnote w:id="16">
    <w:p w14:paraId="553D0C76" w14:textId="77777777" w:rsidR="0047559B" w:rsidRPr="00195A36" w:rsidRDefault="0047559B" w:rsidP="005200A9">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8.2.3.SAM “Nodrošināt labāku pārvaldību augstākās izglītības institūcijās”</w:t>
      </w:r>
    </w:p>
  </w:footnote>
  <w:footnote w:id="17">
    <w:p w14:paraId="32A27BF8" w14:textId="77777777" w:rsidR="0047559B" w:rsidRPr="00195A36" w:rsidRDefault="0047559B" w:rsidP="00C736EC">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1.1.1.2.pasākums “Pēcdoktorantūras pētniecības atbalsts”</w:t>
      </w:r>
    </w:p>
  </w:footnote>
  <w:footnote w:id="18">
    <w:p w14:paraId="1E7A9CD5" w14:textId="77777777" w:rsidR="0047559B" w:rsidRPr="00195A36" w:rsidRDefault="0047559B" w:rsidP="00C736EC">
      <w:pPr>
        <w:pStyle w:val="FootnoteText"/>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1.1.1.5.pasākums “Atbalsts starptautiskās sadarbības projektiem pētniecībā un inovācijās”</w:t>
      </w:r>
    </w:p>
  </w:footnote>
  <w:footnote w:id="19">
    <w:p w14:paraId="04753ABD" w14:textId="77777777" w:rsidR="0047559B" w:rsidRPr="00195A36" w:rsidRDefault="0047559B" w:rsidP="0075165E">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8.2.4.SAM “Nodrošināt atbalstu EQAR aģentūrai izvirzīto prasību izpildei”</w:t>
      </w:r>
    </w:p>
  </w:footnote>
  <w:footnote w:id="20">
    <w:p w14:paraId="205B0D33" w14:textId="77777777" w:rsidR="0047559B" w:rsidRPr="00195A36" w:rsidRDefault="0047559B" w:rsidP="0075165E">
      <w:pPr>
        <w:pStyle w:val="FootnoteText"/>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i/>
          <w:sz w:val="18"/>
          <w:szCs w:val="18"/>
        </w:rPr>
        <w:t>European Quality Assurance Register for Higher Education</w:t>
      </w:r>
      <w:r w:rsidRPr="00195A36">
        <w:rPr>
          <w:rFonts w:ascii="Cambria" w:hAnsi="Cambria" w:cstheme="minorHAnsi"/>
          <w:sz w:val="18"/>
          <w:szCs w:val="18"/>
        </w:rPr>
        <w:t xml:space="preserve"> – EQAR</w:t>
      </w:r>
    </w:p>
  </w:footnote>
  <w:footnote w:id="21">
    <w:p w14:paraId="60161B44" w14:textId="77777777" w:rsidR="0047559B" w:rsidRPr="00195A36" w:rsidRDefault="0047559B" w:rsidP="0075165E">
      <w:pPr>
        <w:pStyle w:val="FootnoteText"/>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Augstākās izglītības kvalitātes aģentūra (Akadēmiskās informācijas centra departaments)</w:t>
      </w:r>
    </w:p>
  </w:footnote>
  <w:footnote w:id="22">
    <w:p w14:paraId="4A1C896A" w14:textId="77777777" w:rsidR="0047559B" w:rsidRPr="00195A36" w:rsidRDefault="0047559B" w:rsidP="00BC782A">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1.1.1.3.pasākums “Inovāciju granti studentiem”</w:t>
      </w:r>
    </w:p>
  </w:footnote>
  <w:footnote w:id="23">
    <w:p w14:paraId="43D07AE7" w14:textId="77777777" w:rsidR="0047559B" w:rsidRPr="00195A36" w:rsidRDefault="0047559B" w:rsidP="00BC782A">
      <w:pPr>
        <w:pStyle w:val="FootnoteText"/>
        <w:jc w:val="both"/>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8.1.4.SAM “Uzlabot pirmā līmeņa profesionālās augstākās izglītības STEM, tajā skaitā medicīnas un radošās industrijas, studiju mācību vidi koledžās”</w:t>
      </w:r>
    </w:p>
  </w:footnote>
  <w:footnote w:id="24">
    <w:p w14:paraId="3007D021" w14:textId="77777777" w:rsidR="0047559B" w:rsidRPr="00195A36" w:rsidRDefault="0047559B" w:rsidP="00BC782A">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8.1.1.SAM “Palielināt modernizēto STEM, tajā skaitā medicīnas un radošās industrijas, studiju programmu skaitu”</w:t>
      </w:r>
    </w:p>
  </w:footnote>
  <w:footnote w:id="25">
    <w:p w14:paraId="4004B18B" w14:textId="77777777" w:rsidR="0047559B" w:rsidRPr="00195A36" w:rsidRDefault="0047559B" w:rsidP="00C736EC">
      <w:pPr>
        <w:pStyle w:val="FootnoteText"/>
        <w:jc w:val="both"/>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 xml:space="preserve">Ministru kabineta 2013.gada 20.novembra rīkojums Nr.551 “Par prioritārajiem virzieniem zinātnē 2014.–2017.gadā” </w:t>
      </w:r>
    </w:p>
  </w:footnote>
  <w:footnote w:id="26">
    <w:p w14:paraId="0F1C0A8D" w14:textId="77777777" w:rsidR="0047559B" w:rsidRPr="00195A36" w:rsidRDefault="0047559B" w:rsidP="00C736EC">
      <w:pPr>
        <w:pStyle w:val="FootnoteText"/>
        <w:jc w:val="both"/>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1.1.1.4.pasākums “P&amp;A infrastruktūras attīstīšana Viedās specializācijas jomās un zinātnisko institūciju institucionālās kapacitātes stiprināšana”</w:t>
      </w:r>
    </w:p>
  </w:footnote>
  <w:footnote w:id="27">
    <w:p w14:paraId="57F96016" w14:textId="77777777" w:rsidR="0047559B" w:rsidRPr="00195A36" w:rsidRDefault="0047559B" w:rsidP="004964EE">
      <w:pPr>
        <w:pStyle w:val="FootnoteText"/>
        <w:jc w:val="both"/>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2.2.1.1.pasākums “Centralizētu publiskās pārvaldes IKT platformu izveide, publiskās pārvaldes procesu optimizēšana un attīstība”</w:t>
      </w:r>
    </w:p>
  </w:footnote>
  <w:footnote w:id="28">
    <w:p w14:paraId="6ECE59AB" w14:textId="77777777" w:rsidR="0047559B" w:rsidRPr="00195A36" w:rsidRDefault="0047559B" w:rsidP="00315B1F">
      <w:pPr>
        <w:pStyle w:val="FootnoteText"/>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Paaugstināt bezdarbnieku kvalifikāciju un prasmes atbilstoši darba tirgus pieprasījumam (SAM 7.1.1)</w:t>
      </w:r>
    </w:p>
  </w:footnote>
  <w:footnote w:id="29">
    <w:p w14:paraId="7D52F95E" w14:textId="77777777" w:rsidR="0047559B" w:rsidRPr="00195A36" w:rsidRDefault="0047559B" w:rsidP="00315B1F">
      <w:pPr>
        <w:pStyle w:val="FootnoteText"/>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"Subsidētās darbavietas nelabvēlīgākā situācijā esošiem bezdarbniekiem" (SAM 9.1.1.1.)</w:t>
      </w:r>
    </w:p>
  </w:footnote>
  <w:footnote w:id="30">
    <w:p w14:paraId="73358774" w14:textId="77777777" w:rsidR="0047559B" w:rsidRPr="00195A36" w:rsidRDefault="0047559B" w:rsidP="00315B1F">
      <w:pPr>
        <w:pStyle w:val="FootnoteText"/>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Ilgstošo bezdarbnieku aktivizācijas pasākumi (SAM 9.1.1.2.)</w:t>
      </w:r>
    </w:p>
  </w:footnote>
  <w:footnote w:id="31">
    <w:p w14:paraId="679A542A" w14:textId="77777777" w:rsidR="0047559B" w:rsidRPr="00195A36" w:rsidRDefault="0047559B" w:rsidP="00315B1F">
      <w:pPr>
        <w:pStyle w:val="FootnoteText"/>
        <w:rPr>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“Paildzināt gados vecāku nodarbināto darbspēju saglabāšanu un nodarbinātību” SAM 7.3.2</w:t>
      </w:r>
    </w:p>
  </w:footnote>
  <w:footnote w:id="32">
    <w:p w14:paraId="269BC62C" w14:textId="77777777" w:rsidR="0047559B" w:rsidRPr="00195A36" w:rsidRDefault="0047559B" w:rsidP="00812D35">
      <w:pPr>
        <w:pStyle w:val="FootnoteText"/>
        <w:jc w:val="both"/>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Palielināt bijušo ieslodzīto integrāciju sabiedrībā un darba tirgū 9.1.2.SAM</w:t>
      </w:r>
    </w:p>
  </w:footnote>
  <w:footnote w:id="33">
    <w:p w14:paraId="410E4393" w14:textId="77777777" w:rsidR="0047559B" w:rsidRPr="00195A36" w:rsidRDefault="0047559B" w:rsidP="00812D35">
      <w:pPr>
        <w:pStyle w:val="FootnoteText"/>
        <w:jc w:val="both"/>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NEET – angl.</w:t>
      </w:r>
      <w:r w:rsidRPr="00195A36">
        <w:rPr>
          <w:rFonts w:asciiTheme="minorHAnsi" w:hAnsiTheme="minorHAnsi"/>
          <w:i/>
          <w:sz w:val="18"/>
          <w:szCs w:val="18"/>
        </w:rPr>
        <w:t xml:space="preserve"> Not in Education Employment or Training</w:t>
      </w:r>
      <w:r w:rsidRPr="00195A36">
        <w:rPr>
          <w:rFonts w:asciiTheme="minorHAnsi" w:hAnsiTheme="minorHAnsi"/>
          <w:sz w:val="18"/>
          <w:szCs w:val="18"/>
        </w:rPr>
        <w:t xml:space="preserve"> </w:t>
      </w:r>
    </w:p>
  </w:footnote>
  <w:footnote w:id="34">
    <w:p w14:paraId="5B434414" w14:textId="77777777" w:rsidR="0047559B" w:rsidRPr="00195A36" w:rsidRDefault="0047559B" w:rsidP="00812D35">
      <w:pPr>
        <w:pStyle w:val="FootnoteText"/>
        <w:jc w:val="both"/>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w:t>
      </w:r>
      <w:r w:rsidRPr="00195A36">
        <w:rPr>
          <w:rFonts w:asciiTheme="minorHAnsi" w:hAnsiTheme="minorHAnsi"/>
          <w:i/>
          <w:sz w:val="18"/>
          <w:szCs w:val="18"/>
        </w:rPr>
        <w:t>Informatīvais ziņojums par jauniešu garantijas programmas īstenošanu</w:t>
      </w:r>
      <w:r w:rsidRPr="00195A36">
        <w:rPr>
          <w:rFonts w:asciiTheme="minorHAnsi" w:hAnsiTheme="minorHAnsi"/>
          <w:sz w:val="18"/>
          <w:szCs w:val="18"/>
        </w:rPr>
        <w:t xml:space="preserve"> (apstiprināts MK 2017.g. 25. aprīlī). </w:t>
      </w:r>
    </w:p>
  </w:footnote>
  <w:footnote w:id="35">
    <w:p w14:paraId="3E979FC3" w14:textId="77777777" w:rsidR="0047559B" w:rsidRPr="00195A36" w:rsidRDefault="0047559B" w:rsidP="00812D35">
      <w:pPr>
        <w:pStyle w:val="FootnoteText"/>
        <w:jc w:val="both"/>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7.2.1.1.SAM “Aktīvās darba tirgus politikas pasākumu īstenošana jauniešu bezdarbnieku nodarbinātības veicināšanai;  7.2.1.2. SAM “Sākotnējās profesionālās izglītības programmu īstenošana garantijas jauniešiem sistēmas ietvaros”; 7.2.1.3. SAM “Jauniešu garantijas pasākumu īstenošaa pēc 2018.gada”; SAM Attīstīt NVA nereģistrēto NEET jauniešu prasmes un veicināt to iesaisti izglītībā, NVA īstenotajos pasākumos jauniešu garantijas ietvaros un nevalstisko organizāciju vai jauniešu centru darbībā; skat arī uzdevumu 8.3.4.SAM “Samazināt priekšlaicīgu mācību pārtraukšanu, īstenojot preventīvus un intervences pasākumus”; 8.3.5. SAM “Samazināt priekšlaicīgu mācību pārtraukšanu, īstenojot preventīvus un intervences pasākumus”     </w:t>
      </w:r>
    </w:p>
  </w:footnote>
  <w:footnote w:id="36">
    <w:p w14:paraId="59D8D647" w14:textId="77777777" w:rsidR="0047559B" w:rsidRPr="00195A36" w:rsidRDefault="0047559B" w:rsidP="00812D35">
      <w:pPr>
        <w:pStyle w:val="FootnoteText"/>
        <w:jc w:val="both"/>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Jā vēl ko vajag - izveidotas 1476 subsidētās darba vietas mazāk konkurētspējīgiem jauniešiem, 2761 jaunietis apguva darba iemaņas nevalstiskajās organizācijās, 290 jaunieši piedalījās mazā biznesa uzsākšanas programmā, vēl 1 738 jaunieši saņēma reģionālās mobilitātes atbalstu, lai sasniegtu apmācību vai darba vietu.</w:t>
      </w:r>
    </w:p>
  </w:footnote>
  <w:footnote w:id="37">
    <w:p w14:paraId="6EA144D8" w14:textId="77777777" w:rsidR="0047559B" w:rsidRPr="00195A36" w:rsidRDefault="0047559B" w:rsidP="00812D35">
      <w:pPr>
        <w:pStyle w:val="FootnoteText"/>
        <w:jc w:val="both"/>
        <w:rPr>
          <w:rFonts w:asciiTheme="minorHAnsi" w:hAnsiTheme="minorHAnsi"/>
          <w:sz w:val="18"/>
          <w:szCs w:val="18"/>
        </w:rPr>
      </w:pPr>
      <w:r w:rsidRPr="00195A36">
        <w:rPr>
          <w:rStyle w:val="FootnoteReference"/>
          <w:rFonts w:asciiTheme="minorHAnsi" w:hAnsiTheme="minorHAnsi"/>
          <w:sz w:val="18"/>
          <w:szCs w:val="18"/>
        </w:rPr>
        <w:footnoteRef/>
      </w:r>
      <w:r w:rsidRPr="00195A36">
        <w:rPr>
          <w:rFonts w:asciiTheme="minorHAnsi" w:hAnsiTheme="minorHAnsi"/>
          <w:sz w:val="18"/>
          <w:szCs w:val="18"/>
        </w:rPr>
        <w:t xml:space="preserve"> "Profesionālā rehabilitācija" (SAM 9.1.4.1.)</w:t>
      </w:r>
    </w:p>
  </w:footnote>
  <w:footnote w:id="38">
    <w:p w14:paraId="3BDB179E" w14:textId="77777777" w:rsidR="0047559B" w:rsidRPr="00195A36" w:rsidRDefault="0047559B" w:rsidP="00315B1F">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Latvijas Brīvo arodbiedrību savienības prezentācija Profesionālās izglītības un nodarbinātības trīspusējās sadarbības apakšpadomē. 2017.gada 11.oktobris</w:t>
      </w:r>
    </w:p>
    <w:p w14:paraId="5F25D9B2" w14:textId="77777777" w:rsidR="0047559B" w:rsidRPr="00F271D2" w:rsidRDefault="0047559B" w:rsidP="00315B1F">
      <w:pPr>
        <w:pStyle w:val="FootnoteText"/>
      </w:pPr>
    </w:p>
  </w:footnote>
  <w:footnote w:id="39">
    <w:p w14:paraId="5C388E3C" w14:textId="77777777" w:rsidR="0047559B" w:rsidRPr="00195A36" w:rsidRDefault="0047559B" w:rsidP="00C31A95">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8.3.1.SAM “Attīstīt kompetenču pieejā balstītu vispārējās izglītības saturu”</w:t>
      </w:r>
    </w:p>
  </w:footnote>
  <w:footnote w:id="40">
    <w:p w14:paraId="3FC367CE" w14:textId="77777777" w:rsidR="0047559B" w:rsidRPr="00195A36" w:rsidRDefault="0047559B" w:rsidP="00AA2FEC">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8.1.2.SAM “Uzlabot vispārējās izglītības iestāžu mācību vidi”</w:t>
      </w:r>
    </w:p>
  </w:footnote>
  <w:footnote w:id="41">
    <w:p w14:paraId="10A44C9D" w14:textId="77777777" w:rsidR="0047559B" w:rsidRPr="00195A36" w:rsidRDefault="0047559B" w:rsidP="00C31A95">
      <w:pPr>
        <w:pStyle w:val="FootnoteText"/>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Pasākuma 8.3.2.1. “Atbalsts nacionāla un starptautiska mēroga pasākumu īstenošanai izglītojamo talantu attīstībai” ietvaros</w:t>
      </w:r>
    </w:p>
  </w:footnote>
  <w:footnote w:id="42">
    <w:p w14:paraId="0A1BD9F6" w14:textId="77777777" w:rsidR="0047559B" w:rsidRPr="00195A36" w:rsidRDefault="0047559B" w:rsidP="00C31A95">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 xml:space="preserve">8.3.2.2. pasākums “Atbalsts izglītojamo individuālo kompetenču attīstībai” </w:t>
      </w:r>
    </w:p>
  </w:footnote>
  <w:footnote w:id="43">
    <w:p w14:paraId="69856B4F" w14:textId="77777777" w:rsidR="0047559B" w:rsidRPr="00195A36" w:rsidRDefault="0047559B" w:rsidP="00C31A95">
      <w:pPr>
        <w:pStyle w:val="FootnoteText"/>
        <w:jc w:val="both"/>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Ministru kabineta 2016.gada 29.marta noteikumi Nr.187 “Noteikumi par kritērijiem un kārtību, kādā speciālās izglītības iestādei piešķir speciālās izglītības attīstības centra statusu”</w:t>
      </w:r>
    </w:p>
  </w:footnote>
  <w:footnote w:id="44">
    <w:p w14:paraId="3E72B7B3" w14:textId="77777777" w:rsidR="0047559B" w:rsidRPr="00195A36" w:rsidRDefault="0047559B" w:rsidP="00C31A95">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 xml:space="preserve">8.3.2.2. pasākums “Atbalsts izglītojamo individuālo kompetenču attīstībai” </w:t>
      </w:r>
    </w:p>
  </w:footnote>
  <w:footnote w:id="45">
    <w:p w14:paraId="7D95A63E" w14:textId="4FE565AD" w:rsidR="0047559B" w:rsidRPr="00195A36" w:rsidRDefault="0047559B" w:rsidP="00CB208D">
      <w:pPr>
        <w:pStyle w:val="FootnoteText"/>
        <w:rPr>
          <w:rFonts w:ascii="Cambria" w:hAnsi="Cambria" w:cstheme="minorHAnsi"/>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 xml:space="preserve">8.5.2.SAM “Nodrošināt profesionālās izglītības atbilstību </w:t>
      </w:r>
      <w:r>
        <w:rPr>
          <w:rFonts w:ascii="Cambria" w:hAnsi="Cambria" w:cstheme="minorHAnsi"/>
          <w:sz w:val="18"/>
          <w:szCs w:val="18"/>
        </w:rPr>
        <w:t>Eiro</w:t>
      </w:r>
      <w:r w:rsidRPr="00195A36">
        <w:rPr>
          <w:rFonts w:ascii="Cambria" w:hAnsi="Cambria" w:cstheme="minorHAnsi"/>
          <w:sz w:val="18"/>
          <w:szCs w:val="18"/>
        </w:rPr>
        <w:t>pas kvalifikācijas ietvarstruktūrai”</w:t>
      </w:r>
    </w:p>
  </w:footnote>
  <w:footnote w:id="46">
    <w:p w14:paraId="711793C7" w14:textId="77777777" w:rsidR="0047559B" w:rsidRPr="00B21C7B" w:rsidRDefault="0047559B" w:rsidP="00CB208D">
      <w:pPr>
        <w:pStyle w:val="FootnoteText"/>
        <w:rPr>
          <w:rFonts w:ascii="Cambria" w:hAnsi="Cambria"/>
          <w:sz w:val="18"/>
          <w:szCs w:val="18"/>
        </w:rPr>
      </w:pPr>
      <w:r w:rsidRPr="00B21C7B">
        <w:rPr>
          <w:rStyle w:val="FootnoteReference"/>
          <w:rFonts w:ascii="Cambria" w:hAnsi="Cambria"/>
          <w:sz w:val="18"/>
          <w:szCs w:val="18"/>
        </w:rPr>
        <w:footnoteRef/>
      </w:r>
      <w:r w:rsidRPr="00B21C7B">
        <w:rPr>
          <w:rFonts w:ascii="Cambria" w:hAnsi="Cambria"/>
          <w:sz w:val="18"/>
          <w:szCs w:val="18"/>
        </w:rPr>
        <w:t xml:space="preserve"> </w:t>
      </w:r>
      <w:r w:rsidRPr="00B21C7B">
        <w:rPr>
          <w:rFonts w:ascii="Cambria" w:hAnsi="Cambria" w:cstheme="minorHAnsi"/>
          <w:sz w:val="18"/>
          <w:szCs w:val="18"/>
        </w:rPr>
        <w:t>Projekts “Profesionālo izglītības iestāžu audzēkņu dalība darba vidē balstītās mācības un mācību praksēs uzņēmumos” atbilstoši SAM 8.5.1.</w:t>
      </w:r>
    </w:p>
  </w:footnote>
  <w:footnote w:id="47">
    <w:p w14:paraId="308D31DB" w14:textId="77777777" w:rsidR="0047559B" w:rsidRPr="00B21C7B" w:rsidRDefault="0047559B" w:rsidP="00CB208D">
      <w:pPr>
        <w:pStyle w:val="FootnoteText"/>
        <w:rPr>
          <w:rFonts w:ascii="Cambria" w:hAnsi="Cambria"/>
          <w:sz w:val="18"/>
          <w:szCs w:val="18"/>
        </w:rPr>
      </w:pPr>
      <w:r w:rsidRPr="00B21C7B">
        <w:rPr>
          <w:rStyle w:val="FootnoteReference"/>
          <w:rFonts w:ascii="Cambria" w:hAnsi="Cambria"/>
          <w:sz w:val="18"/>
          <w:szCs w:val="18"/>
        </w:rPr>
        <w:footnoteRef/>
      </w:r>
      <w:r w:rsidRPr="00B21C7B">
        <w:rPr>
          <w:rFonts w:ascii="Cambria" w:hAnsi="Cambria"/>
          <w:sz w:val="18"/>
          <w:szCs w:val="18"/>
        </w:rPr>
        <w:t xml:space="preserve"> </w:t>
      </w:r>
      <w:r w:rsidRPr="00B21C7B">
        <w:rPr>
          <w:rFonts w:ascii="Cambria" w:eastAsia="Times New Roman" w:hAnsi="Cambria" w:cs="Times New Roman"/>
          <w:sz w:val="18"/>
          <w:szCs w:val="18"/>
        </w:rPr>
        <w:t>Saeimā pieņemti 2017.gada 22.jūnijā</w:t>
      </w:r>
    </w:p>
  </w:footnote>
  <w:footnote w:id="48">
    <w:p w14:paraId="33BE5C13" w14:textId="4C3B950D" w:rsidR="0047559B" w:rsidRPr="00195A36" w:rsidRDefault="0047559B" w:rsidP="00CB208D">
      <w:pPr>
        <w:pStyle w:val="FootnoteText"/>
        <w:jc w:val="both"/>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Projekts 8.5.3. SAM “Nodrošināt profesionālās izglītības iestāžu efektīvu pārvaldību un iesaistītā personāla profesionālās kompetences pilnveidi” ietvaros</w:t>
      </w:r>
      <w:r>
        <w:rPr>
          <w:rFonts w:ascii="Cambria" w:hAnsi="Cambria" w:cstheme="minorHAnsi"/>
          <w:sz w:val="18"/>
          <w:szCs w:val="18"/>
        </w:rPr>
        <w:t xml:space="preserve"> </w:t>
      </w:r>
    </w:p>
  </w:footnote>
  <w:footnote w:id="49">
    <w:p w14:paraId="28DF239D" w14:textId="77777777" w:rsidR="0047559B" w:rsidRPr="00195A36" w:rsidRDefault="0047559B" w:rsidP="00CB208D">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ESF projekta Nr.</w:t>
      </w:r>
      <w:r w:rsidRPr="00195A36">
        <w:rPr>
          <w:rFonts w:ascii="Cambria" w:hAnsi="Cambria" w:cs="Times New Roman"/>
          <w:sz w:val="18"/>
          <w:szCs w:val="18"/>
        </w:rPr>
        <w:t>8.5.3.0/16/1/001 “Nodrošināt profesionālās izglītības iestāžu efektīvu pārvaldību un iesaistītā personāla profesionālās kompetences pilnveidi” ietvaros</w:t>
      </w:r>
    </w:p>
  </w:footnote>
  <w:footnote w:id="50">
    <w:p w14:paraId="51FE2D7C" w14:textId="77777777" w:rsidR="0047559B" w:rsidRPr="00195A36" w:rsidRDefault="0047559B" w:rsidP="00C31A95">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8.3.4.SAM “Samazināt priekšlaicīgu mācību pārtraukšanu, īstenojot preventīvus un intervences pasākumus”</w:t>
      </w:r>
    </w:p>
  </w:footnote>
  <w:footnote w:id="51">
    <w:p w14:paraId="26810006" w14:textId="77777777" w:rsidR="0047559B" w:rsidRPr="00195A36" w:rsidRDefault="0047559B" w:rsidP="00CB208D">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8.3.5.SAM “Uzlabot pieeju karjeras atbalstam izglītojamajiem vispārējās un profesionālās izglītības iestādēs”</w:t>
      </w:r>
    </w:p>
  </w:footnote>
  <w:footnote w:id="52">
    <w:p w14:paraId="3A9EF225" w14:textId="77777777" w:rsidR="0047559B" w:rsidRPr="00195A36" w:rsidRDefault="0047559B" w:rsidP="00C31A95">
      <w:pPr>
        <w:pStyle w:val="FootnoteText"/>
        <w:jc w:val="both"/>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imes New Roman"/>
          <w:sz w:val="18"/>
          <w:szCs w:val="18"/>
        </w:rPr>
        <w:t>Latvijas – Šveices sadarbības programma „Atbalsts jaunatnes iniciatīvu attīstībai attālos vai mazattīstītos reģionos”</w:t>
      </w:r>
    </w:p>
  </w:footnote>
  <w:footnote w:id="53">
    <w:p w14:paraId="14A5B1F7" w14:textId="77777777" w:rsidR="0047559B" w:rsidRPr="00195A36" w:rsidRDefault="0047559B" w:rsidP="00CB208D">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8.3.6.2. pasākums “Izglītības kvalitātes monitoringa sistēma”</w:t>
      </w:r>
    </w:p>
  </w:footnote>
  <w:footnote w:id="54">
    <w:p w14:paraId="33A8FB84" w14:textId="77777777" w:rsidR="0047559B" w:rsidRPr="00195A36" w:rsidRDefault="0047559B" w:rsidP="00CB208D">
      <w:pPr>
        <w:pStyle w:val="FootnoteText"/>
        <w:rPr>
          <w:rFonts w:ascii="Cambria" w:hAnsi="Cambria"/>
          <w:sz w:val="18"/>
          <w:szCs w:val="18"/>
        </w:rPr>
      </w:pPr>
      <w:r w:rsidRPr="00195A36">
        <w:rPr>
          <w:rStyle w:val="FootnoteReference"/>
          <w:rFonts w:ascii="Cambria" w:hAnsi="Cambria"/>
          <w:sz w:val="18"/>
          <w:szCs w:val="18"/>
        </w:rPr>
        <w:footnoteRef/>
      </w:r>
      <w:r w:rsidRPr="00195A36">
        <w:rPr>
          <w:rFonts w:ascii="Cambria" w:hAnsi="Cambria"/>
          <w:sz w:val="18"/>
          <w:szCs w:val="18"/>
        </w:rPr>
        <w:t xml:space="preserve"> </w:t>
      </w:r>
      <w:r w:rsidRPr="00195A36">
        <w:rPr>
          <w:rFonts w:ascii="Cambria" w:hAnsi="Cambria" w:cstheme="minorHAnsi"/>
          <w:sz w:val="18"/>
          <w:szCs w:val="18"/>
        </w:rPr>
        <w:t>8.3.6.SAM “Ieviest izglītības kvalitātes monitoringa sistēmu”</w:t>
      </w:r>
    </w:p>
  </w:footnote>
  <w:footnote w:id="55">
    <w:p w14:paraId="3CFECA9A" w14:textId="2E1E7E64" w:rsidR="0047559B" w:rsidRPr="00B426BA" w:rsidRDefault="0047559B">
      <w:pPr>
        <w:pStyle w:val="FootnoteText"/>
        <w:rPr>
          <w:rFonts w:ascii="Cambria" w:hAnsi="Cambria"/>
          <w:sz w:val="18"/>
          <w:szCs w:val="18"/>
        </w:rPr>
      </w:pPr>
      <w:r w:rsidRPr="00B426BA">
        <w:rPr>
          <w:rStyle w:val="FootnoteReference"/>
          <w:rFonts w:ascii="Cambria" w:hAnsi="Cambria"/>
          <w:sz w:val="18"/>
          <w:szCs w:val="18"/>
        </w:rPr>
        <w:footnoteRef/>
      </w:r>
      <w:r w:rsidRPr="00B426BA">
        <w:rPr>
          <w:rFonts w:ascii="Cambria" w:hAnsi="Cambria"/>
          <w:sz w:val="18"/>
          <w:szCs w:val="18"/>
        </w:rPr>
        <w:t xml:space="preserve"> “Kompleksi  veselības veicināšanas un slimību profilakses pasākumi” un “Pasākumi vietējās sabiedrības veselības veicināšanai” (SAM 9.2.4.)</w:t>
      </w:r>
    </w:p>
  </w:footnote>
  <w:footnote w:id="56">
    <w:p w14:paraId="5B0705C6" w14:textId="2C353D57" w:rsidR="0047559B" w:rsidRPr="00412750" w:rsidRDefault="0047559B">
      <w:pPr>
        <w:pStyle w:val="FootnoteText"/>
        <w:rPr>
          <w:rFonts w:ascii="Cambria" w:hAnsi="Cambria"/>
          <w:sz w:val="18"/>
          <w:szCs w:val="18"/>
        </w:rPr>
      </w:pPr>
      <w:r w:rsidRPr="00412750">
        <w:rPr>
          <w:rStyle w:val="FootnoteReference"/>
          <w:rFonts w:ascii="Cambria" w:hAnsi="Cambria"/>
          <w:sz w:val="18"/>
          <w:szCs w:val="18"/>
        </w:rPr>
        <w:footnoteRef/>
      </w:r>
      <w:r w:rsidRPr="00412750">
        <w:rPr>
          <w:rFonts w:ascii="Cambria" w:hAnsi="Cambria"/>
          <w:sz w:val="18"/>
          <w:szCs w:val="18"/>
        </w:rPr>
        <w:t xml:space="preserve"> Uzlabot kvalitatīvu veselības aprūpes pakalpojumu pieejamību, jo īpaši sociālās, teritoriālās atstumtības un nabadzības riskam pakļautajiem iedzīvotājiem, attīstot veselības aprūpes infrastruktūru (SAM 9.3.2.)</w:t>
      </w:r>
    </w:p>
  </w:footnote>
  <w:footnote w:id="57">
    <w:p w14:paraId="2D55357A" w14:textId="50D1D8E9" w:rsidR="0047559B" w:rsidRPr="00412750" w:rsidRDefault="0047559B">
      <w:pPr>
        <w:pStyle w:val="FootnoteText"/>
        <w:rPr>
          <w:rFonts w:ascii="Cambria" w:hAnsi="Cambria"/>
          <w:sz w:val="18"/>
          <w:szCs w:val="18"/>
        </w:rPr>
      </w:pPr>
      <w:r w:rsidRPr="00412750">
        <w:rPr>
          <w:rStyle w:val="FootnoteReference"/>
          <w:rFonts w:ascii="Cambria" w:hAnsi="Cambria"/>
          <w:sz w:val="18"/>
          <w:szCs w:val="18"/>
        </w:rPr>
        <w:footnoteRef/>
      </w:r>
      <w:r w:rsidRPr="00412750">
        <w:rPr>
          <w:rFonts w:ascii="Cambria" w:hAnsi="Cambria"/>
          <w:sz w:val="18"/>
          <w:szCs w:val="18"/>
        </w:rPr>
        <w:t xml:space="preserve"> </w:t>
      </w:r>
      <w:r w:rsidRPr="00412750">
        <w:rPr>
          <w:rFonts w:ascii="Cambria" w:hAnsi="Cambria"/>
          <w:color w:val="000000" w:themeColor="text1"/>
          <w:sz w:val="18"/>
          <w:szCs w:val="18"/>
        </w:rPr>
        <w:t>Uzlabot pieejamību ārstniecības un ārstniecības atbalsta personām, kas sniedz pakalpojumus prioritārajās veselības jomās iedzīvotājiem, kas dzīvo ārpus Rīgas (SAM 9.2.5.)</w:t>
      </w:r>
    </w:p>
  </w:footnote>
  <w:footnote w:id="58">
    <w:p w14:paraId="3F49A735" w14:textId="1631A3D3" w:rsidR="0047559B" w:rsidRPr="0056371D" w:rsidRDefault="0047559B">
      <w:pPr>
        <w:pStyle w:val="FootnoteText"/>
        <w:rPr>
          <w:rFonts w:ascii="Cambria" w:hAnsi="Cambria"/>
          <w:sz w:val="18"/>
          <w:szCs w:val="18"/>
        </w:rPr>
      </w:pPr>
      <w:r w:rsidRPr="0056371D">
        <w:rPr>
          <w:rStyle w:val="FootnoteReference"/>
          <w:rFonts w:ascii="Cambria" w:hAnsi="Cambria"/>
          <w:sz w:val="18"/>
          <w:szCs w:val="18"/>
        </w:rPr>
        <w:footnoteRef/>
      </w:r>
      <w:r w:rsidRPr="0056371D">
        <w:rPr>
          <w:rFonts w:ascii="Cambria" w:hAnsi="Cambria"/>
          <w:sz w:val="18"/>
          <w:szCs w:val="18"/>
        </w:rPr>
        <w:t xml:space="preserve"> Atbalstīt prioritāro (sirds un asinsvadu, onkoloģijas, perinatālā un neonatālā perioda aprūpes un garīgās veselības) veselības jomu veselības tīklu attīstības vadlīniju un kvalitātes nodrošināšanas sistēmas izstrādi un ieviešanu, jo īpaši sociālās atstumtības un nabadzības riskam pakļauto iedzīvotāju veselības uzlabošanai (SAM 9.2.3.)</w:t>
      </w:r>
    </w:p>
  </w:footnote>
  <w:footnote w:id="59">
    <w:p w14:paraId="707B6B91" w14:textId="77777777" w:rsidR="0047559B" w:rsidRPr="005F1568" w:rsidRDefault="0047559B" w:rsidP="005F1568">
      <w:pPr>
        <w:pStyle w:val="Piezme"/>
        <w:rPr>
          <w:sz w:val="18"/>
          <w:szCs w:val="18"/>
        </w:rPr>
      </w:pPr>
      <w:r w:rsidRPr="005F1568">
        <w:rPr>
          <w:rStyle w:val="FootnoteReference"/>
          <w:sz w:val="18"/>
          <w:szCs w:val="18"/>
        </w:rPr>
        <w:footnoteRef/>
      </w:r>
      <w:r w:rsidRPr="005F1568">
        <w:rPr>
          <w:sz w:val="18"/>
          <w:szCs w:val="18"/>
        </w:rPr>
        <w:t xml:space="preserve"> Apstiprināta ar Veselības ministrijas 2017.gada 17.jūlija rīkojumu Nr.142</w:t>
      </w:r>
    </w:p>
  </w:footnote>
  <w:footnote w:id="60">
    <w:p w14:paraId="7B61E946" w14:textId="3EED7F55" w:rsidR="0047559B" w:rsidRPr="005F1568" w:rsidRDefault="0047559B" w:rsidP="005F1568">
      <w:pPr>
        <w:pStyle w:val="Piezme"/>
        <w:rPr>
          <w:sz w:val="18"/>
          <w:szCs w:val="18"/>
        </w:rPr>
      </w:pPr>
      <w:r w:rsidRPr="005F1568">
        <w:rPr>
          <w:rStyle w:val="FootnoteReference"/>
          <w:sz w:val="18"/>
          <w:szCs w:val="18"/>
        </w:rPr>
        <w:footnoteRef/>
      </w:r>
      <w:r w:rsidRPr="005F1568">
        <w:rPr>
          <w:sz w:val="18"/>
          <w:szCs w:val="18"/>
          <w:vertAlign w:val="superscript"/>
        </w:rPr>
        <w:t xml:space="preserve"> </w:t>
      </w:r>
      <w:r w:rsidRPr="005F1568">
        <w:rPr>
          <w:sz w:val="18"/>
          <w:szCs w:val="18"/>
        </w:rPr>
        <w:t>Uzlabot ārstniecības un ārstniecības atbalsta personāla kvalifikāciju (SAM 9.2.6)</w:t>
      </w:r>
    </w:p>
  </w:footnote>
  <w:footnote w:id="61">
    <w:p w14:paraId="1F45E36B" w14:textId="77777777" w:rsidR="0047559B" w:rsidRPr="00A6152B" w:rsidRDefault="0047559B" w:rsidP="005704F0">
      <w:pPr>
        <w:pStyle w:val="FootnoteText"/>
        <w:jc w:val="both"/>
        <w:rPr>
          <w:rFonts w:asciiTheme="minorHAnsi" w:hAnsiTheme="minorHAnsi" w:cstheme="minorHAnsi"/>
          <w:sz w:val="18"/>
          <w:szCs w:val="18"/>
        </w:rPr>
      </w:pPr>
      <w:r w:rsidRPr="00A6152B">
        <w:rPr>
          <w:rStyle w:val="FootnoteReference"/>
          <w:rFonts w:asciiTheme="minorHAnsi" w:hAnsiTheme="minorHAnsi"/>
          <w:sz w:val="18"/>
          <w:szCs w:val="18"/>
        </w:rPr>
        <w:footnoteRef/>
      </w:r>
      <w:r w:rsidRPr="00A6152B">
        <w:rPr>
          <w:rFonts w:asciiTheme="minorHAnsi" w:hAnsiTheme="minorHAnsi"/>
          <w:sz w:val="18"/>
          <w:szCs w:val="18"/>
        </w:rPr>
        <w:t xml:space="preserve"> </w:t>
      </w:r>
      <w:r w:rsidRPr="00A6152B">
        <w:rPr>
          <w:rFonts w:asciiTheme="minorHAnsi" w:hAnsiTheme="minorHAnsi" w:cstheme="minorHAnsi"/>
          <w:sz w:val="18"/>
          <w:szCs w:val="18"/>
        </w:rPr>
        <w:t>Apstiprinātais Patvēruma, migrācijas un integrācijas fonda projekts “Valodas sākotnējā apguve patvēruma meklētājiem” (LVA/PMIF/2016/2)</w:t>
      </w:r>
    </w:p>
  </w:footnote>
  <w:footnote w:id="62">
    <w:p w14:paraId="57323944" w14:textId="77777777" w:rsidR="0047559B" w:rsidRPr="00F2488C" w:rsidRDefault="0047559B" w:rsidP="005704F0">
      <w:pPr>
        <w:pStyle w:val="FootnoteText"/>
        <w:rPr>
          <w:rFonts w:asciiTheme="minorHAnsi" w:hAnsiTheme="minorHAnsi"/>
          <w:sz w:val="18"/>
          <w:szCs w:val="18"/>
        </w:rPr>
      </w:pPr>
      <w:r w:rsidRPr="00F2488C">
        <w:rPr>
          <w:rStyle w:val="FootnoteReference"/>
          <w:rFonts w:asciiTheme="minorHAnsi" w:hAnsiTheme="minorHAnsi"/>
          <w:sz w:val="18"/>
          <w:szCs w:val="18"/>
        </w:rPr>
        <w:footnoteRef/>
      </w:r>
      <w:r w:rsidRPr="00F2488C">
        <w:rPr>
          <w:rFonts w:asciiTheme="minorHAnsi" w:hAnsiTheme="minorHAnsi"/>
          <w:sz w:val="18"/>
          <w:szCs w:val="18"/>
        </w:rPr>
        <w:t xml:space="preserve"> Vārda lietomums mainīts 2015.gadā no reemigrācijas, kas nozīmē atkal emigrēt, uz remigrāciju. </w:t>
      </w:r>
    </w:p>
  </w:footnote>
  <w:footnote w:id="63">
    <w:p w14:paraId="1B61B9FE" w14:textId="77777777" w:rsidR="0047559B" w:rsidRPr="00A4452A" w:rsidRDefault="0047559B" w:rsidP="00AD274B">
      <w:pPr>
        <w:pStyle w:val="FootnoteText"/>
        <w:contextualSpacing/>
        <w:jc w:val="both"/>
        <w:rPr>
          <w:rFonts w:asciiTheme="minorHAnsi" w:hAnsiTheme="minorHAnsi"/>
          <w:sz w:val="18"/>
          <w:szCs w:val="18"/>
        </w:rPr>
      </w:pPr>
      <w:r w:rsidRPr="00A4452A">
        <w:rPr>
          <w:rStyle w:val="FootnoteReference"/>
          <w:rFonts w:asciiTheme="minorHAnsi" w:hAnsiTheme="minorHAnsi"/>
          <w:sz w:val="18"/>
          <w:szCs w:val="18"/>
        </w:rPr>
        <w:footnoteRef/>
      </w:r>
      <w:r w:rsidRPr="00A4452A">
        <w:rPr>
          <w:rFonts w:asciiTheme="minorHAnsi" w:hAnsiTheme="minorHAnsi"/>
          <w:sz w:val="18"/>
          <w:szCs w:val="18"/>
        </w:rPr>
        <w:t xml:space="preserve"> 3.3.1.SAM Palielināt privāto investīciju apjomu reģionos, veicot ieguldījumus uzņēmējdarbības attīstībai atbilstoši pašvaldību attīstības programmās noteiktajai teritoriju ekonomiskajai specializācijai un balstoties uz vietējo uzņēmēju vajadzībām </w:t>
      </w:r>
    </w:p>
  </w:footnote>
  <w:footnote w:id="64">
    <w:p w14:paraId="0F29020B" w14:textId="77777777" w:rsidR="0047559B" w:rsidRPr="00A4452A" w:rsidRDefault="0047559B" w:rsidP="00AD274B">
      <w:pPr>
        <w:pStyle w:val="FootnoteText"/>
        <w:contextualSpacing/>
        <w:jc w:val="both"/>
        <w:rPr>
          <w:rFonts w:asciiTheme="minorHAnsi" w:hAnsiTheme="minorHAnsi"/>
          <w:sz w:val="18"/>
          <w:szCs w:val="18"/>
        </w:rPr>
      </w:pPr>
      <w:r w:rsidRPr="00A4452A">
        <w:rPr>
          <w:rStyle w:val="FootnoteReference"/>
          <w:rFonts w:asciiTheme="minorHAnsi" w:hAnsiTheme="minorHAnsi"/>
          <w:sz w:val="18"/>
          <w:szCs w:val="18"/>
        </w:rPr>
        <w:footnoteRef/>
      </w:r>
      <w:r w:rsidRPr="00A4452A">
        <w:rPr>
          <w:rFonts w:asciiTheme="minorHAnsi" w:hAnsiTheme="minorHAnsi"/>
          <w:sz w:val="18"/>
          <w:szCs w:val="18"/>
        </w:rPr>
        <w:t xml:space="preserve"> 5.6.2.SAM Teritoriju revitalizācija, reģenerējot degradētās teritorijas atbilstoši pašvaldību integrētajām attīstības programmām</w:t>
      </w:r>
    </w:p>
  </w:footnote>
  <w:footnote w:id="65">
    <w:p w14:paraId="33401F63" w14:textId="77777777" w:rsidR="0047559B" w:rsidRPr="00DA600B" w:rsidRDefault="0047559B" w:rsidP="00AD274B">
      <w:pPr>
        <w:pStyle w:val="FootnoteText"/>
        <w:contextualSpacing/>
        <w:jc w:val="both"/>
        <w:rPr>
          <w:rFonts w:asciiTheme="minorHAnsi" w:hAnsiTheme="minorHAnsi"/>
          <w:sz w:val="18"/>
          <w:szCs w:val="18"/>
        </w:rPr>
      </w:pPr>
      <w:r w:rsidRPr="00DA600B">
        <w:rPr>
          <w:rStyle w:val="FootnoteReference"/>
          <w:rFonts w:asciiTheme="minorHAnsi" w:hAnsiTheme="minorHAnsi"/>
          <w:sz w:val="18"/>
          <w:szCs w:val="18"/>
        </w:rPr>
        <w:footnoteRef/>
      </w:r>
      <w:r w:rsidRPr="00DA600B">
        <w:rPr>
          <w:rFonts w:asciiTheme="minorHAnsi" w:hAnsiTheme="minorHAnsi"/>
          <w:sz w:val="18"/>
          <w:szCs w:val="18"/>
        </w:rPr>
        <w:t xml:space="preserve"> Grozījumi likumā "Par nodokļu piemērošanu brīvostās un speciālajās ekonomiskajās zonās" stājās spēkā 15.07.2016.</w:t>
      </w:r>
    </w:p>
  </w:footnote>
  <w:footnote w:id="66">
    <w:p w14:paraId="5D7D486B" w14:textId="77777777" w:rsidR="0047559B" w:rsidRPr="00DA600B" w:rsidRDefault="0047559B" w:rsidP="00894C81">
      <w:pPr>
        <w:pStyle w:val="FootnoteText"/>
        <w:contextualSpacing/>
        <w:jc w:val="both"/>
        <w:rPr>
          <w:rFonts w:asciiTheme="minorHAnsi" w:hAnsiTheme="minorHAnsi"/>
          <w:sz w:val="18"/>
          <w:szCs w:val="18"/>
        </w:rPr>
      </w:pPr>
      <w:r w:rsidRPr="00DA600B">
        <w:rPr>
          <w:rStyle w:val="FootnoteReference"/>
          <w:rFonts w:asciiTheme="minorHAnsi" w:hAnsiTheme="minorHAnsi"/>
          <w:sz w:val="18"/>
          <w:szCs w:val="18"/>
        </w:rPr>
        <w:footnoteRef/>
      </w:r>
      <w:r w:rsidRPr="00DA600B">
        <w:rPr>
          <w:rFonts w:asciiTheme="minorHAnsi" w:hAnsiTheme="minorHAnsi"/>
          <w:sz w:val="18"/>
          <w:szCs w:val="18"/>
        </w:rPr>
        <w:t xml:space="preserve"> 4.5.1. SAM Attīstīt videi draudzīgu sabiedriskā transporta infrastruktūru</w:t>
      </w:r>
    </w:p>
  </w:footnote>
  <w:footnote w:id="67">
    <w:p w14:paraId="2A501B7F" w14:textId="77777777" w:rsidR="0047559B" w:rsidRPr="00DA600B" w:rsidRDefault="0047559B" w:rsidP="00894C81">
      <w:pPr>
        <w:pStyle w:val="FootnoteText"/>
        <w:contextualSpacing/>
        <w:jc w:val="both"/>
        <w:rPr>
          <w:rFonts w:asciiTheme="minorHAnsi" w:hAnsiTheme="minorHAnsi"/>
          <w:sz w:val="18"/>
          <w:szCs w:val="18"/>
        </w:rPr>
      </w:pPr>
      <w:r w:rsidRPr="00DA600B">
        <w:rPr>
          <w:rStyle w:val="FootnoteReference"/>
          <w:rFonts w:asciiTheme="minorHAnsi" w:hAnsiTheme="minorHAnsi"/>
          <w:sz w:val="18"/>
          <w:szCs w:val="18"/>
        </w:rPr>
        <w:footnoteRef/>
      </w:r>
      <w:r w:rsidRPr="00DA600B">
        <w:rPr>
          <w:rFonts w:asciiTheme="minorHAnsi" w:hAnsiTheme="minorHAnsi"/>
          <w:sz w:val="18"/>
          <w:szCs w:val="18"/>
        </w:rPr>
        <w:t xml:space="preserve"> 6.1.3. SAM Nodrošināt nepieciešamo infrastruktūru uz Rīgas maģistrālajiem pārvadiem un novērst maģistrālo ielu fragmentāro raksturu</w:t>
      </w:r>
    </w:p>
  </w:footnote>
  <w:footnote w:id="68">
    <w:p w14:paraId="77B2489A" w14:textId="77777777" w:rsidR="0047559B" w:rsidRPr="00602F9A" w:rsidRDefault="0047559B" w:rsidP="00EE5C4B">
      <w:pPr>
        <w:pStyle w:val="FootnoteText"/>
        <w:rPr>
          <w:rFonts w:asciiTheme="minorHAnsi" w:hAnsiTheme="minorHAnsi"/>
          <w:sz w:val="18"/>
          <w:szCs w:val="18"/>
        </w:rPr>
      </w:pPr>
      <w:r w:rsidRPr="00602F9A">
        <w:rPr>
          <w:rFonts w:asciiTheme="minorHAnsi" w:hAnsiTheme="minorHAnsi"/>
          <w:sz w:val="18"/>
          <w:szCs w:val="18"/>
        </w:rPr>
        <w:footnoteRef/>
      </w:r>
      <w:r w:rsidRPr="00602F9A">
        <w:rPr>
          <w:rFonts w:asciiTheme="minorHAnsi" w:hAnsiTheme="minorHAnsi"/>
          <w:sz w:val="18"/>
          <w:szCs w:val="18"/>
        </w:rPr>
        <w:t xml:space="preserve"> Likumprojekts “Grozījumi Administratīvo teritoriju un apdzīvoto vietu likumā” ir saskaņošanā VSS-896</w:t>
      </w:r>
    </w:p>
  </w:footnote>
  <w:footnote w:id="69">
    <w:p w14:paraId="45B6BC81" w14:textId="77777777" w:rsidR="0047559B" w:rsidRPr="009B4604" w:rsidRDefault="0047559B" w:rsidP="00EE5C4B">
      <w:pPr>
        <w:pStyle w:val="FootnoteText"/>
        <w:jc w:val="both"/>
        <w:rPr>
          <w:rFonts w:ascii="Cambria" w:hAnsi="Cambria"/>
          <w:sz w:val="18"/>
          <w:szCs w:val="18"/>
        </w:rPr>
      </w:pPr>
      <w:r w:rsidRPr="009B4604">
        <w:rPr>
          <w:rStyle w:val="FootnoteReference"/>
          <w:rFonts w:ascii="Cambria" w:hAnsi="Cambria"/>
          <w:sz w:val="18"/>
          <w:szCs w:val="18"/>
        </w:rPr>
        <w:footnoteRef/>
      </w:r>
      <w:r w:rsidRPr="009B4604">
        <w:rPr>
          <w:rFonts w:ascii="Cambria" w:hAnsi="Cambria"/>
          <w:sz w:val="18"/>
          <w:szCs w:val="18"/>
        </w:rPr>
        <w:t xml:space="preserve"> MK 04.07.2017. noteikumi Nr.399 “Valsts pārvaldes pakalpojumu uzskaites, kvalitātes kontroles un sniegšanas kārtība”; MK 04.07.2017. noteikumi Nr.400 “Valsts pārvaldes pakalpojumu portāla noteikumi”</w:t>
      </w:r>
    </w:p>
  </w:footnote>
  <w:footnote w:id="70">
    <w:p w14:paraId="0E6A6DAB" w14:textId="77777777" w:rsidR="0047559B" w:rsidRPr="009B4604" w:rsidRDefault="0047559B" w:rsidP="00EE5C4B">
      <w:pPr>
        <w:pStyle w:val="FootnoteText"/>
        <w:jc w:val="both"/>
        <w:rPr>
          <w:rFonts w:ascii="Cambria" w:hAnsi="Cambria"/>
          <w:sz w:val="18"/>
          <w:szCs w:val="18"/>
        </w:rPr>
      </w:pPr>
      <w:r w:rsidRPr="009B4604">
        <w:rPr>
          <w:rStyle w:val="FootnoteReference"/>
          <w:rFonts w:ascii="Cambria" w:hAnsi="Cambria"/>
          <w:sz w:val="18"/>
          <w:szCs w:val="18"/>
        </w:rPr>
        <w:footnoteRef/>
      </w:r>
      <w:r w:rsidRPr="009B4604">
        <w:rPr>
          <w:rFonts w:ascii="Cambria" w:hAnsi="Cambria"/>
          <w:sz w:val="18"/>
          <w:szCs w:val="18"/>
        </w:rPr>
        <w:t xml:space="preserve"> Oficiālās elektroniskās adreses likums (stājas spēkā 01.03.2018.)</w:t>
      </w:r>
    </w:p>
  </w:footnote>
  <w:footnote w:id="71">
    <w:p w14:paraId="23FDF391" w14:textId="77777777" w:rsidR="0047559B" w:rsidRPr="005C231F" w:rsidRDefault="0047559B" w:rsidP="00EE5C4B">
      <w:pPr>
        <w:pStyle w:val="FootnoteText"/>
        <w:jc w:val="both"/>
        <w:rPr>
          <w:rFonts w:ascii="Cambria" w:hAnsi="Cambria"/>
          <w:sz w:val="18"/>
          <w:szCs w:val="18"/>
        </w:rPr>
      </w:pPr>
      <w:r w:rsidRPr="005C231F">
        <w:rPr>
          <w:rStyle w:val="FootnoteReference"/>
          <w:rFonts w:ascii="Cambria" w:hAnsi="Cambria"/>
          <w:sz w:val="18"/>
          <w:szCs w:val="18"/>
        </w:rPr>
        <w:footnoteRef/>
      </w:r>
      <w:r w:rsidRPr="005C231F">
        <w:rPr>
          <w:rFonts w:ascii="Cambria" w:hAnsi="Cambria"/>
          <w:sz w:val="18"/>
          <w:szCs w:val="18"/>
        </w:rPr>
        <w:t xml:space="preserve"> SAM 2.2.1.: Nodrošināt publisko datu atkalizmantošanas pieaugumu un efektīvu publiskās pārvaldes un privātā sektora mijiedarbību </w:t>
      </w:r>
      <w:hyperlink r:id="rId6" w:tgtFrame="_self" w:history="1">
        <w:r w:rsidRPr="005C231F">
          <w:rPr>
            <w:rFonts w:ascii="Cambria" w:hAnsi="Cambria"/>
            <w:sz w:val="18"/>
            <w:szCs w:val="18"/>
          </w:rPr>
          <w:t xml:space="preserve"> 2.2.1.1.pasākums “Centralizētu publiskās pārvaldes IKT platformu izveide, publiskās pārvaldes procesu optimizēšana un attīstība” un 2.2.1.2.pasākums “Kultūras mantojuma digitalizācija” īstenošanas progresu” </w:t>
        </w:r>
      </w:hyperlink>
    </w:p>
  </w:footnote>
  <w:footnote w:id="72">
    <w:p w14:paraId="229BBDD6" w14:textId="1DFA9711" w:rsidR="0047559B" w:rsidRPr="005C231F" w:rsidRDefault="0047559B" w:rsidP="005C231F">
      <w:pPr>
        <w:rPr>
          <w:rFonts w:ascii="Cambria" w:hAnsi="Cambria"/>
          <w:sz w:val="18"/>
          <w:szCs w:val="18"/>
          <w:lang w:val="lv-LV"/>
        </w:rPr>
      </w:pPr>
      <w:r w:rsidRPr="005C231F">
        <w:rPr>
          <w:rStyle w:val="FootnoteReference"/>
          <w:rFonts w:ascii="Cambria" w:hAnsi="Cambria"/>
          <w:sz w:val="18"/>
          <w:szCs w:val="18"/>
        </w:rPr>
        <w:footnoteRef/>
      </w:r>
      <w:r w:rsidRPr="005C231F">
        <w:rPr>
          <w:rFonts w:ascii="Cambria" w:hAnsi="Cambria"/>
          <w:sz w:val="18"/>
          <w:szCs w:val="18"/>
          <w:lang w:val="lv-LV"/>
        </w:rPr>
        <w:t xml:space="preserve"> VARAM projekts “Publiskās pārvaldes informācijas un komunikāciju tehnoloģiju arhitektūras pārvaldības sistēma 1.kārta”, VID projekti - “Nodokļu informācijas pakalpojumu modernizācija MAIS kodols” un “eMuita”, Latvijas Valsts radio un televīzijas centra projekts “E-identitātes un E-paraksta risinājuma attīstība ”, VRAA projekts “E-iepirkuma un e-izsoļu platformas attīstība” (EIS).</w:t>
      </w:r>
    </w:p>
  </w:footnote>
  <w:footnote w:id="73">
    <w:p w14:paraId="416877BF" w14:textId="77777777" w:rsidR="0047559B" w:rsidRPr="00467A2F" w:rsidRDefault="0047559B" w:rsidP="00760D40">
      <w:pPr>
        <w:pStyle w:val="FootnoteText"/>
        <w:jc w:val="both"/>
        <w:rPr>
          <w:rFonts w:asciiTheme="minorHAnsi" w:hAnsiTheme="minorHAnsi"/>
          <w:sz w:val="18"/>
          <w:szCs w:val="18"/>
        </w:rPr>
      </w:pPr>
      <w:r w:rsidRPr="00467A2F">
        <w:rPr>
          <w:rStyle w:val="FootnoteReference"/>
          <w:rFonts w:asciiTheme="minorHAnsi" w:hAnsiTheme="minorHAnsi"/>
          <w:sz w:val="18"/>
          <w:szCs w:val="18"/>
        </w:rPr>
        <w:footnoteRef/>
      </w:r>
      <w:r w:rsidRPr="00467A2F">
        <w:rPr>
          <w:rFonts w:asciiTheme="minorHAnsi" w:hAnsiTheme="minorHAnsi"/>
          <w:sz w:val="18"/>
          <w:szCs w:val="18"/>
        </w:rPr>
        <w:t xml:space="preserve"> MK noteikumi Nr.401 “Noteikumi par valsts pārvaldes vienoto klientu apkalpošanas centru veidiem, sniegto pakalpojumu apjomu un pakalpojumu sniegšanas kārtību” un MK noteikumi Nr.399 “Valsts pārvaldes pakalpojumu uzskaites, kvalitātes kontroles un sniegšanas kārtība”</w:t>
      </w:r>
    </w:p>
  </w:footnote>
  <w:footnote w:id="74">
    <w:p w14:paraId="14D40640" w14:textId="77777777" w:rsidR="0047559B" w:rsidRPr="000A4BBA" w:rsidRDefault="0047559B" w:rsidP="000A4BBA">
      <w:pPr>
        <w:pStyle w:val="FootnoteText"/>
        <w:jc w:val="both"/>
        <w:rPr>
          <w:rFonts w:asciiTheme="minorHAnsi" w:hAnsiTheme="minorHAnsi"/>
          <w:sz w:val="18"/>
          <w:szCs w:val="18"/>
        </w:rPr>
      </w:pPr>
      <w:r w:rsidRPr="000A4BBA">
        <w:rPr>
          <w:rStyle w:val="FootnoteReference"/>
          <w:rFonts w:asciiTheme="minorHAnsi" w:hAnsiTheme="minorHAnsi"/>
          <w:sz w:val="18"/>
          <w:szCs w:val="18"/>
        </w:rPr>
        <w:footnoteRef/>
      </w:r>
      <w:r w:rsidRPr="000A4BBA">
        <w:rPr>
          <w:rFonts w:asciiTheme="minorHAnsi" w:hAnsiTheme="minorHAnsi"/>
          <w:sz w:val="18"/>
          <w:szCs w:val="18"/>
        </w:rPr>
        <w:t xml:space="preserve"> 26.07.2016. MK pieņemti noteikumi Nr.494 "Darbības programmas "Izaugsme un nodarbinātība" 5.2.1.specifiskā atbalsta mērķa "Veicināt dažāda veida atkritumu atkārtotu izmantošanu, pārstrādi un reģenerāciju" 5.2.1.1.pasākuma "Atkritumu dalītas savākšanas sistēmas attīstība" īstenošanas noteikumi" un 30.08.2016. MK pieņemti noteikumi Nr. 588 "Darbības programmas "Izaugsme un nodarbinātība" 5.2.1.specifiskā atbalsta mērķa "Veicināt dažāda veida atkritumu atkārtotu izmantošanu, pārstrādi un reģenerāciju" 5.2.1.2.pasākuma "Atkritumu pārstrādes veicināšana" īstenošanas noteikumi</w:t>
      </w:r>
    </w:p>
  </w:footnote>
  <w:footnote w:id="75">
    <w:p w14:paraId="553C5B70" w14:textId="77777777" w:rsidR="0047559B" w:rsidRPr="000A4BBA" w:rsidRDefault="0047559B" w:rsidP="000A4BBA">
      <w:pPr>
        <w:pStyle w:val="FootnoteText"/>
        <w:jc w:val="both"/>
        <w:rPr>
          <w:rFonts w:asciiTheme="minorHAnsi" w:hAnsiTheme="minorHAnsi"/>
          <w:color w:val="auto"/>
          <w:sz w:val="18"/>
          <w:szCs w:val="18"/>
        </w:rPr>
      </w:pPr>
      <w:r w:rsidRPr="000A4BBA">
        <w:rPr>
          <w:rStyle w:val="FootnoteReference"/>
          <w:rFonts w:asciiTheme="minorHAnsi" w:hAnsiTheme="minorHAnsi"/>
          <w:color w:val="auto"/>
          <w:sz w:val="18"/>
          <w:szCs w:val="18"/>
        </w:rPr>
        <w:footnoteRef/>
      </w:r>
      <w:r w:rsidRPr="000A4BBA">
        <w:rPr>
          <w:rFonts w:asciiTheme="minorHAnsi" w:hAnsiTheme="minorHAnsi"/>
          <w:color w:val="auto"/>
          <w:sz w:val="18"/>
          <w:szCs w:val="18"/>
        </w:rPr>
        <w:t xml:space="preserve"> Latvijas pašvaldībās uz 2014. gada 1. septembri izveidots 3071 sadzīves atkritumu dalītās savākšanas punkts un 65 šķiroto atkritumu savākšanas laukumi, papildus 50 pašvaldībās tiek nodrošināta dalīto atkritumu savākšana, izmantojot savākšanas maršrutus.</w:t>
      </w:r>
    </w:p>
  </w:footnote>
  <w:footnote w:id="76">
    <w:p w14:paraId="078CB67A" w14:textId="77777777" w:rsidR="0047559B" w:rsidRPr="000A4BBA" w:rsidRDefault="0047559B" w:rsidP="000A4BBA">
      <w:pPr>
        <w:pStyle w:val="FootnoteText"/>
        <w:jc w:val="both"/>
        <w:rPr>
          <w:rFonts w:asciiTheme="minorHAnsi" w:hAnsiTheme="minorHAnsi"/>
          <w:sz w:val="18"/>
          <w:szCs w:val="18"/>
        </w:rPr>
      </w:pPr>
      <w:r w:rsidRPr="000A4BBA">
        <w:rPr>
          <w:rStyle w:val="FootnoteReference"/>
          <w:rFonts w:asciiTheme="minorHAnsi" w:hAnsiTheme="minorHAnsi"/>
          <w:sz w:val="18"/>
          <w:szCs w:val="18"/>
        </w:rPr>
        <w:footnoteRef/>
      </w:r>
      <w:r w:rsidRPr="000A4BBA">
        <w:rPr>
          <w:rFonts w:asciiTheme="minorHAnsi" w:hAnsiTheme="minorHAnsi"/>
          <w:sz w:val="18"/>
          <w:szCs w:val="18"/>
        </w:rPr>
        <w:t xml:space="preserve"> Grozījumi Atkritumu apsaimniekošanas likumā un Grozījumi Dabas resursu nodokļa likumā</w:t>
      </w:r>
    </w:p>
  </w:footnote>
  <w:footnote w:id="77">
    <w:p w14:paraId="5B3255EA" w14:textId="77777777" w:rsidR="0047559B" w:rsidRPr="000A4BBA" w:rsidRDefault="0047559B" w:rsidP="000A4BBA">
      <w:pPr>
        <w:pStyle w:val="FootnoteText"/>
        <w:jc w:val="both"/>
        <w:rPr>
          <w:rFonts w:asciiTheme="minorHAnsi" w:hAnsiTheme="minorHAnsi"/>
          <w:sz w:val="18"/>
          <w:szCs w:val="18"/>
        </w:rPr>
      </w:pPr>
      <w:r w:rsidRPr="000A4BBA">
        <w:rPr>
          <w:rStyle w:val="FootnoteReference"/>
          <w:rFonts w:asciiTheme="minorHAnsi" w:hAnsiTheme="minorHAnsi"/>
          <w:sz w:val="18"/>
          <w:szCs w:val="18"/>
        </w:rPr>
        <w:footnoteRef/>
      </w:r>
      <w:r w:rsidRPr="000A4BBA">
        <w:rPr>
          <w:rFonts w:asciiTheme="minorHAnsi" w:hAnsiTheme="minorHAnsi"/>
          <w:sz w:val="18"/>
          <w:szCs w:val="18"/>
        </w:rPr>
        <w:t xml:space="preserve"> 2017.gada 20.jūnijā MK apstiprināti noteikumi Nr.353 “Prasības zaļajam publiskajam iepirkumam un to piemērošanas kārtība” (spēkā no 01.07.2017.)</w:t>
      </w:r>
    </w:p>
  </w:footnote>
  <w:footnote w:id="78">
    <w:p w14:paraId="381AB39F" w14:textId="77777777" w:rsidR="0047559B" w:rsidRPr="003225B6" w:rsidRDefault="0047559B" w:rsidP="006F29DF">
      <w:pPr>
        <w:pStyle w:val="FootnoteText"/>
        <w:jc w:val="both"/>
        <w:rPr>
          <w:rFonts w:ascii="Cambria" w:hAnsi="Cambria" w:cstheme="minorHAnsi"/>
          <w:sz w:val="18"/>
          <w:szCs w:val="18"/>
        </w:rPr>
      </w:pPr>
      <w:r w:rsidRPr="003225B6">
        <w:rPr>
          <w:rStyle w:val="FootnoteReference"/>
          <w:rFonts w:ascii="Cambria" w:hAnsi="Cambria"/>
          <w:sz w:val="18"/>
          <w:szCs w:val="18"/>
        </w:rPr>
        <w:footnoteRef/>
      </w:r>
      <w:r w:rsidRPr="003225B6">
        <w:rPr>
          <w:rFonts w:ascii="Cambria" w:hAnsi="Cambria"/>
          <w:sz w:val="18"/>
          <w:szCs w:val="18"/>
        </w:rPr>
        <w:t xml:space="preserve"> </w:t>
      </w:r>
      <w:r w:rsidRPr="003225B6">
        <w:rPr>
          <w:rFonts w:ascii="Cambria" w:hAnsi="Cambria" w:cstheme="minorHAnsi"/>
          <w:sz w:val="18"/>
          <w:szCs w:val="18"/>
        </w:rPr>
        <w:t>SAM 5.5.1. “Saglabāt, aizsargāt un attīstīt nozīmīgu kultūras un dabas mantojumu, kā arī attīstīt ar to saistītos pakalpojumus”</w:t>
      </w:r>
    </w:p>
  </w:footnote>
  <w:footnote w:id="79">
    <w:p w14:paraId="7369B738" w14:textId="77777777" w:rsidR="0047559B" w:rsidRPr="003225B6" w:rsidRDefault="0047559B" w:rsidP="006F29DF">
      <w:pPr>
        <w:pStyle w:val="FootnoteText"/>
        <w:jc w:val="both"/>
        <w:rPr>
          <w:rFonts w:ascii="Cambria" w:hAnsi="Cambria" w:cstheme="minorHAnsi"/>
          <w:sz w:val="18"/>
          <w:szCs w:val="18"/>
        </w:rPr>
      </w:pPr>
      <w:r w:rsidRPr="003225B6">
        <w:rPr>
          <w:rStyle w:val="FootnoteReference"/>
          <w:rFonts w:ascii="Cambria" w:hAnsi="Cambria"/>
          <w:sz w:val="18"/>
          <w:szCs w:val="18"/>
        </w:rPr>
        <w:footnoteRef/>
      </w:r>
      <w:r w:rsidRPr="003225B6">
        <w:rPr>
          <w:rFonts w:ascii="Cambria" w:hAnsi="Cambria"/>
          <w:sz w:val="18"/>
          <w:szCs w:val="18"/>
        </w:rPr>
        <w:t xml:space="preserve"> </w:t>
      </w:r>
      <w:r w:rsidRPr="003225B6">
        <w:rPr>
          <w:rFonts w:ascii="Cambria" w:hAnsi="Cambria" w:cstheme="minorHAnsi"/>
          <w:sz w:val="18"/>
          <w:szCs w:val="18"/>
        </w:rPr>
        <w:t>SAM 5.6.1. “Veicināt Rīgas pilsētas revitalizāciju, nodrošinot teritorijas efektīvu sociālekonomisko izmantošanu”</w:t>
      </w:r>
    </w:p>
  </w:footnote>
  <w:footnote w:id="80">
    <w:p w14:paraId="095A7043" w14:textId="77777777" w:rsidR="0047559B" w:rsidRPr="00625650" w:rsidRDefault="0047559B" w:rsidP="00EF6E23">
      <w:pPr>
        <w:pStyle w:val="FootnoteText"/>
      </w:pPr>
      <w:r>
        <w:rPr>
          <w:rStyle w:val="FootnoteReference"/>
        </w:rPr>
        <w:footnoteRef/>
      </w:r>
      <w:r>
        <w:t xml:space="preserve"> COM(2015) 614 final</w:t>
      </w:r>
    </w:p>
  </w:footnote>
  <w:footnote w:id="81">
    <w:p w14:paraId="069B33A4" w14:textId="77777777" w:rsidR="0047559B" w:rsidRDefault="0047559B" w:rsidP="00D87E57">
      <w:pPr>
        <w:pStyle w:val="FootnoteText"/>
        <w:rPr>
          <w:rFonts w:asciiTheme="majorHAnsi" w:hAnsiTheme="majorHAnsi"/>
          <w:sz w:val="14"/>
          <w:szCs w:val="16"/>
        </w:rPr>
      </w:pPr>
      <w:r w:rsidRPr="00960A80">
        <w:rPr>
          <w:rStyle w:val="FootnoteReference"/>
          <w:rFonts w:asciiTheme="majorHAnsi" w:hAnsiTheme="majorHAnsi"/>
          <w:sz w:val="14"/>
          <w:szCs w:val="16"/>
        </w:rPr>
        <w:footnoteRef/>
      </w:r>
      <w:r w:rsidRPr="00960A80">
        <w:rPr>
          <w:rFonts w:asciiTheme="majorHAnsi" w:hAnsiTheme="majorHAnsi"/>
          <w:sz w:val="14"/>
          <w:szCs w:val="16"/>
        </w:rPr>
        <w:t xml:space="preserve"> Latvijas nacionālā reformu programma „Eiropa 2020” stratēģijas īstenošanai</w:t>
      </w:r>
    </w:p>
    <w:p w14:paraId="0B18CB6F" w14:textId="77777777" w:rsidR="0047559B" w:rsidRPr="00960A80" w:rsidRDefault="0047559B" w:rsidP="00D87E57">
      <w:pPr>
        <w:pStyle w:val="FootnoteText"/>
        <w:rPr>
          <w:rFonts w:asciiTheme="majorHAnsi" w:hAnsiTheme="majorHAnsi"/>
          <w:sz w:val="14"/>
          <w:szCs w:val="16"/>
        </w:rPr>
      </w:pPr>
      <w:r w:rsidRPr="00960A80">
        <w:rPr>
          <w:rFonts w:asciiTheme="majorHAnsi" w:hAnsiTheme="majorHAnsi"/>
          <w:sz w:val="14"/>
          <w:szCs w:val="16"/>
        </w:rPr>
        <w:t xml:space="preserve"> </w:t>
      </w:r>
      <w:hyperlink r:id="rId7" w:history="1">
        <w:r w:rsidRPr="00960A80">
          <w:rPr>
            <w:rStyle w:val="Hyperlink"/>
            <w:rFonts w:asciiTheme="majorHAnsi" w:hAnsiTheme="majorHAnsi"/>
            <w:sz w:val="14"/>
            <w:szCs w:val="16"/>
          </w:rPr>
          <w:t>https://www.em.gov.lv/lv/eiropas_savieniba/strategija__eiropa_2020_/latvijas_nacionala_reformu_programma/</w:t>
        </w:r>
      </w:hyperlink>
      <w:r w:rsidRPr="00960A80">
        <w:rPr>
          <w:rFonts w:asciiTheme="majorHAnsi" w:hAnsiTheme="majorHAnsi"/>
          <w:sz w:val="14"/>
          <w:szCs w:val="16"/>
        </w:rPr>
        <w:t xml:space="preserve"> </w:t>
      </w:r>
    </w:p>
  </w:footnote>
  <w:footnote w:id="82">
    <w:p w14:paraId="51412549" w14:textId="77777777" w:rsidR="0047559B" w:rsidRPr="00960A80" w:rsidRDefault="0047559B" w:rsidP="00D87E57">
      <w:pPr>
        <w:pStyle w:val="FootnoteText"/>
        <w:rPr>
          <w:rFonts w:asciiTheme="majorHAnsi" w:hAnsiTheme="majorHAnsi"/>
          <w:sz w:val="14"/>
          <w:szCs w:val="16"/>
        </w:rPr>
      </w:pPr>
      <w:r w:rsidRPr="00960A80">
        <w:rPr>
          <w:rStyle w:val="FootnoteReference"/>
          <w:rFonts w:asciiTheme="majorHAnsi" w:hAnsiTheme="majorHAnsi"/>
          <w:sz w:val="14"/>
          <w:szCs w:val="16"/>
        </w:rPr>
        <w:footnoteRef/>
      </w:r>
      <w:r w:rsidRPr="00960A80">
        <w:rPr>
          <w:rFonts w:asciiTheme="majorHAnsi" w:hAnsiTheme="majorHAnsi"/>
          <w:sz w:val="14"/>
          <w:szCs w:val="16"/>
        </w:rPr>
        <w:t xml:space="preserve"> Zinātnes, tehnoloģijas attīstības un inovācijas pamatnostādnes 2014.-2020, kas ietver Latvijas Viedās specializācijas stratēģiju </w:t>
      </w:r>
      <w:hyperlink r:id="rId8" w:history="1">
        <w:r w:rsidRPr="00960A80">
          <w:rPr>
            <w:rStyle w:val="Hyperlink"/>
            <w:rFonts w:asciiTheme="majorHAnsi" w:hAnsiTheme="majorHAnsi"/>
            <w:sz w:val="14"/>
            <w:szCs w:val="16"/>
          </w:rPr>
          <w:t>http://tap.mk.gov.lv/mk/tap/?pid=40306267</w:t>
        </w:r>
      </w:hyperlink>
      <w:r w:rsidRPr="00960A80">
        <w:rPr>
          <w:rFonts w:asciiTheme="majorHAnsi" w:hAnsiTheme="majorHAnsi"/>
          <w:sz w:val="14"/>
          <w:szCs w:val="16"/>
        </w:rPr>
        <w:t xml:space="preserve"> </w:t>
      </w:r>
    </w:p>
  </w:footnote>
  <w:footnote w:id="83">
    <w:p w14:paraId="4B4031B1" w14:textId="77777777" w:rsidR="0047559B" w:rsidRPr="00960A80" w:rsidRDefault="0047559B" w:rsidP="00D87E57">
      <w:pPr>
        <w:pStyle w:val="FootnoteText"/>
        <w:rPr>
          <w:rFonts w:asciiTheme="majorHAnsi" w:hAnsiTheme="majorHAnsi"/>
          <w:sz w:val="14"/>
          <w:szCs w:val="16"/>
        </w:rPr>
      </w:pPr>
      <w:r w:rsidRPr="00960A80">
        <w:rPr>
          <w:rStyle w:val="FootnoteReference"/>
          <w:rFonts w:asciiTheme="majorHAnsi" w:hAnsiTheme="majorHAnsi"/>
          <w:sz w:val="14"/>
          <w:szCs w:val="16"/>
        </w:rPr>
        <w:footnoteRef/>
      </w:r>
      <w:r w:rsidRPr="00960A80">
        <w:rPr>
          <w:rFonts w:asciiTheme="majorHAnsi" w:hAnsiTheme="majorHAnsi"/>
          <w:sz w:val="14"/>
          <w:szCs w:val="16"/>
        </w:rPr>
        <w:t xml:space="preserve"> Nacionālās industriālās politikas pamatnostādnes </w:t>
      </w:r>
      <w:hyperlink r:id="rId9" w:history="1">
        <w:r w:rsidRPr="00960A80">
          <w:rPr>
            <w:rStyle w:val="Hyperlink"/>
            <w:rFonts w:asciiTheme="majorHAnsi" w:hAnsiTheme="majorHAnsi"/>
            <w:sz w:val="14"/>
            <w:szCs w:val="16"/>
          </w:rPr>
          <w:t>https://www.em.gov.lv/lv/nozares_politika/nacionala_industriala_politika/</w:t>
        </w:r>
      </w:hyperlink>
      <w:r w:rsidRPr="00960A80">
        <w:rPr>
          <w:rFonts w:asciiTheme="majorHAnsi" w:hAnsiTheme="majorHAnsi"/>
          <w:sz w:val="14"/>
          <w:szCs w:val="16"/>
        </w:rPr>
        <w:t xml:space="preserve"> </w:t>
      </w:r>
    </w:p>
  </w:footnote>
  <w:footnote w:id="84">
    <w:p w14:paraId="78BF3AC6" w14:textId="77777777" w:rsidR="0047559B" w:rsidRPr="00960A80" w:rsidRDefault="0047559B" w:rsidP="00D87E57">
      <w:pPr>
        <w:pStyle w:val="FootnoteText"/>
        <w:rPr>
          <w:rFonts w:asciiTheme="majorHAnsi" w:hAnsiTheme="majorHAnsi"/>
          <w:sz w:val="14"/>
          <w:szCs w:val="16"/>
        </w:rPr>
      </w:pPr>
      <w:r w:rsidRPr="00960A80">
        <w:rPr>
          <w:rStyle w:val="FootnoteReference"/>
          <w:rFonts w:asciiTheme="majorHAnsi" w:hAnsiTheme="majorHAnsi"/>
          <w:sz w:val="14"/>
          <w:szCs w:val="16"/>
        </w:rPr>
        <w:footnoteRef/>
      </w:r>
      <w:r w:rsidRPr="00960A80">
        <w:rPr>
          <w:rFonts w:asciiTheme="majorHAnsi" w:hAnsiTheme="majorHAnsi"/>
          <w:sz w:val="14"/>
          <w:szCs w:val="16"/>
        </w:rPr>
        <w:t xml:space="preserve"> Informatīvais ziņojums Par Latvijas preču un pakalpojumu eksporta veicināšanas un ārvalstu investīciju piesaistes pamatnostādņu 2013.-2019.gadam īstenošanas 2013. – 2015.gadā starpposma novērtējumu </w:t>
      </w:r>
      <w:hyperlink r:id="rId10" w:history="1">
        <w:r w:rsidRPr="00960A80">
          <w:rPr>
            <w:rStyle w:val="Hyperlink"/>
            <w:rFonts w:asciiTheme="majorHAnsi" w:hAnsiTheme="majorHAnsi"/>
            <w:sz w:val="14"/>
            <w:szCs w:val="16"/>
          </w:rPr>
          <w:t>http://tap.mk.gov.lv/mk/tap/?pid=40412362</w:t>
        </w:r>
      </w:hyperlink>
      <w:r w:rsidRPr="00960A80">
        <w:rPr>
          <w:rFonts w:asciiTheme="majorHAnsi" w:hAnsiTheme="majorHAnsi"/>
          <w:sz w:val="14"/>
          <w:szCs w:val="16"/>
        </w:rPr>
        <w:t xml:space="preserve"> </w:t>
      </w:r>
    </w:p>
  </w:footnote>
  <w:footnote w:id="85">
    <w:p w14:paraId="5B3EB836" w14:textId="77777777" w:rsidR="0047559B" w:rsidRPr="00960A80" w:rsidRDefault="0047559B" w:rsidP="00D87E57">
      <w:pPr>
        <w:pStyle w:val="FootnoteText"/>
        <w:rPr>
          <w:rFonts w:asciiTheme="majorHAnsi" w:hAnsiTheme="majorHAnsi"/>
          <w:sz w:val="14"/>
          <w:szCs w:val="16"/>
        </w:rPr>
      </w:pPr>
      <w:r w:rsidRPr="00960A80">
        <w:rPr>
          <w:rStyle w:val="FootnoteReference"/>
          <w:rFonts w:asciiTheme="majorHAnsi" w:hAnsiTheme="majorHAnsi"/>
          <w:sz w:val="14"/>
          <w:szCs w:val="16"/>
        </w:rPr>
        <w:footnoteRef/>
      </w:r>
      <w:r w:rsidRPr="00960A80">
        <w:rPr>
          <w:rFonts w:asciiTheme="majorHAnsi" w:hAnsiTheme="majorHAnsi"/>
          <w:sz w:val="14"/>
          <w:szCs w:val="16"/>
        </w:rPr>
        <w:t xml:space="preserve">Latvijas konkurētspējas novērtējums 2011 </w:t>
      </w:r>
      <w:hyperlink r:id="rId11" w:history="1">
        <w:r w:rsidRPr="00960A80">
          <w:rPr>
            <w:rStyle w:val="Hyperlink"/>
            <w:rFonts w:asciiTheme="majorHAnsi" w:hAnsiTheme="majorHAnsi"/>
            <w:sz w:val="14"/>
            <w:szCs w:val="16"/>
          </w:rPr>
          <w:t>http://www.biceps.org/assets/docs/LCR_LV_1804_Final_1.pdf</w:t>
        </w:r>
      </w:hyperlink>
      <w:r w:rsidRPr="00960A80">
        <w:rPr>
          <w:rFonts w:asciiTheme="majorHAnsi" w:hAnsiTheme="majorHAnsi"/>
          <w:sz w:val="14"/>
          <w:szCs w:val="16"/>
        </w:rPr>
        <w:t xml:space="preserve"> </w:t>
      </w:r>
    </w:p>
    <w:p w14:paraId="102DDA3E" w14:textId="77777777" w:rsidR="0047559B" w:rsidRPr="003B2746" w:rsidRDefault="0047559B" w:rsidP="00D87E57">
      <w:pPr>
        <w:pStyle w:val="FootnoteText"/>
        <w:rPr>
          <w:rFonts w:asciiTheme="majorHAnsi" w:hAnsiTheme="majorHAnsi"/>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85140"/>
    <w:multiLevelType w:val="hybridMultilevel"/>
    <w:tmpl w:val="B9D815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0716F54"/>
    <w:multiLevelType w:val="hybridMultilevel"/>
    <w:tmpl w:val="70A85EA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9E7D49"/>
    <w:multiLevelType w:val="hybridMultilevel"/>
    <w:tmpl w:val="5AE808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5300C2B"/>
    <w:multiLevelType w:val="hybridMultilevel"/>
    <w:tmpl w:val="FA4021F2"/>
    <w:lvl w:ilvl="0" w:tplc="1CE625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B1F7D"/>
    <w:multiLevelType w:val="hybridMultilevel"/>
    <w:tmpl w:val="9578C3F0"/>
    <w:lvl w:ilvl="0" w:tplc="C340E2BA">
      <w:start w:val="4"/>
      <w:numFmt w:val="bullet"/>
      <w:lvlText w:val="-"/>
      <w:lvlJc w:val="left"/>
      <w:pPr>
        <w:ind w:left="1080" w:hanging="360"/>
      </w:pPr>
      <w:rPr>
        <w:rFonts w:ascii="Cambria" w:eastAsia="MS Mincho" w:hAnsi="Cambria"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21CB0F60"/>
    <w:multiLevelType w:val="hybridMultilevel"/>
    <w:tmpl w:val="2550D3B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2FD7D8F"/>
    <w:multiLevelType w:val="hybridMultilevel"/>
    <w:tmpl w:val="186425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9DC2628"/>
    <w:multiLevelType w:val="hybridMultilevel"/>
    <w:tmpl w:val="15E09652"/>
    <w:lvl w:ilvl="0" w:tplc="E04A338E">
      <w:start w:val="4"/>
      <w:numFmt w:val="bullet"/>
      <w:lvlText w:val="-"/>
      <w:lvlJc w:val="left"/>
      <w:pPr>
        <w:ind w:left="1080" w:hanging="360"/>
      </w:pPr>
      <w:rPr>
        <w:rFonts w:ascii="Cambria" w:eastAsia="MS Mincho" w:hAnsi="Cambria"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2AB21AE1"/>
    <w:multiLevelType w:val="hybridMultilevel"/>
    <w:tmpl w:val="601A54F2"/>
    <w:lvl w:ilvl="0" w:tplc="892E3A0C">
      <w:numFmt w:val="bullet"/>
      <w:lvlText w:val="–"/>
      <w:lvlJc w:val="left"/>
      <w:pPr>
        <w:ind w:left="1080" w:hanging="360"/>
      </w:pPr>
      <w:rPr>
        <w:rFonts w:ascii="Cambria" w:eastAsiaTheme="minorEastAsia" w:hAnsi="Cambria"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2CA8640C"/>
    <w:multiLevelType w:val="hybridMultilevel"/>
    <w:tmpl w:val="56E6418E"/>
    <w:lvl w:ilvl="0" w:tplc="AF305AD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DDF7708"/>
    <w:multiLevelType w:val="hybridMultilevel"/>
    <w:tmpl w:val="62E2E3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1A5500"/>
    <w:multiLevelType w:val="hybridMultilevel"/>
    <w:tmpl w:val="023AA498"/>
    <w:lvl w:ilvl="0" w:tplc="226AA3D0">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2536A3B"/>
    <w:multiLevelType w:val="hybridMultilevel"/>
    <w:tmpl w:val="2410F242"/>
    <w:lvl w:ilvl="0" w:tplc="AF305AD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35C01B8"/>
    <w:multiLevelType w:val="hybridMultilevel"/>
    <w:tmpl w:val="1B76CC46"/>
    <w:lvl w:ilvl="0" w:tplc="0809000F">
      <w:start w:val="1"/>
      <w:numFmt w:val="decimal"/>
      <w:lvlText w:val="%1."/>
      <w:lvlJc w:val="left"/>
      <w:pPr>
        <w:ind w:left="1440" w:hanging="360"/>
      </w:pPr>
      <w:rPr>
        <w:rFonts w:hint="default"/>
      </w:rPr>
    </w:lvl>
    <w:lvl w:ilvl="1" w:tplc="1D9C310E">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5F11CF6"/>
    <w:multiLevelType w:val="hybridMultilevel"/>
    <w:tmpl w:val="973C49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7F90FB1"/>
    <w:multiLevelType w:val="hybridMultilevel"/>
    <w:tmpl w:val="69545A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343C22"/>
    <w:multiLevelType w:val="hybridMultilevel"/>
    <w:tmpl w:val="7E9EEC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AA80ED7"/>
    <w:multiLevelType w:val="hybridMultilevel"/>
    <w:tmpl w:val="144610CE"/>
    <w:lvl w:ilvl="0" w:tplc="8AA44E94">
      <w:start w:val="1"/>
      <w:numFmt w:val="bullet"/>
      <w:lvlText w:val="-"/>
      <w:lvlJc w:val="left"/>
      <w:pPr>
        <w:ind w:left="720" w:hanging="360"/>
      </w:pPr>
      <w:rPr>
        <w:rFonts w:ascii="Cambria" w:eastAsiaTheme="minorEastAsia" w:hAnsi="Cambri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D6C1BF1"/>
    <w:multiLevelType w:val="hybridMultilevel"/>
    <w:tmpl w:val="3A367B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ED4525"/>
    <w:multiLevelType w:val="hybridMultilevel"/>
    <w:tmpl w:val="13BEB6E2"/>
    <w:lvl w:ilvl="0" w:tplc="45DA466C">
      <w:numFmt w:val="bullet"/>
      <w:lvlText w:val="-"/>
      <w:lvlJc w:val="left"/>
      <w:pPr>
        <w:ind w:left="1080" w:hanging="360"/>
      </w:pPr>
      <w:rPr>
        <w:rFonts w:ascii="Cambria" w:eastAsia="MS Mincho" w:hAnsi="Cambria"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47FE17BD"/>
    <w:multiLevelType w:val="hybridMultilevel"/>
    <w:tmpl w:val="16E0E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BC501A6"/>
    <w:multiLevelType w:val="hybridMultilevel"/>
    <w:tmpl w:val="FA4021F2"/>
    <w:lvl w:ilvl="0" w:tplc="1CE625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2F6B72"/>
    <w:multiLevelType w:val="hybridMultilevel"/>
    <w:tmpl w:val="A2FAC3BC"/>
    <w:lvl w:ilvl="0" w:tplc="BA5A8CDC">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DDA70F1"/>
    <w:multiLevelType w:val="hybridMultilevel"/>
    <w:tmpl w:val="70A85EA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74C55E1"/>
    <w:multiLevelType w:val="hybridMultilevel"/>
    <w:tmpl w:val="E09EAE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7577C6D"/>
    <w:multiLevelType w:val="hybridMultilevel"/>
    <w:tmpl w:val="909055F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7F23832"/>
    <w:multiLevelType w:val="hybridMultilevel"/>
    <w:tmpl w:val="577CC3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C7245BA"/>
    <w:multiLevelType w:val="hybridMultilevel"/>
    <w:tmpl w:val="D9205D38"/>
    <w:lvl w:ilvl="0" w:tplc="A25AC6F2">
      <w:start w:val="1"/>
      <w:numFmt w:val="bullet"/>
      <w:lvlText w:val="-"/>
      <w:lvlJc w:val="left"/>
      <w:pPr>
        <w:ind w:left="720" w:hanging="360"/>
      </w:pPr>
      <w:rPr>
        <w:rFonts w:ascii="Shonar Bangla" w:hAnsi="Shonar Bangla" w:hint="default"/>
        <w:b w:val="0"/>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CC12A85"/>
    <w:multiLevelType w:val="hybridMultilevel"/>
    <w:tmpl w:val="A75E467E"/>
    <w:lvl w:ilvl="0" w:tplc="C1AC60DE">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BB0CC0"/>
    <w:multiLevelType w:val="hybridMultilevel"/>
    <w:tmpl w:val="70A85EA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E826EAA"/>
    <w:multiLevelType w:val="hybridMultilevel"/>
    <w:tmpl w:val="7FD0F302"/>
    <w:lvl w:ilvl="0" w:tplc="DB689E18">
      <w:start w:val="4"/>
      <w:numFmt w:val="bullet"/>
      <w:lvlText w:val="-"/>
      <w:lvlJc w:val="left"/>
      <w:pPr>
        <w:ind w:left="1080" w:hanging="360"/>
      </w:pPr>
      <w:rPr>
        <w:rFonts w:ascii="Cambria" w:eastAsia="MS Mincho" w:hAnsi="Cambria"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60DF1C5C"/>
    <w:multiLevelType w:val="hybridMultilevel"/>
    <w:tmpl w:val="70A85EA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A3B2AC6"/>
    <w:multiLevelType w:val="hybridMultilevel"/>
    <w:tmpl w:val="1192639C"/>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0071AC0"/>
    <w:multiLevelType w:val="hybridMultilevel"/>
    <w:tmpl w:val="70A85EA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17C7545"/>
    <w:multiLevelType w:val="hybridMultilevel"/>
    <w:tmpl w:val="3A6476D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642188F"/>
    <w:multiLevelType w:val="hybridMultilevel"/>
    <w:tmpl w:val="F56481D2"/>
    <w:lvl w:ilvl="0" w:tplc="F54871E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B887114"/>
    <w:multiLevelType w:val="hybridMultilevel"/>
    <w:tmpl w:val="0D6EA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897DB0"/>
    <w:multiLevelType w:val="hybridMultilevel"/>
    <w:tmpl w:val="D39E14B2"/>
    <w:lvl w:ilvl="0" w:tplc="B8460C3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C2D219C"/>
    <w:multiLevelType w:val="hybridMultilevel"/>
    <w:tmpl w:val="9A4AB0E4"/>
    <w:lvl w:ilvl="0" w:tplc="AE5689F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C8A1E22"/>
    <w:multiLevelType w:val="hybridMultilevel"/>
    <w:tmpl w:val="4DDE974C"/>
    <w:lvl w:ilvl="0" w:tplc="D95AED04">
      <w:start w:val="2"/>
      <w:numFmt w:val="bullet"/>
      <w:lvlText w:val="-"/>
      <w:lvlJc w:val="left"/>
      <w:pPr>
        <w:ind w:left="720" w:hanging="360"/>
      </w:pPr>
      <w:rPr>
        <w:rFonts w:ascii="Cambria" w:eastAsia="MS Mincho"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24"/>
  </w:num>
  <w:num w:numId="4">
    <w:abstractNumId w:val="11"/>
  </w:num>
  <w:num w:numId="5">
    <w:abstractNumId w:val="16"/>
  </w:num>
  <w:num w:numId="6">
    <w:abstractNumId w:val="20"/>
  </w:num>
  <w:num w:numId="7">
    <w:abstractNumId w:val="0"/>
  </w:num>
  <w:num w:numId="8">
    <w:abstractNumId w:val="27"/>
  </w:num>
  <w:num w:numId="9">
    <w:abstractNumId w:val="12"/>
  </w:num>
  <w:num w:numId="10">
    <w:abstractNumId w:val="9"/>
  </w:num>
  <w:num w:numId="11">
    <w:abstractNumId w:val="35"/>
  </w:num>
  <w:num w:numId="12">
    <w:abstractNumId w:val="22"/>
  </w:num>
  <w:num w:numId="13">
    <w:abstractNumId w:val="36"/>
  </w:num>
  <w:num w:numId="14">
    <w:abstractNumId w:val="2"/>
  </w:num>
  <w:num w:numId="15">
    <w:abstractNumId w:val="15"/>
  </w:num>
  <w:num w:numId="16">
    <w:abstractNumId w:val="26"/>
  </w:num>
  <w:num w:numId="17">
    <w:abstractNumId w:val="34"/>
  </w:num>
  <w:num w:numId="18">
    <w:abstractNumId w:val="25"/>
  </w:num>
  <w:num w:numId="19">
    <w:abstractNumId w:val="17"/>
  </w:num>
  <w:num w:numId="20">
    <w:abstractNumId w:val="39"/>
  </w:num>
  <w:num w:numId="21">
    <w:abstractNumId w:val="37"/>
  </w:num>
  <w:num w:numId="22">
    <w:abstractNumId w:val="7"/>
  </w:num>
  <w:num w:numId="23">
    <w:abstractNumId w:val="4"/>
  </w:num>
  <w:num w:numId="24">
    <w:abstractNumId w:val="30"/>
  </w:num>
  <w:num w:numId="25">
    <w:abstractNumId w:val="19"/>
  </w:num>
  <w:num w:numId="26">
    <w:abstractNumId w:val="8"/>
  </w:num>
  <w:num w:numId="27">
    <w:abstractNumId w:val="21"/>
  </w:num>
  <w:num w:numId="28">
    <w:abstractNumId w:val="3"/>
  </w:num>
  <w:num w:numId="29">
    <w:abstractNumId w:val="6"/>
  </w:num>
  <w:num w:numId="30">
    <w:abstractNumId w:val="38"/>
  </w:num>
  <w:num w:numId="31">
    <w:abstractNumId w:val="14"/>
  </w:num>
  <w:num w:numId="32">
    <w:abstractNumId w:val="18"/>
  </w:num>
  <w:num w:numId="33">
    <w:abstractNumId w:val="5"/>
  </w:num>
  <w:num w:numId="34">
    <w:abstractNumId w:val="10"/>
  </w:num>
  <w:num w:numId="35">
    <w:abstractNumId w:val="31"/>
  </w:num>
  <w:num w:numId="36">
    <w:abstractNumId w:val="1"/>
  </w:num>
  <w:num w:numId="37">
    <w:abstractNumId w:val="23"/>
  </w:num>
  <w:num w:numId="38">
    <w:abstractNumId w:val="29"/>
  </w:num>
  <w:num w:numId="39">
    <w:abstractNumId w:val="1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B6"/>
    <w:rsid w:val="000016C4"/>
    <w:rsid w:val="0000655B"/>
    <w:rsid w:val="00007170"/>
    <w:rsid w:val="000071DE"/>
    <w:rsid w:val="00012A9E"/>
    <w:rsid w:val="00012BD6"/>
    <w:rsid w:val="00013FF1"/>
    <w:rsid w:val="00016E7A"/>
    <w:rsid w:val="00016F14"/>
    <w:rsid w:val="00021794"/>
    <w:rsid w:val="00025A31"/>
    <w:rsid w:val="00027B9E"/>
    <w:rsid w:val="000302FB"/>
    <w:rsid w:val="00030D23"/>
    <w:rsid w:val="00033313"/>
    <w:rsid w:val="0003360F"/>
    <w:rsid w:val="000353B6"/>
    <w:rsid w:val="0003662B"/>
    <w:rsid w:val="00037857"/>
    <w:rsid w:val="00040EF2"/>
    <w:rsid w:val="00045FB1"/>
    <w:rsid w:val="00050219"/>
    <w:rsid w:val="00051019"/>
    <w:rsid w:val="00054523"/>
    <w:rsid w:val="000565E9"/>
    <w:rsid w:val="0006027A"/>
    <w:rsid w:val="00064488"/>
    <w:rsid w:val="000664FB"/>
    <w:rsid w:val="000670A8"/>
    <w:rsid w:val="000707B6"/>
    <w:rsid w:val="00072C80"/>
    <w:rsid w:val="00076602"/>
    <w:rsid w:val="000805E1"/>
    <w:rsid w:val="0008133C"/>
    <w:rsid w:val="00081575"/>
    <w:rsid w:val="00083743"/>
    <w:rsid w:val="00084BA0"/>
    <w:rsid w:val="00084FE2"/>
    <w:rsid w:val="00091050"/>
    <w:rsid w:val="00092454"/>
    <w:rsid w:val="00094040"/>
    <w:rsid w:val="000947F0"/>
    <w:rsid w:val="00095675"/>
    <w:rsid w:val="00097862"/>
    <w:rsid w:val="000A03BD"/>
    <w:rsid w:val="000A0ABD"/>
    <w:rsid w:val="000A33D5"/>
    <w:rsid w:val="000A3939"/>
    <w:rsid w:val="000A4BBA"/>
    <w:rsid w:val="000A6381"/>
    <w:rsid w:val="000A7D8C"/>
    <w:rsid w:val="000A7E63"/>
    <w:rsid w:val="000B3816"/>
    <w:rsid w:val="000B3DD7"/>
    <w:rsid w:val="000C0409"/>
    <w:rsid w:val="000C5AE1"/>
    <w:rsid w:val="000C7998"/>
    <w:rsid w:val="000D10A6"/>
    <w:rsid w:val="000D18DC"/>
    <w:rsid w:val="000D5F03"/>
    <w:rsid w:val="000D77BB"/>
    <w:rsid w:val="000E3D00"/>
    <w:rsid w:val="000E4791"/>
    <w:rsid w:val="000E68C7"/>
    <w:rsid w:val="000F35A7"/>
    <w:rsid w:val="000F4319"/>
    <w:rsid w:val="000F4BB1"/>
    <w:rsid w:val="001005D9"/>
    <w:rsid w:val="00100F90"/>
    <w:rsid w:val="00100F9B"/>
    <w:rsid w:val="001015BA"/>
    <w:rsid w:val="00101F75"/>
    <w:rsid w:val="0010212C"/>
    <w:rsid w:val="001039DE"/>
    <w:rsid w:val="00110E31"/>
    <w:rsid w:val="0011421D"/>
    <w:rsid w:val="0011662A"/>
    <w:rsid w:val="001177E9"/>
    <w:rsid w:val="00121897"/>
    <w:rsid w:val="001238D3"/>
    <w:rsid w:val="00134624"/>
    <w:rsid w:val="00135398"/>
    <w:rsid w:val="0013602E"/>
    <w:rsid w:val="00137CA1"/>
    <w:rsid w:val="00140B9D"/>
    <w:rsid w:val="00141BC7"/>
    <w:rsid w:val="00143506"/>
    <w:rsid w:val="00154EF3"/>
    <w:rsid w:val="001558F2"/>
    <w:rsid w:val="0015787D"/>
    <w:rsid w:val="00157A9D"/>
    <w:rsid w:val="00157E0D"/>
    <w:rsid w:val="00160026"/>
    <w:rsid w:val="001621A1"/>
    <w:rsid w:val="00164164"/>
    <w:rsid w:val="00167BA9"/>
    <w:rsid w:val="00170734"/>
    <w:rsid w:val="00171BED"/>
    <w:rsid w:val="001724E9"/>
    <w:rsid w:val="00176CA4"/>
    <w:rsid w:val="00176F21"/>
    <w:rsid w:val="00177173"/>
    <w:rsid w:val="00177782"/>
    <w:rsid w:val="001829AD"/>
    <w:rsid w:val="00182B3E"/>
    <w:rsid w:val="0018435A"/>
    <w:rsid w:val="00184FFF"/>
    <w:rsid w:val="0019075C"/>
    <w:rsid w:val="001932E5"/>
    <w:rsid w:val="00194A43"/>
    <w:rsid w:val="00195A36"/>
    <w:rsid w:val="001A09E6"/>
    <w:rsid w:val="001A0A4E"/>
    <w:rsid w:val="001A3173"/>
    <w:rsid w:val="001A35EF"/>
    <w:rsid w:val="001A79EC"/>
    <w:rsid w:val="001B152A"/>
    <w:rsid w:val="001B2B91"/>
    <w:rsid w:val="001B4D20"/>
    <w:rsid w:val="001B5171"/>
    <w:rsid w:val="001B6EA5"/>
    <w:rsid w:val="001C59CF"/>
    <w:rsid w:val="001D06C8"/>
    <w:rsid w:val="001D4B92"/>
    <w:rsid w:val="001D4C9B"/>
    <w:rsid w:val="001D5FE8"/>
    <w:rsid w:val="001D79A6"/>
    <w:rsid w:val="001E0D0E"/>
    <w:rsid w:val="001E4135"/>
    <w:rsid w:val="001E5C1D"/>
    <w:rsid w:val="001E78B8"/>
    <w:rsid w:val="001F01A3"/>
    <w:rsid w:val="001F2F83"/>
    <w:rsid w:val="001F571C"/>
    <w:rsid w:val="001F7DB8"/>
    <w:rsid w:val="002008C6"/>
    <w:rsid w:val="00202D3A"/>
    <w:rsid w:val="002034E7"/>
    <w:rsid w:val="0020626F"/>
    <w:rsid w:val="00206FD5"/>
    <w:rsid w:val="00207AD8"/>
    <w:rsid w:val="00212B56"/>
    <w:rsid w:val="002139B5"/>
    <w:rsid w:val="0021439F"/>
    <w:rsid w:val="002145DF"/>
    <w:rsid w:val="0021771D"/>
    <w:rsid w:val="0022072D"/>
    <w:rsid w:val="00225115"/>
    <w:rsid w:val="002260E7"/>
    <w:rsid w:val="002305B6"/>
    <w:rsid w:val="00231BE8"/>
    <w:rsid w:val="0023665B"/>
    <w:rsid w:val="00240CF8"/>
    <w:rsid w:val="00240FDD"/>
    <w:rsid w:val="0024120B"/>
    <w:rsid w:val="00242431"/>
    <w:rsid w:val="00242A68"/>
    <w:rsid w:val="00242B38"/>
    <w:rsid w:val="0024352B"/>
    <w:rsid w:val="0024429E"/>
    <w:rsid w:val="002443DF"/>
    <w:rsid w:val="002449E0"/>
    <w:rsid w:val="00245A19"/>
    <w:rsid w:val="0025160D"/>
    <w:rsid w:val="00253A65"/>
    <w:rsid w:val="002604BF"/>
    <w:rsid w:val="0026266A"/>
    <w:rsid w:val="00262989"/>
    <w:rsid w:val="00262ECC"/>
    <w:rsid w:val="00264DA8"/>
    <w:rsid w:val="00270DA5"/>
    <w:rsid w:val="00270F32"/>
    <w:rsid w:val="002726C6"/>
    <w:rsid w:val="00275325"/>
    <w:rsid w:val="002759EE"/>
    <w:rsid w:val="00280241"/>
    <w:rsid w:val="0028393B"/>
    <w:rsid w:val="002848DA"/>
    <w:rsid w:val="002860C8"/>
    <w:rsid w:val="0029021B"/>
    <w:rsid w:val="00291AFB"/>
    <w:rsid w:val="00294B5E"/>
    <w:rsid w:val="00294E1E"/>
    <w:rsid w:val="0029617A"/>
    <w:rsid w:val="00296FDA"/>
    <w:rsid w:val="002A004C"/>
    <w:rsid w:val="002A0FBB"/>
    <w:rsid w:val="002A1E20"/>
    <w:rsid w:val="002A249F"/>
    <w:rsid w:val="002A2F88"/>
    <w:rsid w:val="002A4352"/>
    <w:rsid w:val="002B00CB"/>
    <w:rsid w:val="002B0A6F"/>
    <w:rsid w:val="002B1D39"/>
    <w:rsid w:val="002B2838"/>
    <w:rsid w:val="002B5BAD"/>
    <w:rsid w:val="002B6DDB"/>
    <w:rsid w:val="002B7AF7"/>
    <w:rsid w:val="002C3763"/>
    <w:rsid w:val="002C4007"/>
    <w:rsid w:val="002C48E3"/>
    <w:rsid w:val="002C5B2D"/>
    <w:rsid w:val="002C79D9"/>
    <w:rsid w:val="002C7BE1"/>
    <w:rsid w:val="002D07C4"/>
    <w:rsid w:val="002D3391"/>
    <w:rsid w:val="002D751E"/>
    <w:rsid w:val="002E32D0"/>
    <w:rsid w:val="002E3F57"/>
    <w:rsid w:val="002E703A"/>
    <w:rsid w:val="002F0B8F"/>
    <w:rsid w:val="002F0BA3"/>
    <w:rsid w:val="002F0DE4"/>
    <w:rsid w:val="002F3D28"/>
    <w:rsid w:val="002F57D8"/>
    <w:rsid w:val="002F5FB5"/>
    <w:rsid w:val="002F6849"/>
    <w:rsid w:val="00300A7B"/>
    <w:rsid w:val="003022A8"/>
    <w:rsid w:val="003031E8"/>
    <w:rsid w:val="003034BC"/>
    <w:rsid w:val="00306281"/>
    <w:rsid w:val="0030636A"/>
    <w:rsid w:val="003116EF"/>
    <w:rsid w:val="00312BBA"/>
    <w:rsid w:val="00312CB5"/>
    <w:rsid w:val="00315B1F"/>
    <w:rsid w:val="0032244C"/>
    <w:rsid w:val="003225B6"/>
    <w:rsid w:val="00322E7B"/>
    <w:rsid w:val="00323656"/>
    <w:rsid w:val="00323684"/>
    <w:rsid w:val="00325823"/>
    <w:rsid w:val="00326353"/>
    <w:rsid w:val="0032789E"/>
    <w:rsid w:val="003303DC"/>
    <w:rsid w:val="00332871"/>
    <w:rsid w:val="003331D9"/>
    <w:rsid w:val="0033372B"/>
    <w:rsid w:val="00333DDA"/>
    <w:rsid w:val="00334938"/>
    <w:rsid w:val="003367AF"/>
    <w:rsid w:val="00336A33"/>
    <w:rsid w:val="003453EC"/>
    <w:rsid w:val="0034703A"/>
    <w:rsid w:val="0035428B"/>
    <w:rsid w:val="00355A89"/>
    <w:rsid w:val="003616C8"/>
    <w:rsid w:val="00362891"/>
    <w:rsid w:val="00362CE8"/>
    <w:rsid w:val="003636AB"/>
    <w:rsid w:val="003654BA"/>
    <w:rsid w:val="003662F8"/>
    <w:rsid w:val="003665BD"/>
    <w:rsid w:val="003725B2"/>
    <w:rsid w:val="00376DAD"/>
    <w:rsid w:val="00377407"/>
    <w:rsid w:val="003801ED"/>
    <w:rsid w:val="00380A42"/>
    <w:rsid w:val="00381D0C"/>
    <w:rsid w:val="00384533"/>
    <w:rsid w:val="003853C9"/>
    <w:rsid w:val="00387A00"/>
    <w:rsid w:val="003934D7"/>
    <w:rsid w:val="0039360B"/>
    <w:rsid w:val="003A150A"/>
    <w:rsid w:val="003A36F4"/>
    <w:rsid w:val="003A4B2F"/>
    <w:rsid w:val="003A63F7"/>
    <w:rsid w:val="003B0008"/>
    <w:rsid w:val="003B0747"/>
    <w:rsid w:val="003B541F"/>
    <w:rsid w:val="003B59EC"/>
    <w:rsid w:val="003B635F"/>
    <w:rsid w:val="003C00C9"/>
    <w:rsid w:val="003C09A5"/>
    <w:rsid w:val="003C12EF"/>
    <w:rsid w:val="003C290A"/>
    <w:rsid w:val="003C5CB3"/>
    <w:rsid w:val="003D04C0"/>
    <w:rsid w:val="003D1D81"/>
    <w:rsid w:val="003D2528"/>
    <w:rsid w:val="003D3BC5"/>
    <w:rsid w:val="003E3DD5"/>
    <w:rsid w:val="003E42D2"/>
    <w:rsid w:val="003E5D8A"/>
    <w:rsid w:val="003F1E21"/>
    <w:rsid w:val="003F20DA"/>
    <w:rsid w:val="003F26A6"/>
    <w:rsid w:val="003F4AFC"/>
    <w:rsid w:val="003F4EDF"/>
    <w:rsid w:val="003F5BC9"/>
    <w:rsid w:val="003F7335"/>
    <w:rsid w:val="0040141F"/>
    <w:rsid w:val="00401F68"/>
    <w:rsid w:val="00402FBE"/>
    <w:rsid w:val="004040FA"/>
    <w:rsid w:val="004059FA"/>
    <w:rsid w:val="00407D16"/>
    <w:rsid w:val="00412750"/>
    <w:rsid w:val="00415198"/>
    <w:rsid w:val="00415AB7"/>
    <w:rsid w:val="00416356"/>
    <w:rsid w:val="00425777"/>
    <w:rsid w:val="00425F23"/>
    <w:rsid w:val="00430300"/>
    <w:rsid w:val="00430D07"/>
    <w:rsid w:val="00431F2B"/>
    <w:rsid w:val="00444EE3"/>
    <w:rsid w:val="004470F0"/>
    <w:rsid w:val="004525AC"/>
    <w:rsid w:val="0045465F"/>
    <w:rsid w:val="00454F1C"/>
    <w:rsid w:val="004572BB"/>
    <w:rsid w:val="00460781"/>
    <w:rsid w:val="004622CA"/>
    <w:rsid w:val="00462993"/>
    <w:rsid w:val="0046400B"/>
    <w:rsid w:val="00467A2F"/>
    <w:rsid w:val="00471833"/>
    <w:rsid w:val="004724AA"/>
    <w:rsid w:val="0047559B"/>
    <w:rsid w:val="00477FDD"/>
    <w:rsid w:val="00480B08"/>
    <w:rsid w:val="00480C83"/>
    <w:rsid w:val="00483603"/>
    <w:rsid w:val="00485454"/>
    <w:rsid w:val="00486B18"/>
    <w:rsid w:val="0049003E"/>
    <w:rsid w:val="00494272"/>
    <w:rsid w:val="00495C20"/>
    <w:rsid w:val="00496106"/>
    <w:rsid w:val="004964EE"/>
    <w:rsid w:val="004A1ED7"/>
    <w:rsid w:val="004A47CE"/>
    <w:rsid w:val="004A62B1"/>
    <w:rsid w:val="004A6C56"/>
    <w:rsid w:val="004B29F7"/>
    <w:rsid w:val="004B5A3E"/>
    <w:rsid w:val="004C2494"/>
    <w:rsid w:val="004C7115"/>
    <w:rsid w:val="004D1B80"/>
    <w:rsid w:val="004E0675"/>
    <w:rsid w:val="004E427C"/>
    <w:rsid w:val="004E7092"/>
    <w:rsid w:val="004E770B"/>
    <w:rsid w:val="004F18C0"/>
    <w:rsid w:val="004F2BA2"/>
    <w:rsid w:val="004F4476"/>
    <w:rsid w:val="004F5061"/>
    <w:rsid w:val="004F6F9C"/>
    <w:rsid w:val="005011BC"/>
    <w:rsid w:val="00502FD4"/>
    <w:rsid w:val="00510644"/>
    <w:rsid w:val="00512127"/>
    <w:rsid w:val="00514F9D"/>
    <w:rsid w:val="005169A9"/>
    <w:rsid w:val="00517CFE"/>
    <w:rsid w:val="005200A9"/>
    <w:rsid w:val="0052391A"/>
    <w:rsid w:val="00523D03"/>
    <w:rsid w:val="00523EF9"/>
    <w:rsid w:val="005245DD"/>
    <w:rsid w:val="00524D3D"/>
    <w:rsid w:val="00527484"/>
    <w:rsid w:val="005278BD"/>
    <w:rsid w:val="00530B10"/>
    <w:rsid w:val="00531ED8"/>
    <w:rsid w:val="005324F2"/>
    <w:rsid w:val="0053296E"/>
    <w:rsid w:val="00533198"/>
    <w:rsid w:val="00534F7F"/>
    <w:rsid w:val="00535177"/>
    <w:rsid w:val="00536F53"/>
    <w:rsid w:val="0053751C"/>
    <w:rsid w:val="00540A88"/>
    <w:rsid w:val="00540B3F"/>
    <w:rsid w:val="00542363"/>
    <w:rsid w:val="005430B1"/>
    <w:rsid w:val="0054553A"/>
    <w:rsid w:val="00545F60"/>
    <w:rsid w:val="00546592"/>
    <w:rsid w:val="00547F43"/>
    <w:rsid w:val="00551092"/>
    <w:rsid w:val="00551C37"/>
    <w:rsid w:val="00551F56"/>
    <w:rsid w:val="005541FC"/>
    <w:rsid w:val="00555DF9"/>
    <w:rsid w:val="00555E94"/>
    <w:rsid w:val="00561BE3"/>
    <w:rsid w:val="0056371D"/>
    <w:rsid w:val="00563BE7"/>
    <w:rsid w:val="00564AA8"/>
    <w:rsid w:val="00565E14"/>
    <w:rsid w:val="00565EFE"/>
    <w:rsid w:val="005704F0"/>
    <w:rsid w:val="0057248F"/>
    <w:rsid w:val="005724B3"/>
    <w:rsid w:val="0058010B"/>
    <w:rsid w:val="005817C6"/>
    <w:rsid w:val="00585749"/>
    <w:rsid w:val="005863B7"/>
    <w:rsid w:val="00591B8F"/>
    <w:rsid w:val="0059244A"/>
    <w:rsid w:val="00595533"/>
    <w:rsid w:val="005B0E9F"/>
    <w:rsid w:val="005B21E4"/>
    <w:rsid w:val="005B2641"/>
    <w:rsid w:val="005B3ADE"/>
    <w:rsid w:val="005B48A0"/>
    <w:rsid w:val="005B653B"/>
    <w:rsid w:val="005B7043"/>
    <w:rsid w:val="005C0C42"/>
    <w:rsid w:val="005C231F"/>
    <w:rsid w:val="005C302A"/>
    <w:rsid w:val="005C3087"/>
    <w:rsid w:val="005C3701"/>
    <w:rsid w:val="005C4760"/>
    <w:rsid w:val="005C477E"/>
    <w:rsid w:val="005C50B8"/>
    <w:rsid w:val="005C6D89"/>
    <w:rsid w:val="005C776B"/>
    <w:rsid w:val="005D07F4"/>
    <w:rsid w:val="005D3E86"/>
    <w:rsid w:val="005D4144"/>
    <w:rsid w:val="005D5DAC"/>
    <w:rsid w:val="005D79C1"/>
    <w:rsid w:val="005E0260"/>
    <w:rsid w:val="005E1CD9"/>
    <w:rsid w:val="005E2985"/>
    <w:rsid w:val="005E430B"/>
    <w:rsid w:val="005E4E37"/>
    <w:rsid w:val="005E5B96"/>
    <w:rsid w:val="005E5E0F"/>
    <w:rsid w:val="005E5F6B"/>
    <w:rsid w:val="005F1391"/>
    <w:rsid w:val="005F1568"/>
    <w:rsid w:val="005F5B7F"/>
    <w:rsid w:val="00602F9A"/>
    <w:rsid w:val="00604B9F"/>
    <w:rsid w:val="00610759"/>
    <w:rsid w:val="00612110"/>
    <w:rsid w:val="00613ED6"/>
    <w:rsid w:val="006211EA"/>
    <w:rsid w:val="00622D53"/>
    <w:rsid w:val="00622F8F"/>
    <w:rsid w:val="00623B17"/>
    <w:rsid w:val="006251BF"/>
    <w:rsid w:val="00625F23"/>
    <w:rsid w:val="00630E9C"/>
    <w:rsid w:val="00632C59"/>
    <w:rsid w:val="00632F1C"/>
    <w:rsid w:val="00644339"/>
    <w:rsid w:val="00647DB1"/>
    <w:rsid w:val="00651460"/>
    <w:rsid w:val="00653395"/>
    <w:rsid w:val="00653E23"/>
    <w:rsid w:val="00653EDE"/>
    <w:rsid w:val="006549AA"/>
    <w:rsid w:val="00654F5A"/>
    <w:rsid w:val="00660F10"/>
    <w:rsid w:val="00661570"/>
    <w:rsid w:val="00661D31"/>
    <w:rsid w:val="006632A4"/>
    <w:rsid w:val="00665341"/>
    <w:rsid w:val="006662FD"/>
    <w:rsid w:val="0066649F"/>
    <w:rsid w:val="006677AC"/>
    <w:rsid w:val="00672505"/>
    <w:rsid w:val="00672C9A"/>
    <w:rsid w:val="00675145"/>
    <w:rsid w:val="00676B67"/>
    <w:rsid w:val="00677143"/>
    <w:rsid w:val="00677565"/>
    <w:rsid w:val="00685887"/>
    <w:rsid w:val="00687BCE"/>
    <w:rsid w:val="00687FB7"/>
    <w:rsid w:val="006906BF"/>
    <w:rsid w:val="00691AA9"/>
    <w:rsid w:val="00691B4C"/>
    <w:rsid w:val="00693725"/>
    <w:rsid w:val="006972B7"/>
    <w:rsid w:val="006A7DE4"/>
    <w:rsid w:val="006B0C02"/>
    <w:rsid w:val="006B1A27"/>
    <w:rsid w:val="006B427B"/>
    <w:rsid w:val="006B601D"/>
    <w:rsid w:val="006B6474"/>
    <w:rsid w:val="006C1606"/>
    <w:rsid w:val="006C2546"/>
    <w:rsid w:val="006C2EE9"/>
    <w:rsid w:val="006C3E41"/>
    <w:rsid w:val="006C5335"/>
    <w:rsid w:val="006D08CB"/>
    <w:rsid w:val="006D0A5A"/>
    <w:rsid w:val="006D288C"/>
    <w:rsid w:val="006D42E1"/>
    <w:rsid w:val="006D5053"/>
    <w:rsid w:val="006D5474"/>
    <w:rsid w:val="006D57C0"/>
    <w:rsid w:val="006E261D"/>
    <w:rsid w:val="006E2A51"/>
    <w:rsid w:val="006E5486"/>
    <w:rsid w:val="006E6342"/>
    <w:rsid w:val="006F008A"/>
    <w:rsid w:val="006F14C6"/>
    <w:rsid w:val="006F2012"/>
    <w:rsid w:val="006F29DF"/>
    <w:rsid w:val="006F2CAD"/>
    <w:rsid w:val="006F3B9D"/>
    <w:rsid w:val="006F4C26"/>
    <w:rsid w:val="006F6A10"/>
    <w:rsid w:val="0070078D"/>
    <w:rsid w:val="007044A7"/>
    <w:rsid w:val="00704563"/>
    <w:rsid w:val="00704944"/>
    <w:rsid w:val="00704BDD"/>
    <w:rsid w:val="00704EBF"/>
    <w:rsid w:val="0070769E"/>
    <w:rsid w:val="007129FF"/>
    <w:rsid w:val="00714211"/>
    <w:rsid w:val="007209DD"/>
    <w:rsid w:val="0072210D"/>
    <w:rsid w:val="007252A5"/>
    <w:rsid w:val="00727653"/>
    <w:rsid w:val="007308E2"/>
    <w:rsid w:val="007318B6"/>
    <w:rsid w:val="00731B25"/>
    <w:rsid w:val="00732A8B"/>
    <w:rsid w:val="00733A7C"/>
    <w:rsid w:val="00734FA3"/>
    <w:rsid w:val="00737B78"/>
    <w:rsid w:val="0074153E"/>
    <w:rsid w:val="00750196"/>
    <w:rsid w:val="0075165E"/>
    <w:rsid w:val="007564C1"/>
    <w:rsid w:val="00756AD8"/>
    <w:rsid w:val="00756FBB"/>
    <w:rsid w:val="00757004"/>
    <w:rsid w:val="00760D40"/>
    <w:rsid w:val="007618D7"/>
    <w:rsid w:val="007650F9"/>
    <w:rsid w:val="007721EB"/>
    <w:rsid w:val="007721FF"/>
    <w:rsid w:val="0077260D"/>
    <w:rsid w:val="00773A6D"/>
    <w:rsid w:val="007800E8"/>
    <w:rsid w:val="00780CE3"/>
    <w:rsid w:val="00780E45"/>
    <w:rsid w:val="00782472"/>
    <w:rsid w:val="00784502"/>
    <w:rsid w:val="0078597A"/>
    <w:rsid w:val="00786985"/>
    <w:rsid w:val="00786A88"/>
    <w:rsid w:val="007871E3"/>
    <w:rsid w:val="00787E32"/>
    <w:rsid w:val="00793242"/>
    <w:rsid w:val="0079432C"/>
    <w:rsid w:val="007958DD"/>
    <w:rsid w:val="007979F4"/>
    <w:rsid w:val="007A36E1"/>
    <w:rsid w:val="007B126F"/>
    <w:rsid w:val="007B207F"/>
    <w:rsid w:val="007B23A2"/>
    <w:rsid w:val="007B3C71"/>
    <w:rsid w:val="007B3DF0"/>
    <w:rsid w:val="007B5D90"/>
    <w:rsid w:val="007C006F"/>
    <w:rsid w:val="007C2D60"/>
    <w:rsid w:val="007C3BA6"/>
    <w:rsid w:val="007D04D5"/>
    <w:rsid w:val="007D204E"/>
    <w:rsid w:val="007D3E6A"/>
    <w:rsid w:val="007D59C4"/>
    <w:rsid w:val="007E0C04"/>
    <w:rsid w:val="007E2E0A"/>
    <w:rsid w:val="007E4B37"/>
    <w:rsid w:val="007E6882"/>
    <w:rsid w:val="007F58CD"/>
    <w:rsid w:val="007F7FD2"/>
    <w:rsid w:val="0080629C"/>
    <w:rsid w:val="008110C5"/>
    <w:rsid w:val="00811A5A"/>
    <w:rsid w:val="0081241C"/>
    <w:rsid w:val="00812D35"/>
    <w:rsid w:val="008134B0"/>
    <w:rsid w:val="0081495A"/>
    <w:rsid w:val="00816042"/>
    <w:rsid w:val="00817E81"/>
    <w:rsid w:val="00820020"/>
    <w:rsid w:val="00820AE4"/>
    <w:rsid w:val="00820E1B"/>
    <w:rsid w:val="008212B9"/>
    <w:rsid w:val="00823D1D"/>
    <w:rsid w:val="00827A3C"/>
    <w:rsid w:val="00830450"/>
    <w:rsid w:val="008407E0"/>
    <w:rsid w:val="00844F76"/>
    <w:rsid w:val="00855184"/>
    <w:rsid w:val="00855AF5"/>
    <w:rsid w:val="008566F5"/>
    <w:rsid w:val="00857584"/>
    <w:rsid w:val="0086054F"/>
    <w:rsid w:val="00860C9F"/>
    <w:rsid w:val="0086126D"/>
    <w:rsid w:val="0086344E"/>
    <w:rsid w:val="00870DD0"/>
    <w:rsid w:val="0087382A"/>
    <w:rsid w:val="00874E1A"/>
    <w:rsid w:val="00875A26"/>
    <w:rsid w:val="0087671E"/>
    <w:rsid w:val="00877336"/>
    <w:rsid w:val="0088001D"/>
    <w:rsid w:val="00881A8E"/>
    <w:rsid w:val="008823BA"/>
    <w:rsid w:val="00882730"/>
    <w:rsid w:val="00882BC0"/>
    <w:rsid w:val="0088357D"/>
    <w:rsid w:val="00887FD9"/>
    <w:rsid w:val="00890028"/>
    <w:rsid w:val="00890038"/>
    <w:rsid w:val="00890A24"/>
    <w:rsid w:val="008912F7"/>
    <w:rsid w:val="00894C81"/>
    <w:rsid w:val="00897657"/>
    <w:rsid w:val="008A06F1"/>
    <w:rsid w:val="008A1CED"/>
    <w:rsid w:val="008A2D0A"/>
    <w:rsid w:val="008A4F60"/>
    <w:rsid w:val="008B17BC"/>
    <w:rsid w:val="008B3049"/>
    <w:rsid w:val="008B3B4E"/>
    <w:rsid w:val="008B77FA"/>
    <w:rsid w:val="008B7CDF"/>
    <w:rsid w:val="008C02E4"/>
    <w:rsid w:val="008C0AE1"/>
    <w:rsid w:val="008C14F2"/>
    <w:rsid w:val="008C1BDE"/>
    <w:rsid w:val="008C2097"/>
    <w:rsid w:val="008C264E"/>
    <w:rsid w:val="008C4662"/>
    <w:rsid w:val="008C5DD9"/>
    <w:rsid w:val="008C736C"/>
    <w:rsid w:val="008C7D87"/>
    <w:rsid w:val="008D2A41"/>
    <w:rsid w:val="008D34A7"/>
    <w:rsid w:val="008D4A40"/>
    <w:rsid w:val="008D52E8"/>
    <w:rsid w:val="008D7C9D"/>
    <w:rsid w:val="008E1D9E"/>
    <w:rsid w:val="008E1EA3"/>
    <w:rsid w:val="008E2989"/>
    <w:rsid w:val="008E2E60"/>
    <w:rsid w:val="008E45FF"/>
    <w:rsid w:val="008E6078"/>
    <w:rsid w:val="008E6576"/>
    <w:rsid w:val="008E687F"/>
    <w:rsid w:val="008E7294"/>
    <w:rsid w:val="008F205A"/>
    <w:rsid w:val="008F326C"/>
    <w:rsid w:val="008F657C"/>
    <w:rsid w:val="008F7A1F"/>
    <w:rsid w:val="00901EAB"/>
    <w:rsid w:val="00902C10"/>
    <w:rsid w:val="00904FE7"/>
    <w:rsid w:val="0090662F"/>
    <w:rsid w:val="009073AC"/>
    <w:rsid w:val="009109C3"/>
    <w:rsid w:val="00915635"/>
    <w:rsid w:val="00920D39"/>
    <w:rsid w:val="00922987"/>
    <w:rsid w:val="0093003D"/>
    <w:rsid w:val="0093074A"/>
    <w:rsid w:val="00932404"/>
    <w:rsid w:val="009348AA"/>
    <w:rsid w:val="00940FDF"/>
    <w:rsid w:val="009413DC"/>
    <w:rsid w:val="00942B0E"/>
    <w:rsid w:val="00942DDB"/>
    <w:rsid w:val="00942F64"/>
    <w:rsid w:val="0094314D"/>
    <w:rsid w:val="0094658F"/>
    <w:rsid w:val="0094697A"/>
    <w:rsid w:val="00952436"/>
    <w:rsid w:val="00952843"/>
    <w:rsid w:val="009600CD"/>
    <w:rsid w:val="009628C2"/>
    <w:rsid w:val="00965E85"/>
    <w:rsid w:val="00966697"/>
    <w:rsid w:val="00967339"/>
    <w:rsid w:val="00967716"/>
    <w:rsid w:val="0097026C"/>
    <w:rsid w:val="00970A30"/>
    <w:rsid w:val="0097384A"/>
    <w:rsid w:val="00975B38"/>
    <w:rsid w:val="00976BBA"/>
    <w:rsid w:val="00976D84"/>
    <w:rsid w:val="00977C1F"/>
    <w:rsid w:val="009807DF"/>
    <w:rsid w:val="00981C8F"/>
    <w:rsid w:val="009838D5"/>
    <w:rsid w:val="009933B1"/>
    <w:rsid w:val="009A010A"/>
    <w:rsid w:val="009A72DE"/>
    <w:rsid w:val="009B02ED"/>
    <w:rsid w:val="009B4604"/>
    <w:rsid w:val="009B535A"/>
    <w:rsid w:val="009B6B6B"/>
    <w:rsid w:val="009B6C14"/>
    <w:rsid w:val="009B7CAA"/>
    <w:rsid w:val="009C0346"/>
    <w:rsid w:val="009C4199"/>
    <w:rsid w:val="009C5081"/>
    <w:rsid w:val="009C7DA7"/>
    <w:rsid w:val="009D1EA9"/>
    <w:rsid w:val="009D2B03"/>
    <w:rsid w:val="009D636A"/>
    <w:rsid w:val="009D7408"/>
    <w:rsid w:val="009E1AB9"/>
    <w:rsid w:val="009E22A1"/>
    <w:rsid w:val="009E26FB"/>
    <w:rsid w:val="009E2C5A"/>
    <w:rsid w:val="009E2FBA"/>
    <w:rsid w:val="009F3299"/>
    <w:rsid w:val="009F7D59"/>
    <w:rsid w:val="00A00E67"/>
    <w:rsid w:val="00A010CA"/>
    <w:rsid w:val="00A01511"/>
    <w:rsid w:val="00A03092"/>
    <w:rsid w:val="00A032D9"/>
    <w:rsid w:val="00A04104"/>
    <w:rsid w:val="00A04BAC"/>
    <w:rsid w:val="00A054FF"/>
    <w:rsid w:val="00A05830"/>
    <w:rsid w:val="00A12A34"/>
    <w:rsid w:val="00A13572"/>
    <w:rsid w:val="00A21BB8"/>
    <w:rsid w:val="00A236CF"/>
    <w:rsid w:val="00A23A24"/>
    <w:rsid w:val="00A25798"/>
    <w:rsid w:val="00A32E61"/>
    <w:rsid w:val="00A359BF"/>
    <w:rsid w:val="00A360E9"/>
    <w:rsid w:val="00A37DB8"/>
    <w:rsid w:val="00A41F2B"/>
    <w:rsid w:val="00A420BE"/>
    <w:rsid w:val="00A4452A"/>
    <w:rsid w:val="00A44858"/>
    <w:rsid w:val="00A5015F"/>
    <w:rsid w:val="00A5201C"/>
    <w:rsid w:val="00A52634"/>
    <w:rsid w:val="00A538C8"/>
    <w:rsid w:val="00A5525A"/>
    <w:rsid w:val="00A60430"/>
    <w:rsid w:val="00A6152B"/>
    <w:rsid w:val="00A65740"/>
    <w:rsid w:val="00A65E2A"/>
    <w:rsid w:val="00A664B2"/>
    <w:rsid w:val="00A70C32"/>
    <w:rsid w:val="00A711FE"/>
    <w:rsid w:val="00A72438"/>
    <w:rsid w:val="00A72E9B"/>
    <w:rsid w:val="00A737DC"/>
    <w:rsid w:val="00A742D4"/>
    <w:rsid w:val="00A75AB3"/>
    <w:rsid w:val="00A77EBE"/>
    <w:rsid w:val="00A82C86"/>
    <w:rsid w:val="00A83AC5"/>
    <w:rsid w:val="00A87B6E"/>
    <w:rsid w:val="00A95F51"/>
    <w:rsid w:val="00A9642F"/>
    <w:rsid w:val="00A9677E"/>
    <w:rsid w:val="00A97164"/>
    <w:rsid w:val="00AA08E9"/>
    <w:rsid w:val="00AA1C4D"/>
    <w:rsid w:val="00AA299E"/>
    <w:rsid w:val="00AA2FEC"/>
    <w:rsid w:val="00AA471B"/>
    <w:rsid w:val="00AA531E"/>
    <w:rsid w:val="00AA58A4"/>
    <w:rsid w:val="00AA62BA"/>
    <w:rsid w:val="00AB03C2"/>
    <w:rsid w:val="00AB17DF"/>
    <w:rsid w:val="00AB56C1"/>
    <w:rsid w:val="00AB7CCC"/>
    <w:rsid w:val="00AC0312"/>
    <w:rsid w:val="00AD274B"/>
    <w:rsid w:val="00AD4254"/>
    <w:rsid w:val="00AD7BAD"/>
    <w:rsid w:val="00AE1D77"/>
    <w:rsid w:val="00AE2EFA"/>
    <w:rsid w:val="00AE4B38"/>
    <w:rsid w:val="00AE6600"/>
    <w:rsid w:val="00AE6A89"/>
    <w:rsid w:val="00AF06BD"/>
    <w:rsid w:val="00AF2A7D"/>
    <w:rsid w:val="00AF32D5"/>
    <w:rsid w:val="00AF3B25"/>
    <w:rsid w:val="00AF5874"/>
    <w:rsid w:val="00AF60E3"/>
    <w:rsid w:val="00AF6830"/>
    <w:rsid w:val="00AF6B2C"/>
    <w:rsid w:val="00AF6E3F"/>
    <w:rsid w:val="00AF7421"/>
    <w:rsid w:val="00AF7ABE"/>
    <w:rsid w:val="00B0265A"/>
    <w:rsid w:val="00B03D1E"/>
    <w:rsid w:val="00B0623B"/>
    <w:rsid w:val="00B077D0"/>
    <w:rsid w:val="00B104AA"/>
    <w:rsid w:val="00B115CE"/>
    <w:rsid w:val="00B15007"/>
    <w:rsid w:val="00B16516"/>
    <w:rsid w:val="00B16BA8"/>
    <w:rsid w:val="00B2174E"/>
    <w:rsid w:val="00B21C7B"/>
    <w:rsid w:val="00B2366E"/>
    <w:rsid w:val="00B24A04"/>
    <w:rsid w:val="00B25650"/>
    <w:rsid w:val="00B259CA"/>
    <w:rsid w:val="00B27C23"/>
    <w:rsid w:val="00B27DD4"/>
    <w:rsid w:val="00B30172"/>
    <w:rsid w:val="00B302BA"/>
    <w:rsid w:val="00B30F82"/>
    <w:rsid w:val="00B3152A"/>
    <w:rsid w:val="00B337F7"/>
    <w:rsid w:val="00B35ED8"/>
    <w:rsid w:val="00B364D7"/>
    <w:rsid w:val="00B37FEE"/>
    <w:rsid w:val="00B41693"/>
    <w:rsid w:val="00B426BA"/>
    <w:rsid w:val="00B42A42"/>
    <w:rsid w:val="00B44314"/>
    <w:rsid w:val="00B4512E"/>
    <w:rsid w:val="00B500D2"/>
    <w:rsid w:val="00B503DF"/>
    <w:rsid w:val="00B5560B"/>
    <w:rsid w:val="00B57715"/>
    <w:rsid w:val="00B60AE8"/>
    <w:rsid w:val="00B613E3"/>
    <w:rsid w:val="00B62861"/>
    <w:rsid w:val="00B67B4E"/>
    <w:rsid w:val="00B67BDB"/>
    <w:rsid w:val="00B71AF5"/>
    <w:rsid w:val="00B725C2"/>
    <w:rsid w:val="00B74E21"/>
    <w:rsid w:val="00B8033C"/>
    <w:rsid w:val="00B8063B"/>
    <w:rsid w:val="00B82F1D"/>
    <w:rsid w:val="00B83724"/>
    <w:rsid w:val="00B83839"/>
    <w:rsid w:val="00B84DD5"/>
    <w:rsid w:val="00B85AA0"/>
    <w:rsid w:val="00BA1514"/>
    <w:rsid w:val="00BA21D4"/>
    <w:rsid w:val="00BA36C1"/>
    <w:rsid w:val="00BA3768"/>
    <w:rsid w:val="00BA4B85"/>
    <w:rsid w:val="00BA6A2B"/>
    <w:rsid w:val="00BA6D60"/>
    <w:rsid w:val="00BA73E9"/>
    <w:rsid w:val="00BB2B9E"/>
    <w:rsid w:val="00BB4E55"/>
    <w:rsid w:val="00BB69FC"/>
    <w:rsid w:val="00BB6F3C"/>
    <w:rsid w:val="00BC383F"/>
    <w:rsid w:val="00BC5285"/>
    <w:rsid w:val="00BC782A"/>
    <w:rsid w:val="00BC7F02"/>
    <w:rsid w:val="00BD136D"/>
    <w:rsid w:val="00BD1611"/>
    <w:rsid w:val="00BD5FC9"/>
    <w:rsid w:val="00BE0322"/>
    <w:rsid w:val="00BE1DD7"/>
    <w:rsid w:val="00BE3815"/>
    <w:rsid w:val="00BE43E8"/>
    <w:rsid w:val="00BF2B4D"/>
    <w:rsid w:val="00BF4B7F"/>
    <w:rsid w:val="00BF5D2B"/>
    <w:rsid w:val="00C0127B"/>
    <w:rsid w:val="00C02BF8"/>
    <w:rsid w:val="00C04C75"/>
    <w:rsid w:val="00C04F6B"/>
    <w:rsid w:val="00C06EFD"/>
    <w:rsid w:val="00C119CA"/>
    <w:rsid w:val="00C149F1"/>
    <w:rsid w:val="00C206E2"/>
    <w:rsid w:val="00C2216D"/>
    <w:rsid w:val="00C221DB"/>
    <w:rsid w:val="00C22FE4"/>
    <w:rsid w:val="00C30914"/>
    <w:rsid w:val="00C31A95"/>
    <w:rsid w:val="00C337E6"/>
    <w:rsid w:val="00C35E9B"/>
    <w:rsid w:val="00C40FD2"/>
    <w:rsid w:val="00C41E36"/>
    <w:rsid w:val="00C45D56"/>
    <w:rsid w:val="00C46301"/>
    <w:rsid w:val="00C47227"/>
    <w:rsid w:val="00C5334A"/>
    <w:rsid w:val="00C5346A"/>
    <w:rsid w:val="00C542A0"/>
    <w:rsid w:val="00C548E8"/>
    <w:rsid w:val="00C57A22"/>
    <w:rsid w:val="00C6049E"/>
    <w:rsid w:val="00C6206F"/>
    <w:rsid w:val="00C66DDB"/>
    <w:rsid w:val="00C66E1E"/>
    <w:rsid w:val="00C7003A"/>
    <w:rsid w:val="00C736EC"/>
    <w:rsid w:val="00C815F2"/>
    <w:rsid w:val="00C84812"/>
    <w:rsid w:val="00C85DB9"/>
    <w:rsid w:val="00C90B2D"/>
    <w:rsid w:val="00C91EBB"/>
    <w:rsid w:val="00C91F51"/>
    <w:rsid w:val="00C92693"/>
    <w:rsid w:val="00C94575"/>
    <w:rsid w:val="00CA020F"/>
    <w:rsid w:val="00CA0362"/>
    <w:rsid w:val="00CA1425"/>
    <w:rsid w:val="00CA17BA"/>
    <w:rsid w:val="00CA2CBA"/>
    <w:rsid w:val="00CA42FA"/>
    <w:rsid w:val="00CA530F"/>
    <w:rsid w:val="00CA57CA"/>
    <w:rsid w:val="00CA5AF1"/>
    <w:rsid w:val="00CB208D"/>
    <w:rsid w:val="00CB2300"/>
    <w:rsid w:val="00CB326F"/>
    <w:rsid w:val="00CB53C7"/>
    <w:rsid w:val="00CB69BF"/>
    <w:rsid w:val="00CB7F58"/>
    <w:rsid w:val="00CC09A7"/>
    <w:rsid w:val="00CC139E"/>
    <w:rsid w:val="00CC29FB"/>
    <w:rsid w:val="00CC3474"/>
    <w:rsid w:val="00CC4065"/>
    <w:rsid w:val="00CD1176"/>
    <w:rsid w:val="00CD233D"/>
    <w:rsid w:val="00CD2B0C"/>
    <w:rsid w:val="00CD5013"/>
    <w:rsid w:val="00CD7B02"/>
    <w:rsid w:val="00CE2A36"/>
    <w:rsid w:val="00CE4E1D"/>
    <w:rsid w:val="00CF63C5"/>
    <w:rsid w:val="00CF6CFC"/>
    <w:rsid w:val="00D0174B"/>
    <w:rsid w:val="00D019B2"/>
    <w:rsid w:val="00D076E9"/>
    <w:rsid w:val="00D07A57"/>
    <w:rsid w:val="00D10078"/>
    <w:rsid w:val="00D10A2C"/>
    <w:rsid w:val="00D12086"/>
    <w:rsid w:val="00D124EF"/>
    <w:rsid w:val="00D206FB"/>
    <w:rsid w:val="00D233F4"/>
    <w:rsid w:val="00D24918"/>
    <w:rsid w:val="00D2579A"/>
    <w:rsid w:val="00D2594B"/>
    <w:rsid w:val="00D266D4"/>
    <w:rsid w:val="00D27D77"/>
    <w:rsid w:val="00D30140"/>
    <w:rsid w:val="00D30611"/>
    <w:rsid w:val="00D30BF6"/>
    <w:rsid w:val="00D3101A"/>
    <w:rsid w:val="00D41EEC"/>
    <w:rsid w:val="00D44677"/>
    <w:rsid w:val="00D46EAF"/>
    <w:rsid w:val="00D47F5B"/>
    <w:rsid w:val="00D52168"/>
    <w:rsid w:val="00D54D5C"/>
    <w:rsid w:val="00D56C42"/>
    <w:rsid w:val="00D56CCC"/>
    <w:rsid w:val="00D57590"/>
    <w:rsid w:val="00D612D1"/>
    <w:rsid w:val="00D639AF"/>
    <w:rsid w:val="00D63DBD"/>
    <w:rsid w:val="00D64B83"/>
    <w:rsid w:val="00D676D6"/>
    <w:rsid w:val="00D73E71"/>
    <w:rsid w:val="00D81527"/>
    <w:rsid w:val="00D8297D"/>
    <w:rsid w:val="00D83596"/>
    <w:rsid w:val="00D83CAC"/>
    <w:rsid w:val="00D856A4"/>
    <w:rsid w:val="00D85E82"/>
    <w:rsid w:val="00D8611E"/>
    <w:rsid w:val="00D8764F"/>
    <w:rsid w:val="00D87E57"/>
    <w:rsid w:val="00D909FA"/>
    <w:rsid w:val="00D91163"/>
    <w:rsid w:val="00D93C02"/>
    <w:rsid w:val="00D944C1"/>
    <w:rsid w:val="00DA10CF"/>
    <w:rsid w:val="00DA2A7D"/>
    <w:rsid w:val="00DA2D33"/>
    <w:rsid w:val="00DA41A6"/>
    <w:rsid w:val="00DA51E4"/>
    <w:rsid w:val="00DA58CB"/>
    <w:rsid w:val="00DA600B"/>
    <w:rsid w:val="00DA7030"/>
    <w:rsid w:val="00DB0F9D"/>
    <w:rsid w:val="00DB3CB3"/>
    <w:rsid w:val="00DB4541"/>
    <w:rsid w:val="00DB6FF6"/>
    <w:rsid w:val="00DC1305"/>
    <w:rsid w:val="00DC2286"/>
    <w:rsid w:val="00DC7F75"/>
    <w:rsid w:val="00DD52D1"/>
    <w:rsid w:val="00DE0FDB"/>
    <w:rsid w:val="00DE36E3"/>
    <w:rsid w:val="00DE445F"/>
    <w:rsid w:val="00DE5F2B"/>
    <w:rsid w:val="00DE6473"/>
    <w:rsid w:val="00DE69B7"/>
    <w:rsid w:val="00DF0446"/>
    <w:rsid w:val="00DF2513"/>
    <w:rsid w:val="00E009B2"/>
    <w:rsid w:val="00E04CA9"/>
    <w:rsid w:val="00E0535E"/>
    <w:rsid w:val="00E111E0"/>
    <w:rsid w:val="00E13BDC"/>
    <w:rsid w:val="00E16B22"/>
    <w:rsid w:val="00E2189D"/>
    <w:rsid w:val="00E23976"/>
    <w:rsid w:val="00E247CC"/>
    <w:rsid w:val="00E24892"/>
    <w:rsid w:val="00E25F25"/>
    <w:rsid w:val="00E30FB2"/>
    <w:rsid w:val="00E33679"/>
    <w:rsid w:val="00E35686"/>
    <w:rsid w:val="00E36046"/>
    <w:rsid w:val="00E36897"/>
    <w:rsid w:val="00E36A3C"/>
    <w:rsid w:val="00E4053F"/>
    <w:rsid w:val="00E40CCE"/>
    <w:rsid w:val="00E437AC"/>
    <w:rsid w:val="00E44460"/>
    <w:rsid w:val="00E47F5E"/>
    <w:rsid w:val="00E524F2"/>
    <w:rsid w:val="00E57463"/>
    <w:rsid w:val="00E63088"/>
    <w:rsid w:val="00E63D3F"/>
    <w:rsid w:val="00E66B2E"/>
    <w:rsid w:val="00E6745B"/>
    <w:rsid w:val="00E67467"/>
    <w:rsid w:val="00E7137B"/>
    <w:rsid w:val="00E72EA3"/>
    <w:rsid w:val="00E747F1"/>
    <w:rsid w:val="00E76957"/>
    <w:rsid w:val="00E77A45"/>
    <w:rsid w:val="00E80095"/>
    <w:rsid w:val="00E808BC"/>
    <w:rsid w:val="00E808F6"/>
    <w:rsid w:val="00E85CC7"/>
    <w:rsid w:val="00E86034"/>
    <w:rsid w:val="00E9392B"/>
    <w:rsid w:val="00E93DA1"/>
    <w:rsid w:val="00E9453B"/>
    <w:rsid w:val="00E946BB"/>
    <w:rsid w:val="00E95C90"/>
    <w:rsid w:val="00EA0E68"/>
    <w:rsid w:val="00EA1E07"/>
    <w:rsid w:val="00EA53E3"/>
    <w:rsid w:val="00EA585F"/>
    <w:rsid w:val="00EA6B9C"/>
    <w:rsid w:val="00EB03FC"/>
    <w:rsid w:val="00EB0BD3"/>
    <w:rsid w:val="00EB4463"/>
    <w:rsid w:val="00EB5006"/>
    <w:rsid w:val="00EB5829"/>
    <w:rsid w:val="00EB7886"/>
    <w:rsid w:val="00EC0B83"/>
    <w:rsid w:val="00EC3EB5"/>
    <w:rsid w:val="00EC4FA8"/>
    <w:rsid w:val="00EC5417"/>
    <w:rsid w:val="00EC6DA8"/>
    <w:rsid w:val="00EC788C"/>
    <w:rsid w:val="00ED0778"/>
    <w:rsid w:val="00ED1439"/>
    <w:rsid w:val="00ED234D"/>
    <w:rsid w:val="00ED2CFC"/>
    <w:rsid w:val="00ED464E"/>
    <w:rsid w:val="00ED510F"/>
    <w:rsid w:val="00ED7E2D"/>
    <w:rsid w:val="00EE2E85"/>
    <w:rsid w:val="00EE4461"/>
    <w:rsid w:val="00EE5C4B"/>
    <w:rsid w:val="00EE5FA0"/>
    <w:rsid w:val="00EE77B5"/>
    <w:rsid w:val="00EE77E1"/>
    <w:rsid w:val="00EF04E0"/>
    <w:rsid w:val="00EF08F3"/>
    <w:rsid w:val="00EF111E"/>
    <w:rsid w:val="00EF3844"/>
    <w:rsid w:val="00EF3D80"/>
    <w:rsid w:val="00EF6D29"/>
    <w:rsid w:val="00EF6E23"/>
    <w:rsid w:val="00F031DC"/>
    <w:rsid w:val="00F034A6"/>
    <w:rsid w:val="00F0394F"/>
    <w:rsid w:val="00F05299"/>
    <w:rsid w:val="00F055E3"/>
    <w:rsid w:val="00F05C1B"/>
    <w:rsid w:val="00F0638B"/>
    <w:rsid w:val="00F07694"/>
    <w:rsid w:val="00F1037E"/>
    <w:rsid w:val="00F11898"/>
    <w:rsid w:val="00F127C4"/>
    <w:rsid w:val="00F13025"/>
    <w:rsid w:val="00F1556C"/>
    <w:rsid w:val="00F17175"/>
    <w:rsid w:val="00F17E86"/>
    <w:rsid w:val="00F22487"/>
    <w:rsid w:val="00F2488C"/>
    <w:rsid w:val="00F272C9"/>
    <w:rsid w:val="00F2758E"/>
    <w:rsid w:val="00F35AE9"/>
    <w:rsid w:val="00F37159"/>
    <w:rsid w:val="00F37DD4"/>
    <w:rsid w:val="00F454E0"/>
    <w:rsid w:val="00F47013"/>
    <w:rsid w:val="00F47F2E"/>
    <w:rsid w:val="00F531DD"/>
    <w:rsid w:val="00F54EA4"/>
    <w:rsid w:val="00F54FA9"/>
    <w:rsid w:val="00F55D1C"/>
    <w:rsid w:val="00F63D5E"/>
    <w:rsid w:val="00F64031"/>
    <w:rsid w:val="00F73440"/>
    <w:rsid w:val="00F745F5"/>
    <w:rsid w:val="00F74C31"/>
    <w:rsid w:val="00F817F5"/>
    <w:rsid w:val="00F819A3"/>
    <w:rsid w:val="00F8430C"/>
    <w:rsid w:val="00F87325"/>
    <w:rsid w:val="00F91AB4"/>
    <w:rsid w:val="00F9432F"/>
    <w:rsid w:val="00F97883"/>
    <w:rsid w:val="00FA43DB"/>
    <w:rsid w:val="00FB22BA"/>
    <w:rsid w:val="00FB2379"/>
    <w:rsid w:val="00FB3357"/>
    <w:rsid w:val="00FB5D6A"/>
    <w:rsid w:val="00FB7F13"/>
    <w:rsid w:val="00FC0D04"/>
    <w:rsid w:val="00FC471A"/>
    <w:rsid w:val="00FC488E"/>
    <w:rsid w:val="00FC6D39"/>
    <w:rsid w:val="00FC7BC5"/>
    <w:rsid w:val="00FD26D6"/>
    <w:rsid w:val="00FE10D9"/>
    <w:rsid w:val="00FE36BD"/>
    <w:rsid w:val="00FE413C"/>
    <w:rsid w:val="00FE5F48"/>
    <w:rsid w:val="00FF1B90"/>
    <w:rsid w:val="00FF3A57"/>
    <w:rsid w:val="00FF62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BCF5B"/>
  <w14:defaultImageDpi w14:val="300"/>
  <w15:docId w15:val="{CE15561B-D804-4E54-BD67-13CAD67F7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s"/>
    <w:qFormat/>
    <w:rsid w:val="00EE4461"/>
    <w:pPr>
      <w:spacing w:before="120" w:after="120"/>
      <w:jc w:val="both"/>
    </w:pPr>
    <w:rPr>
      <w:sz w:val="22"/>
    </w:rPr>
  </w:style>
  <w:style w:type="paragraph" w:styleId="Heading1">
    <w:name w:val="heading 1"/>
    <w:basedOn w:val="Normal"/>
    <w:next w:val="Normal"/>
    <w:link w:val="Heading1Char"/>
    <w:uiPriority w:val="9"/>
    <w:qFormat/>
    <w:rsid w:val="00CA17BA"/>
    <w:pPr>
      <w:keepNext/>
      <w:keepLines/>
      <w:spacing w:before="480"/>
      <w:outlineLvl w:val="0"/>
    </w:pPr>
    <w:rPr>
      <w:rFonts w:asciiTheme="majorHAnsi" w:eastAsiaTheme="majorEastAsia" w:hAnsiTheme="majorHAnsi" w:cstheme="majorBidi"/>
      <w:b/>
      <w:bCs/>
      <w:color w:val="344879" w:themeColor="accent1" w:themeShade="B5"/>
      <w:sz w:val="32"/>
      <w:szCs w:val="32"/>
    </w:rPr>
  </w:style>
  <w:style w:type="paragraph" w:styleId="Heading2">
    <w:name w:val="heading 2"/>
    <w:basedOn w:val="Normal"/>
    <w:next w:val="Normal"/>
    <w:link w:val="Heading2Char"/>
    <w:uiPriority w:val="9"/>
    <w:unhideWhenUsed/>
    <w:qFormat/>
    <w:rsid w:val="00CA17BA"/>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8E1EA3"/>
    <w:pPr>
      <w:keepNext/>
      <w:keepLines/>
      <w:spacing w:before="40" w:after="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unhideWhenUsed/>
    <w:qFormat/>
    <w:rsid w:val="00812D35"/>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unhideWhenUsed/>
    <w:qFormat/>
    <w:rsid w:val="001724E9"/>
    <w:pPr>
      <w:keepNext/>
      <w:keepLines/>
      <w:spacing w:before="40" w:after="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unhideWhenUsed/>
    <w:qFormat/>
    <w:rsid w:val="001724E9"/>
    <w:pPr>
      <w:keepNext/>
      <w:keepLines/>
      <w:spacing w:before="40" w:after="0"/>
      <w:outlineLvl w:val="5"/>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17BA"/>
    <w:rPr>
      <w:rFonts w:asciiTheme="majorHAnsi" w:eastAsiaTheme="majorEastAsia" w:hAnsiTheme="majorHAnsi" w:cstheme="majorBidi"/>
      <w:b/>
      <w:bCs/>
      <w:color w:val="4A66AC" w:themeColor="accent1"/>
      <w:sz w:val="26"/>
      <w:szCs w:val="26"/>
    </w:rPr>
  </w:style>
  <w:style w:type="character" w:customStyle="1" w:styleId="Heading1Char">
    <w:name w:val="Heading 1 Char"/>
    <w:basedOn w:val="DefaultParagraphFont"/>
    <w:link w:val="Heading1"/>
    <w:uiPriority w:val="9"/>
    <w:rsid w:val="00CA17BA"/>
    <w:rPr>
      <w:rFonts w:asciiTheme="majorHAnsi" w:eastAsiaTheme="majorEastAsia" w:hAnsiTheme="majorHAnsi" w:cstheme="majorBidi"/>
      <w:b/>
      <w:bCs/>
      <w:color w:val="344879" w:themeColor="accent1" w:themeShade="B5"/>
      <w:sz w:val="32"/>
      <w:szCs w:val="32"/>
    </w:rPr>
  </w:style>
  <w:style w:type="paragraph" w:styleId="ListParagraph">
    <w:name w:val="List Paragraph"/>
    <w:aliases w:val="2,Strip,H&amp;P List Paragraph,Satura rādītājs,Saraksta rindkopa,Saraksta rindkopa1,Numbered Para 1,Dot pt,No Spacing1,List Paragraph Char Char Char,Indicator Text,List Paragraph1,Bullet 1,Bullet Points,MAIN CONTENT,IFCL - List Paragraph,Bull"/>
    <w:basedOn w:val="Normal"/>
    <w:link w:val="ListParagraphChar"/>
    <w:qFormat/>
    <w:rsid w:val="007E4B37"/>
    <w:pPr>
      <w:ind w:left="720"/>
      <w:contextualSpacing/>
    </w:pPr>
  </w:style>
  <w:style w:type="paragraph" w:styleId="BalloonText">
    <w:name w:val="Balloon Text"/>
    <w:basedOn w:val="Normal"/>
    <w:link w:val="BalloonTextChar"/>
    <w:uiPriority w:val="99"/>
    <w:semiHidden/>
    <w:unhideWhenUsed/>
    <w:rsid w:val="00B5771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715"/>
    <w:rPr>
      <w:rFonts w:ascii="Segoe UI" w:hAnsi="Segoe UI" w:cs="Segoe UI"/>
      <w:sz w:val="18"/>
      <w:szCs w:val="18"/>
    </w:rPr>
  </w:style>
  <w:style w:type="character" w:customStyle="1" w:styleId="Heading3Char">
    <w:name w:val="Heading 3 Char"/>
    <w:basedOn w:val="DefaultParagraphFont"/>
    <w:link w:val="Heading3"/>
    <w:uiPriority w:val="9"/>
    <w:rsid w:val="008E1EA3"/>
    <w:rPr>
      <w:rFonts w:asciiTheme="majorHAnsi" w:eastAsiaTheme="majorEastAsia" w:hAnsiTheme="majorHAnsi" w:cstheme="majorBidi"/>
      <w:color w:val="243255" w:themeColor="accent1" w:themeShade="7F"/>
    </w:rPr>
  </w:style>
  <w:style w:type="paragraph" w:customStyle="1" w:styleId="attelunosaukums">
    <w:name w:val="attelu nosaukums"/>
    <w:basedOn w:val="Normal"/>
    <w:link w:val="attelunosaukumsChar"/>
    <w:qFormat/>
    <w:rsid w:val="00BB69FC"/>
    <w:pPr>
      <w:spacing w:before="240"/>
    </w:pPr>
    <w:rPr>
      <w:b/>
      <w:color w:val="253356" w:themeColor="accent1" w:themeShade="80"/>
      <w:lang w:val="lv-LV"/>
    </w:rPr>
  </w:style>
  <w:style w:type="paragraph" w:styleId="NoSpacing">
    <w:name w:val="No Spacing"/>
    <w:link w:val="NoSpacingChar"/>
    <w:uiPriority w:val="1"/>
    <w:qFormat/>
    <w:rsid w:val="002A004C"/>
    <w:pPr>
      <w:jc w:val="both"/>
    </w:pPr>
    <w:rPr>
      <w:sz w:val="22"/>
    </w:rPr>
  </w:style>
  <w:style w:type="character" w:customStyle="1" w:styleId="attelunosaukumsChar">
    <w:name w:val="attelu nosaukums Char"/>
    <w:basedOn w:val="DefaultParagraphFont"/>
    <w:link w:val="attelunosaukums"/>
    <w:rsid w:val="00BB69FC"/>
    <w:rPr>
      <w:b/>
      <w:color w:val="253356" w:themeColor="accent1" w:themeShade="80"/>
      <w:sz w:val="22"/>
      <w:lang w:val="lv-LV"/>
    </w:rPr>
  </w:style>
  <w:style w:type="table" w:styleId="TableGrid">
    <w:name w:val="Table Grid"/>
    <w:basedOn w:val="TableNormal"/>
    <w:uiPriority w:val="39"/>
    <w:rsid w:val="00084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11">
    <w:name w:val="List Table 6 Colorful - Accent 11"/>
    <w:basedOn w:val="TableNormal"/>
    <w:uiPriority w:val="51"/>
    <w:rsid w:val="005F1391"/>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Piezme">
    <w:name w:val="Piezīme"/>
    <w:basedOn w:val="Normal"/>
    <w:link w:val="PiezmeChar"/>
    <w:qFormat/>
    <w:rsid w:val="007B207F"/>
    <w:pPr>
      <w:spacing w:before="60"/>
    </w:pPr>
    <w:rPr>
      <w:sz w:val="16"/>
      <w:lang w:val="lv-LV"/>
    </w:rPr>
  </w:style>
  <w:style w:type="table" w:customStyle="1" w:styleId="GridTable1Light-Accent11">
    <w:name w:val="Grid Table 1 Light - Accent 11"/>
    <w:basedOn w:val="TableNormal"/>
    <w:uiPriority w:val="46"/>
    <w:rsid w:val="00551092"/>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character" w:customStyle="1" w:styleId="PiezmeChar">
    <w:name w:val="Piezīme Char"/>
    <w:basedOn w:val="DefaultParagraphFont"/>
    <w:link w:val="Piezme"/>
    <w:rsid w:val="007B207F"/>
    <w:rPr>
      <w:sz w:val="16"/>
      <w:lang w:val="lv-LV"/>
    </w:rPr>
  </w:style>
  <w:style w:type="table" w:customStyle="1" w:styleId="ListTable2-Accent11">
    <w:name w:val="List Table 2 - Accent 11"/>
    <w:basedOn w:val="TableNormal"/>
    <w:uiPriority w:val="47"/>
    <w:rsid w:val="00551092"/>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ListTable7Colorful-Accent11">
    <w:name w:val="List Table 7 Colorful - Accent 11"/>
    <w:basedOn w:val="TableNormal"/>
    <w:uiPriority w:val="52"/>
    <w:rsid w:val="00551092"/>
    <w:rPr>
      <w:color w:val="374C8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11">
    <w:name w:val="Grid Table 6 Colorful - Accent 11"/>
    <w:basedOn w:val="TableNormal"/>
    <w:uiPriority w:val="51"/>
    <w:rsid w:val="00551092"/>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FootnoteReference">
    <w:name w:val="footnote reference"/>
    <w:aliases w:val="Footnote Reference Number,SUPERS,Footnote symbol,ftref,Footnote Refernece,stylish,BVI fnr,Fußnotenzeichen_Raxen,callout,Footnote Reference Superscript,Footnote symbFootnote Refernece,fr,Odwołanie przypisu,Footnotes refss,Ref,E,E FNZ"/>
    <w:basedOn w:val="DefaultParagraphFont"/>
    <w:link w:val="CharCharCharChar"/>
    <w:uiPriority w:val="99"/>
    <w:unhideWhenUsed/>
    <w:rsid w:val="00C736EC"/>
    <w:rPr>
      <w:vertAlign w:val="superscript"/>
    </w:rPr>
  </w:style>
  <w:style w:type="paragraph" w:styleId="FootnoteText">
    <w:name w:val="footnote text"/>
    <w:aliases w:val="Footnote,Fußnote,Fußnote Char,Fußnote Char Char Char,Fußnotentext Char,Fußnotentext Char1 Char1,Fußnotentext Char Char Char Char,Fußnotentext Char1 Char Char Char,Fußnotentext Char Char,Fußnotentext Char1 Char Char Char Char,Fußn,stile 1,f"/>
    <w:basedOn w:val="Normal"/>
    <w:link w:val="FootnoteTextChar"/>
    <w:uiPriority w:val="99"/>
    <w:unhideWhenUsed/>
    <w:rsid w:val="00C736EC"/>
    <w:pPr>
      <w:spacing w:before="0" w:after="0"/>
      <w:jc w:val="left"/>
    </w:pPr>
    <w:rPr>
      <w:rFonts w:ascii="Arial" w:eastAsia="Arial" w:hAnsi="Arial" w:cs="Arial"/>
      <w:color w:val="000000"/>
      <w:sz w:val="20"/>
      <w:szCs w:val="20"/>
      <w:lang w:val="lv-LV" w:eastAsia="lv-LV"/>
    </w:rPr>
  </w:style>
  <w:style w:type="character" w:customStyle="1" w:styleId="FootnoteTextChar">
    <w:name w:val="Footnote Text Char"/>
    <w:aliases w:val="Footnote Char,Fußnote Char1,Fußnote Char Char,Fußnote Char Char Char Char,Fußnotentext Char Char1,Fußnotentext Char1 Char1 Char,Fußnotentext Char Char Char Char Char,Fußnotentext Char1 Char Char Char Char1,Fußnotentext Char Char Char"/>
    <w:basedOn w:val="DefaultParagraphFont"/>
    <w:link w:val="FootnoteText"/>
    <w:uiPriority w:val="99"/>
    <w:rsid w:val="00C736EC"/>
    <w:rPr>
      <w:rFonts w:ascii="Arial" w:eastAsia="Arial" w:hAnsi="Arial" w:cs="Arial"/>
      <w:color w:val="000000"/>
      <w:sz w:val="20"/>
      <w:szCs w:val="20"/>
      <w:lang w:val="lv-LV" w:eastAsia="lv-LV"/>
    </w:rPr>
  </w:style>
  <w:style w:type="paragraph" w:customStyle="1" w:styleId="CharCharCharChar">
    <w:name w:val="Char Char Char Char"/>
    <w:aliases w:val="Char2"/>
    <w:basedOn w:val="Normal"/>
    <w:next w:val="Normal"/>
    <w:link w:val="FootnoteReference"/>
    <w:uiPriority w:val="99"/>
    <w:rsid w:val="00C736EC"/>
    <w:pPr>
      <w:spacing w:before="0" w:after="160" w:line="240" w:lineRule="exact"/>
      <w:textAlignment w:val="baseline"/>
    </w:pPr>
    <w:rPr>
      <w:sz w:val="24"/>
      <w:vertAlign w:val="superscript"/>
    </w:rPr>
  </w:style>
  <w:style w:type="paragraph" w:styleId="NormalWeb">
    <w:name w:val="Normal (Web)"/>
    <w:basedOn w:val="Normal"/>
    <w:uiPriority w:val="99"/>
    <w:unhideWhenUsed/>
    <w:rsid w:val="00B24A04"/>
    <w:pPr>
      <w:spacing w:before="100" w:beforeAutospacing="1" w:after="100" w:afterAutospacing="1"/>
      <w:jc w:val="left"/>
    </w:pPr>
    <w:rPr>
      <w:rFonts w:ascii="Times New Roman" w:eastAsia="Times New Roman" w:hAnsi="Times New Roman" w:cs="Times New Roman"/>
      <w:sz w:val="24"/>
      <w:lang w:val="lv-LV" w:eastAsia="lv-LV"/>
    </w:rPr>
  </w:style>
  <w:style w:type="character" w:customStyle="1" w:styleId="Heading4Char">
    <w:name w:val="Heading 4 Char"/>
    <w:basedOn w:val="DefaultParagraphFont"/>
    <w:link w:val="Heading4"/>
    <w:uiPriority w:val="9"/>
    <w:rsid w:val="00812D35"/>
    <w:rPr>
      <w:rFonts w:asciiTheme="majorHAnsi" w:eastAsiaTheme="majorEastAsia" w:hAnsiTheme="majorHAnsi" w:cstheme="majorBidi"/>
      <w:i/>
      <w:iCs/>
      <w:color w:val="374C80" w:themeColor="accent1" w:themeShade="BF"/>
      <w:sz w:val="22"/>
    </w:rPr>
  </w:style>
  <w:style w:type="character" w:customStyle="1" w:styleId="Heading5Char">
    <w:name w:val="Heading 5 Char"/>
    <w:basedOn w:val="DefaultParagraphFont"/>
    <w:link w:val="Heading5"/>
    <w:uiPriority w:val="9"/>
    <w:rsid w:val="001724E9"/>
    <w:rPr>
      <w:rFonts w:asciiTheme="majorHAnsi" w:eastAsiaTheme="majorEastAsia" w:hAnsiTheme="majorHAnsi" w:cstheme="majorBidi"/>
      <w:color w:val="374C80" w:themeColor="accent1" w:themeShade="BF"/>
      <w:sz w:val="22"/>
    </w:rPr>
  </w:style>
  <w:style w:type="character" w:customStyle="1" w:styleId="Heading6Char">
    <w:name w:val="Heading 6 Char"/>
    <w:basedOn w:val="DefaultParagraphFont"/>
    <w:link w:val="Heading6"/>
    <w:uiPriority w:val="9"/>
    <w:rsid w:val="001724E9"/>
    <w:rPr>
      <w:rFonts w:asciiTheme="majorHAnsi" w:eastAsiaTheme="majorEastAsia" w:hAnsiTheme="majorHAnsi" w:cstheme="majorBidi"/>
      <w:color w:val="243255" w:themeColor="accent1" w:themeShade="7F"/>
      <w:sz w:val="22"/>
    </w:rPr>
  </w:style>
  <w:style w:type="paragraph" w:customStyle="1" w:styleId="Default">
    <w:name w:val="Default"/>
    <w:rsid w:val="00757004"/>
    <w:pPr>
      <w:autoSpaceDE w:val="0"/>
      <w:autoSpaceDN w:val="0"/>
      <w:adjustRightInd w:val="0"/>
    </w:pPr>
    <w:rPr>
      <w:rFonts w:ascii="Times New Roman" w:eastAsiaTheme="minorHAnsi" w:hAnsi="Times New Roman" w:cs="Times New Roman"/>
      <w:color w:val="000000"/>
      <w:lang w:val="lv-LV"/>
    </w:rPr>
  </w:style>
  <w:style w:type="character" w:customStyle="1" w:styleId="ListParagraphChar">
    <w:name w:val="List Paragraph Char"/>
    <w:aliases w:val="2 Char,Strip Char,H&amp;P List Paragraph Char,Satura rādītājs Char,Saraksta rindkopa Char,Saraksta rindkopa1 Char,Numbered Para 1 Char,Dot pt Char,No Spacing1 Char,List Paragraph Char Char Char Char,Indicator Text Char,Bullet 1 Char"/>
    <w:link w:val="ListParagraph"/>
    <w:qFormat/>
    <w:rsid w:val="00894C81"/>
    <w:rPr>
      <w:sz w:val="22"/>
    </w:rPr>
  </w:style>
  <w:style w:type="paragraph" w:styleId="BodyText2">
    <w:name w:val="Body Text 2"/>
    <w:basedOn w:val="Normal"/>
    <w:link w:val="BodyText2Char"/>
    <w:rsid w:val="00894C81"/>
    <w:pPr>
      <w:spacing w:before="0" w:after="0"/>
    </w:pPr>
    <w:rPr>
      <w:rFonts w:ascii="Times New Roman" w:eastAsia="Times New Roman" w:hAnsi="Times New Roman" w:cs="Times New Roman"/>
      <w:b/>
      <w:bCs/>
      <w:color w:val="000000"/>
      <w:sz w:val="24"/>
      <w:lang w:val="lv-LV" w:eastAsia="lv-LV"/>
    </w:rPr>
  </w:style>
  <w:style w:type="character" w:customStyle="1" w:styleId="BodyText2Char">
    <w:name w:val="Body Text 2 Char"/>
    <w:basedOn w:val="DefaultParagraphFont"/>
    <w:link w:val="BodyText2"/>
    <w:rsid w:val="00894C81"/>
    <w:rPr>
      <w:rFonts w:ascii="Times New Roman" w:eastAsia="Times New Roman" w:hAnsi="Times New Roman" w:cs="Times New Roman"/>
      <w:b/>
      <w:bCs/>
      <w:color w:val="000000"/>
      <w:lang w:val="lv-LV" w:eastAsia="lv-LV"/>
    </w:rPr>
  </w:style>
  <w:style w:type="character" w:customStyle="1" w:styleId="NoSpacingChar">
    <w:name w:val="No Spacing Char"/>
    <w:link w:val="NoSpacing"/>
    <w:uiPriority w:val="1"/>
    <w:rsid w:val="00894C81"/>
    <w:rPr>
      <w:sz w:val="22"/>
    </w:rPr>
  </w:style>
  <w:style w:type="character" w:styleId="Hyperlink">
    <w:name w:val="Hyperlink"/>
    <w:uiPriority w:val="99"/>
    <w:unhideWhenUsed/>
    <w:rsid w:val="005704F0"/>
    <w:rPr>
      <w:color w:val="0000FF"/>
      <w:u w:val="single"/>
    </w:rPr>
  </w:style>
  <w:style w:type="character" w:styleId="CommentReference">
    <w:name w:val="annotation reference"/>
    <w:basedOn w:val="DefaultParagraphFont"/>
    <w:uiPriority w:val="99"/>
    <w:semiHidden/>
    <w:unhideWhenUsed/>
    <w:rsid w:val="001A35EF"/>
    <w:rPr>
      <w:sz w:val="16"/>
      <w:szCs w:val="16"/>
    </w:rPr>
  </w:style>
  <w:style w:type="paragraph" w:styleId="CommentText">
    <w:name w:val="annotation text"/>
    <w:basedOn w:val="Normal"/>
    <w:link w:val="CommentTextChar"/>
    <w:uiPriority w:val="99"/>
    <w:semiHidden/>
    <w:unhideWhenUsed/>
    <w:rsid w:val="001A35EF"/>
    <w:rPr>
      <w:sz w:val="20"/>
      <w:szCs w:val="20"/>
    </w:rPr>
  </w:style>
  <w:style w:type="character" w:customStyle="1" w:styleId="CommentTextChar">
    <w:name w:val="Comment Text Char"/>
    <w:basedOn w:val="DefaultParagraphFont"/>
    <w:link w:val="CommentText"/>
    <w:uiPriority w:val="99"/>
    <w:semiHidden/>
    <w:rsid w:val="001A35EF"/>
    <w:rPr>
      <w:sz w:val="20"/>
      <w:szCs w:val="20"/>
    </w:rPr>
  </w:style>
  <w:style w:type="paragraph" w:styleId="CommentSubject">
    <w:name w:val="annotation subject"/>
    <w:basedOn w:val="CommentText"/>
    <w:next w:val="CommentText"/>
    <w:link w:val="CommentSubjectChar"/>
    <w:uiPriority w:val="99"/>
    <w:semiHidden/>
    <w:unhideWhenUsed/>
    <w:rsid w:val="001A35EF"/>
    <w:rPr>
      <w:b/>
      <w:bCs/>
    </w:rPr>
  </w:style>
  <w:style w:type="character" w:customStyle="1" w:styleId="CommentSubjectChar">
    <w:name w:val="Comment Subject Char"/>
    <w:basedOn w:val="CommentTextChar"/>
    <w:link w:val="CommentSubject"/>
    <w:uiPriority w:val="99"/>
    <w:semiHidden/>
    <w:rsid w:val="001A35EF"/>
    <w:rPr>
      <w:b/>
      <w:bCs/>
      <w:sz w:val="20"/>
      <w:szCs w:val="20"/>
    </w:rPr>
  </w:style>
  <w:style w:type="paragraph" w:customStyle="1" w:styleId="tv213">
    <w:name w:val="tv213"/>
    <w:basedOn w:val="Normal"/>
    <w:rsid w:val="0081495A"/>
    <w:pPr>
      <w:spacing w:before="100" w:beforeAutospacing="1" w:after="100" w:afterAutospacing="1"/>
      <w:jc w:val="left"/>
    </w:pPr>
    <w:rPr>
      <w:rFonts w:ascii="Times New Roman" w:eastAsia="Times New Roman" w:hAnsi="Times New Roman" w:cs="Times New Roman"/>
      <w:sz w:val="24"/>
      <w:lang w:val="lv-LV" w:eastAsia="lv-LV"/>
    </w:rPr>
  </w:style>
  <w:style w:type="paragraph" w:customStyle="1" w:styleId="Normal1">
    <w:name w:val="Normal1"/>
    <w:rsid w:val="001D06C8"/>
    <w:pPr>
      <w:spacing w:line="276" w:lineRule="auto"/>
    </w:pPr>
    <w:rPr>
      <w:rFonts w:ascii="Arial" w:eastAsia="Arial" w:hAnsi="Arial" w:cs="Arial"/>
      <w:color w:val="000000"/>
      <w:sz w:val="22"/>
      <w:szCs w:val="22"/>
      <w:lang w:val="lv-LV" w:eastAsia="lv-LV"/>
    </w:rPr>
  </w:style>
  <w:style w:type="character" w:customStyle="1" w:styleId="InternetLink">
    <w:name w:val="Internet Link"/>
    <w:basedOn w:val="DefaultParagraphFont"/>
    <w:rsid w:val="001D06C8"/>
    <w:rPr>
      <w:color w:val="0000FF"/>
      <w:u w:val="single"/>
    </w:rPr>
  </w:style>
  <w:style w:type="character" w:customStyle="1" w:styleId="FootnoteAnchor">
    <w:name w:val="Footnote Anchor"/>
    <w:rsid w:val="001D06C8"/>
    <w:rPr>
      <w:vertAlign w:val="superscript"/>
    </w:rPr>
  </w:style>
  <w:style w:type="paragraph" w:styleId="Title">
    <w:name w:val="Title"/>
    <w:basedOn w:val="Normal"/>
    <w:next w:val="Normal"/>
    <w:link w:val="TitleChar"/>
    <w:uiPriority w:val="10"/>
    <w:qFormat/>
    <w:rsid w:val="008F326C"/>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26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E7294"/>
    <w:pPr>
      <w:tabs>
        <w:tab w:val="center" w:pos="4153"/>
        <w:tab w:val="right" w:pos="8306"/>
      </w:tabs>
      <w:spacing w:before="0" w:after="0"/>
    </w:pPr>
  </w:style>
  <w:style w:type="character" w:customStyle="1" w:styleId="HeaderChar">
    <w:name w:val="Header Char"/>
    <w:basedOn w:val="DefaultParagraphFont"/>
    <w:link w:val="Header"/>
    <w:uiPriority w:val="99"/>
    <w:rsid w:val="008E7294"/>
    <w:rPr>
      <w:sz w:val="22"/>
    </w:rPr>
  </w:style>
  <w:style w:type="paragraph" w:styleId="Footer">
    <w:name w:val="footer"/>
    <w:basedOn w:val="Normal"/>
    <w:link w:val="FooterChar"/>
    <w:uiPriority w:val="99"/>
    <w:unhideWhenUsed/>
    <w:rsid w:val="008E7294"/>
    <w:pPr>
      <w:tabs>
        <w:tab w:val="center" w:pos="4153"/>
        <w:tab w:val="right" w:pos="8306"/>
      </w:tabs>
      <w:spacing w:before="0" w:after="0"/>
    </w:pPr>
  </w:style>
  <w:style w:type="character" w:customStyle="1" w:styleId="FooterChar">
    <w:name w:val="Footer Char"/>
    <w:basedOn w:val="DefaultParagraphFont"/>
    <w:link w:val="Footer"/>
    <w:uiPriority w:val="99"/>
    <w:rsid w:val="008E7294"/>
    <w:rPr>
      <w:sz w:val="22"/>
    </w:rPr>
  </w:style>
  <w:style w:type="table" w:customStyle="1" w:styleId="ListTable3-Accent21">
    <w:name w:val="List Table 3 - Accent 21"/>
    <w:basedOn w:val="TableNormal"/>
    <w:uiPriority w:val="48"/>
    <w:rsid w:val="00E247CC"/>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customStyle="1" w:styleId="ListTable3-Accent210">
    <w:name w:val="List Table 3 - Accent 21"/>
    <w:basedOn w:val="TableNormal"/>
    <w:next w:val="TableNormal"/>
    <w:uiPriority w:val="48"/>
    <w:rsid w:val="00677143"/>
    <w:rPr>
      <w:rFonts w:eastAsia="MS Mincho"/>
    </w:rPr>
    <w:tblPr>
      <w:tblStyleRowBandSize w:val="1"/>
      <w:tblStyleColBandSize w:val="1"/>
      <w:tblBorders>
        <w:top w:val="single" w:sz="4" w:space="0" w:color="629DD1"/>
        <w:left w:val="single" w:sz="4" w:space="0" w:color="629DD1"/>
        <w:bottom w:val="single" w:sz="4" w:space="0" w:color="629DD1"/>
        <w:right w:val="single" w:sz="4" w:space="0" w:color="629DD1"/>
      </w:tblBorders>
    </w:tblPr>
    <w:tblStylePr w:type="firstRow">
      <w:rPr>
        <w:b/>
        <w:bCs/>
        <w:color w:val="FFFFFF"/>
      </w:rPr>
      <w:tblPr/>
      <w:tcPr>
        <w:shd w:val="clear" w:color="auto" w:fill="629DD1"/>
      </w:tcPr>
    </w:tblStylePr>
    <w:tblStylePr w:type="lastRow">
      <w:rPr>
        <w:b/>
        <w:bCs/>
      </w:rPr>
      <w:tblPr/>
      <w:tcPr>
        <w:tcBorders>
          <w:top w:val="double" w:sz="4" w:space="0" w:color="629DD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29DD1"/>
          <w:right w:val="single" w:sz="4" w:space="0" w:color="629DD1"/>
        </w:tcBorders>
      </w:tcPr>
    </w:tblStylePr>
    <w:tblStylePr w:type="band1Horz">
      <w:tblPr/>
      <w:tcPr>
        <w:tcBorders>
          <w:top w:val="single" w:sz="4" w:space="0" w:color="629DD1"/>
          <w:bottom w:val="single" w:sz="4" w:space="0" w:color="629DD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left w:val="nil"/>
        </w:tcBorders>
      </w:tcPr>
    </w:tblStylePr>
    <w:tblStylePr w:type="swCell">
      <w:tblPr/>
      <w:tcPr>
        <w:tcBorders>
          <w:top w:val="double" w:sz="4" w:space="0" w:color="629DD1"/>
          <w:right w:val="nil"/>
        </w:tcBorders>
      </w:tcPr>
    </w:tblStylePr>
  </w:style>
  <w:style w:type="paragraph" w:styleId="TOCHeading">
    <w:name w:val="TOC Heading"/>
    <w:basedOn w:val="Heading1"/>
    <w:next w:val="Normal"/>
    <w:uiPriority w:val="39"/>
    <w:unhideWhenUsed/>
    <w:qFormat/>
    <w:rsid w:val="007D04D5"/>
    <w:pPr>
      <w:spacing w:before="240" w:after="0" w:line="259" w:lineRule="auto"/>
      <w:jc w:val="left"/>
      <w:outlineLvl w:val="9"/>
    </w:pPr>
    <w:rPr>
      <w:b w:val="0"/>
      <w:bCs w:val="0"/>
      <w:color w:val="374C80" w:themeColor="accent1" w:themeShade="BF"/>
    </w:rPr>
  </w:style>
  <w:style w:type="paragraph" w:styleId="TOC1">
    <w:name w:val="toc 1"/>
    <w:basedOn w:val="Normal"/>
    <w:next w:val="Normal"/>
    <w:autoRedefine/>
    <w:uiPriority w:val="39"/>
    <w:unhideWhenUsed/>
    <w:rsid w:val="007D04D5"/>
    <w:pPr>
      <w:spacing w:after="100"/>
    </w:pPr>
  </w:style>
  <w:style w:type="paragraph" w:styleId="TOC2">
    <w:name w:val="toc 2"/>
    <w:basedOn w:val="Normal"/>
    <w:next w:val="Normal"/>
    <w:autoRedefine/>
    <w:uiPriority w:val="39"/>
    <w:unhideWhenUsed/>
    <w:rsid w:val="00FC488E"/>
    <w:pPr>
      <w:tabs>
        <w:tab w:val="right" w:leader="dot" w:pos="8290"/>
      </w:tabs>
      <w:spacing w:after="100"/>
      <w:ind w:left="220"/>
      <w:jc w:val="left"/>
    </w:pPr>
  </w:style>
  <w:style w:type="paragraph" w:styleId="TOC3">
    <w:name w:val="toc 3"/>
    <w:basedOn w:val="Normal"/>
    <w:next w:val="Normal"/>
    <w:autoRedefine/>
    <w:uiPriority w:val="39"/>
    <w:unhideWhenUsed/>
    <w:rsid w:val="007D04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95401">
      <w:bodyDiv w:val="1"/>
      <w:marLeft w:val="0"/>
      <w:marRight w:val="0"/>
      <w:marTop w:val="0"/>
      <w:marBottom w:val="0"/>
      <w:divBdr>
        <w:top w:val="none" w:sz="0" w:space="0" w:color="auto"/>
        <w:left w:val="none" w:sz="0" w:space="0" w:color="auto"/>
        <w:bottom w:val="none" w:sz="0" w:space="0" w:color="auto"/>
        <w:right w:val="none" w:sz="0" w:space="0" w:color="auto"/>
      </w:divBdr>
    </w:div>
    <w:div w:id="180975003">
      <w:bodyDiv w:val="1"/>
      <w:marLeft w:val="0"/>
      <w:marRight w:val="0"/>
      <w:marTop w:val="0"/>
      <w:marBottom w:val="0"/>
      <w:divBdr>
        <w:top w:val="none" w:sz="0" w:space="0" w:color="auto"/>
        <w:left w:val="none" w:sz="0" w:space="0" w:color="auto"/>
        <w:bottom w:val="none" w:sz="0" w:space="0" w:color="auto"/>
        <w:right w:val="none" w:sz="0" w:space="0" w:color="auto"/>
      </w:divBdr>
    </w:div>
    <w:div w:id="209616875">
      <w:bodyDiv w:val="1"/>
      <w:marLeft w:val="0"/>
      <w:marRight w:val="0"/>
      <w:marTop w:val="0"/>
      <w:marBottom w:val="0"/>
      <w:divBdr>
        <w:top w:val="none" w:sz="0" w:space="0" w:color="auto"/>
        <w:left w:val="none" w:sz="0" w:space="0" w:color="auto"/>
        <w:bottom w:val="none" w:sz="0" w:space="0" w:color="auto"/>
        <w:right w:val="none" w:sz="0" w:space="0" w:color="auto"/>
      </w:divBdr>
    </w:div>
    <w:div w:id="387412991">
      <w:bodyDiv w:val="1"/>
      <w:marLeft w:val="0"/>
      <w:marRight w:val="0"/>
      <w:marTop w:val="0"/>
      <w:marBottom w:val="0"/>
      <w:divBdr>
        <w:top w:val="none" w:sz="0" w:space="0" w:color="auto"/>
        <w:left w:val="none" w:sz="0" w:space="0" w:color="auto"/>
        <w:bottom w:val="none" w:sz="0" w:space="0" w:color="auto"/>
        <w:right w:val="none" w:sz="0" w:space="0" w:color="auto"/>
      </w:divBdr>
    </w:div>
    <w:div w:id="830945576">
      <w:bodyDiv w:val="1"/>
      <w:marLeft w:val="0"/>
      <w:marRight w:val="0"/>
      <w:marTop w:val="0"/>
      <w:marBottom w:val="0"/>
      <w:divBdr>
        <w:top w:val="none" w:sz="0" w:space="0" w:color="auto"/>
        <w:left w:val="none" w:sz="0" w:space="0" w:color="auto"/>
        <w:bottom w:val="none" w:sz="0" w:space="0" w:color="auto"/>
        <w:right w:val="none" w:sz="0" w:space="0" w:color="auto"/>
      </w:divBdr>
    </w:div>
    <w:div w:id="1017730143">
      <w:bodyDiv w:val="1"/>
      <w:marLeft w:val="0"/>
      <w:marRight w:val="0"/>
      <w:marTop w:val="0"/>
      <w:marBottom w:val="0"/>
      <w:divBdr>
        <w:top w:val="none" w:sz="0" w:space="0" w:color="auto"/>
        <w:left w:val="none" w:sz="0" w:space="0" w:color="auto"/>
        <w:bottom w:val="none" w:sz="0" w:space="0" w:color="auto"/>
        <w:right w:val="none" w:sz="0" w:space="0" w:color="auto"/>
      </w:divBdr>
    </w:div>
    <w:div w:id="1137145954">
      <w:bodyDiv w:val="1"/>
      <w:marLeft w:val="0"/>
      <w:marRight w:val="0"/>
      <w:marTop w:val="0"/>
      <w:marBottom w:val="0"/>
      <w:divBdr>
        <w:top w:val="none" w:sz="0" w:space="0" w:color="auto"/>
        <w:left w:val="none" w:sz="0" w:space="0" w:color="auto"/>
        <w:bottom w:val="none" w:sz="0" w:space="0" w:color="auto"/>
        <w:right w:val="none" w:sz="0" w:space="0" w:color="auto"/>
      </w:divBdr>
    </w:div>
    <w:div w:id="1447306818">
      <w:bodyDiv w:val="1"/>
      <w:marLeft w:val="0"/>
      <w:marRight w:val="0"/>
      <w:marTop w:val="0"/>
      <w:marBottom w:val="0"/>
      <w:divBdr>
        <w:top w:val="none" w:sz="0" w:space="0" w:color="auto"/>
        <w:left w:val="none" w:sz="0" w:space="0" w:color="auto"/>
        <w:bottom w:val="none" w:sz="0" w:space="0" w:color="auto"/>
        <w:right w:val="none" w:sz="0" w:space="0" w:color="auto"/>
      </w:divBdr>
    </w:div>
    <w:div w:id="1640577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1.png"/><Relationship Id="rId21" Type="http://schemas.openxmlformats.org/officeDocument/2006/relationships/chart" Target="charts/chart14.xml"/><Relationship Id="rId34" Type="http://schemas.openxmlformats.org/officeDocument/2006/relationships/chart" Target="charts/chart25.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50.xml"/><Relationship Id="rId68" Type="http://schemas.openxmlformats.org/officeDocument/2006/relationships/image" Target="media/image6.png"/><Relationship Id="rId76" Type="http://schemas.openxmlformats.org/officeDocument/2006/relationships/chart" Target="charts/chart52.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3.xml"/><Relationship Id="rId37" Type="http://schemas.openxmlformats.org/officeDocument/2006/relationships/hyperlink" Target="http://www.latvija.lv/" TargetMode="Externa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image" Target="media/image4.png"/><Relationship Id="rId74" Type="http://schemas.openxmlformats.org/officeDocument/2006/relationships/image" Target="media/image12.png"/><Relationship Id="rId79"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chart" Target="charts/chart48.xml"/><Relationship Id="rId82" Type="http://schemas.openxmlformats.org/officeDocument/2006/relationships/image" Target="media/image17.png"/><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yperlink" Target="http://www.valoda.lv" TargetMode="External"/><Relationship Id="rId35" Type="http://schemas.openxmlformats.org/officeDocument/2006/relationships/hyperlink" Target="http://www.latvija.lv" TargetMode="Externa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image" Target="media/image2.png"/><Relationship Id="rId69" Type="http://schemas.openxmlformats.org/officeDocument/2006/relationships/image" Target="media/image7.png"/><Relationship Id="rId77" Type="http://schemas.openxmlformats.org/officeDocument/2006/relationships/chart" Target="charts/chart53.xml"/><Relationship Id="rId8" Type="http://schemas.openxmlformats.org/officeDocument/2006/relationships/chart" Target="charts/chart1.xml"/><Relationship Id="rId51" Type="http://schemas.openxmlformats.org/officeDocument/2006/relationships/chart" Target="charts/chart38.xml"/><Relationship Id="rId72" Type="http://schemas.openxmlformats.org/officeDocument/2006/relationships/image" Target="media/image10.png"/><Relationship Id="rId80" Type="http://schemas.openxmlformats.org/officeDocument/2006/relationships/image" Target="media/image1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4.xml"/><Relationship Id="rId38" Type="http://schemas.openxmlformats.org/officeDocument/2006/relationships/chart" Target="charts/chart26.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image" Target="media/image5.png"/><Relationship Id="rId20" Type="http://schemas.openxmlformats.org/officeDocument/2006/relationships/chart" Target="charts/chart13.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image" Target="media/image8.png"/><Relationship Id="rId75" Type="http://schemas.openxmlformats.org/officeDocument/2006/relationships/chart" Target="charts/chart51.xml"/><Relationship Id="rId83" Type="http://schemas.openxmlformats.org/officeDocument/2006/relationships/footer" Target="footer1.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www.latvija.lv/" TargetMode="Externa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chart" Target="charts/chart3.xml"/><Relationship Id="rId31" Type="http://schemas.openxmlformats.org/officeDocument/2006/relationships/hyperlink" Target="http://www.diaspora.lu.lv/petijumi" TargetMode="Externa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image" Target="media/image3.png"/><Relationship Id="rId73" Type="http://schemas.openxmlformats.org/officeDocument/2006/relationships/image" Target="media/image11.png"/><Relationship Id="rId78" Type="http://schemas.openxmlformats.org/officeDocument/2006/relationships/image" Target="media/image13.png"/><Relationship Id="rId8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tap.mk.gov.lv/mk/tap/?pid=40306267" TargetMode="External"/><Relationship Id="rId3" Type="http://schemas.openxmlformats.org/officeDocument/2006/relationships/hyperlink" Target="http://www.pkc.gov.lv/sites/default/files/inline-files/MPzin_07092015_Uzraudzibas_zinojums_4.pdf" TargetMode="External"/><Relationship Id="rId7" Type="http://schemas.openxmlformats.org/officeDocument/2006/relationships/hyperlink" Target="https://www.em.gov.lv/lv/eiropas_savieniba/strategija__eiropa_2020_/latvijas_nacionala_reformu_programma/" TargetMode="External"/><Relationship Id="rId2" Type="http://schemas.openxmlformats.org/officeDocument/2006/relationships/hyperlink" Target="https://likumi.lv/doc.php?id=267469" TargetMode="External"/><Relationship Id="rId1" Type="http://schemas.openxmlformats.org/officeDocument/2006/relationships/hyperlink" Target="http://www.pkc.gov.lv/sites/default/files/inline-files/LS_MK_deklaracija.pdf" TargetMode="External"/><Relationship Id="rId6" Type="http://schemas.openxmlformats.org/officeDocument/2006/relationships/hyperlink" Target="http://www.varam.gov.lv/lat/likumdosana/normativo_aktu_projekti/2014__2020_gada_eiropas_savienibas_fondi/?doc=21707" TargetMode="External"/><Relationship Id="rId11" Type="http://schemas.openxmlformats.org/officeDocument/2006/relationships/hyperlink" Target="http://www.biceps.org/assets/docs/LCR_LV_1804_Final_1.pdf" TargetMode="External"/><Relationship Id="rId5" Type="http://schemas.openxmlformats.org/officeDocument/2006/relationships/hyperlink" Target="http://titania.saeima.lv/LIVS12/saeimalivs_lmp.nsf/0/7F00CC80354C1541C22580DB00517BB4?OpenDocument" TargetMode="External"/><Relationship Id="rId10" Type="http://schemas.openxmlformats.org/officeDocument/2006/relationships/hyperlink" Target="http://tap.mk.gov.lv/mk/tap/?pid=40412362" TargetMode="External"/><Relationship Id="rId4" Type="http://schemas.openxmlformats.org/officeDocument/2006/relationships/hyperlink" Target="http://www.pkc.gov.lv/sites/default/files/inline-files/20160210_MKucinskis_Deklaracija.pdf" TargetMode="External"/><Relationship Id="rId9" Type="http://schemas.openxmlformats.org/officeDocument/2006/relationships/hyperlink" Target="https://www.em.gov.lv/lv/nozares_politika/nacionala_industriala_politik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iensaimnieks\Desktop\NAP%202017\Super_aggr_code_r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KCKG\Desktop\NAP_fin_analize\Analize_final.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iensaimnieks\Desktop\NAP%202017\Super_aggr_code_r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S-01\PKC\NAP2020%20vidusposms\NAP2020_indikatori\Indikatori%20NAP_2017.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Piensaimnieks\Desktop\NAP%202017\Super_aggr_code_rel.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PKCKG\Desktop\NAP_fin_analize\JPI.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0.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PKCKG\Desktop\NAP_fin_analize\JPI.xlsx"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8.xlsx"/><Relationship Id="rId1" Type="http://schemas.openxmlformats.org/officeDocument/2006/relationships/themeOverride" Target="../theme/themeOverride5.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6.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PKCKG\Desktop\NAP_fin_analize\Analize_final.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PKCKG\Desktop\NAP_fin_analize\Analize_final.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PKCKG\Desktop\NAP_fin_analize\Analize_final.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PKCKG\Desktop\NAP_fin_analize\Analize_fina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Graph!$A$6</c:f>
              <c:strCache>
                <c:ptCount val="1"/>
                <c:pt idx="0">
                  <c:v>Runu skaits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Graph!$B$5:$F$5</c:f>
              <c:numCache>
                <c:formatCode>General</c:formatCode>
                <c:ptCount val="5"/>
                <c:pt idx="0">
                  <c:v>2012</c:v>
                </c:pt>
                <c:pt idx="1">
                  <c:v>2013</c:v>
                </c:pt>
                <c:pt idx="2">
                  <c:v>2014</c:v>
                </c:pt>
                <c:pt idx="3">
                  <c:v>2015</c:v>
                </c:pt>
                <c:pt idx="4">
                  <c:v>2016</c:v>
                </c:pt>
              </c:numCache>
            </c:numRef>
          </c:cat>
          <c:val>
            <c:numRef>
              <c:f>Graph!$B$6:$F$6</c:f>
              <c:numCache>
                <c:formatCode>General</c:formatCode>
                <c:ptCount val="5"/>
                <c:pt idx="0">
                  <c:v>9</c:v>
                </c:pt>
                <c:pt idx="1">
                  <c:v>13</c:v>
                </c:pt>
                <c:pt idx="2">
                  <c:v>26</c:v>
                </c:pt>
                <c:pt idx="3">
                  <c:v>16</c:v>
                </c:pt>
                <c:pt idx="4">
                  <c:v>6</c:v>
                </c:pt>
              </c:numCache>
            </c:numRef>
          </c:val>
          <c:extLst xmlns:c16r2="http://schemas.microsoft.com/office/drawing/2015/06/chart">
            <c:ext xmlns:c16="http://schemas.microsoft.com/office/drawing/2014/chart" uri="{C3380CC4-5D6E-409C-BE32-E72D297353CC}">
              <c16:uniqueId val="{00000000-D2E0-468A-88E9-A4F51323AF56}"/>
            </c:ext>
          </c:extLst>
        </c:ser>
        <c:dLbls>
          <c:showLegendKey val="0"/>
          <c:showVal val="0"/>
          <c:showCatName val="0"/>
          <c:showSerName val="0"/>
          <c:showPercent val="0"/>
          <c:showBubbleSize val="0"/>
        </c:dLbls>
        <c:gapWidth val="150"/>
        <c:axId val="216886160"/>
        <c:axId val="216883416"/>
      </c:barChart>
      <c:catAx>
        <c:axId val="216886160"/>
        <c:scaling>
          <c:orientation val="minMax"/>
        </c:scaling>
        <c:delete val="0"/>
        <c:axPos val="b"/>
        <c:numFmt formatCode="General" sourceLinked="1"/>
        <c:majorTickMark val="out"/>
        <c:minorTickMark val="none"/>
        <c:tickLblPos val="nextTo"/>
        <c:crossAx val="216883416"/>
        <c:crosses val="autoZero"/>
        <c:auto val="1"/>
        <c:lblAlgn val="ctr"/>
        <c:lblOffset val="100"/>
        <c:noMultiLvlLbl val="0"/>
      </c:catAx>
      <c:valAx>
        <c:axId val="216883416"/>
        <c:scaling>
          <c:orientation val="minMax"/>
        </c:scaling>
        <c:delete val="0"/>
        <c:axPos val="l"/>
        <c:majorGridlines/>
        <c:numFmt formatCode="General" sourceLinked="1"/>
        <c:majorTickMark val="out"/>
        <c:minorTickMark val="none"/>
        <c:tickLblPos val="nextTo"/>
        <c:crossAx val="216886160"/>
        <c:crosses val="autoZero"/>
        <c:crossBetween val="between"/>
      </c:valAx>
    </c:plotArea>
    <c:plotVisOnly val="1"/>
    <c:dispBlanksAs val="gap"/>
    <c:showDLblsOverMax val="0"/>
  </c:chart>
  <c:spPr>
    <a:ln>
      <a:noFill/>
    </a:ln>
  </c:spPr>
  <c:txPr>
    <a:bodyPr/>
    <a:lstStyle/>
    <a:p>
      <a:pPr>
        <a:defRPr sz="800"/>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47987024878"/>
          <c:y val="4.58133987726543E-2"/>
          <c:w val="0.73524420409836699"/>
          <c:h val="0.54751750625766404"/>
        </c:manualLayout>
      </c:layout>
      <c:barChart>
        <c:barDir val="col"/>
        <c:grouping val="clustered"/>
        <c:varyColors val="0"/>
        <c:ser>
          <c:idx val="0"/>
          <c:order val="0"/>
          <c:tx>
            <c:strRef>
              <c:f>Arvalstu!$B$1</c:f>
              <c:strCache>
                <c:ptCount val="1"/>
                <c:pt idx="0">
                  <c:v>Veiktās citas ārvalstu finanšu investīcija, milj. eiro</c:v>
                </c:pt>
              </c:strCache>
            </c:strRef>
          </c:tx>
          <c:invertIfNegative val="0"/>
          <c:dLbls>
            <c:dLbl>
              <c:idx val="0"/>
              <c:layout>
                <c:manualLayout>
                  <c:x val="-1.11111111111110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26-440E-B36D-C12EE2C24B45}"/>
                </c:ext>
                <c:ext xmlns:c15="http://schemas.microsoft.com/office/drawing/2012/chart" uri="{CE6537A1-D6FC-4f65-9D91-7224C49458BB}"/>
              </c:extLst>
            </c:dLbl>
            <c:dLbl>
              <c:idx val="1"/>
              <c:layout>
                <c:manualLayout>
                  <c:x val="-8.3333333333333297E-3"/>
                  <c:y val="-1.388888888888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26-440E-B36D-C12EE2C24B45}"/>
                </c:ext>
                <c:ext xmlns:c15="http://schemas.microsoft.com/office/drawing/2012/chart" uri="{CE6537A1-D6FC-4f65-9D91-7224C49458BB}"/>
              </c:extLst>
            </c:dLbl>
            <c:dLbl>
              <c:idx val="2"/>
              <c:layout>
                <c:manualLayout>
                  <c:x val="-8.333333333333329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26-440E-B36D-C12EE2C24B4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Arvalstu!$A$2:$A$4</c:f>
              <c:strCache>
                <c:ptCount val="3"/>
                <c:pt idx="0">
                  <c:v>TAUTAS SAIMNIECĪBAS IZAUGSME</c:v>
                </c:pt>
                <c:pt idx="1">
                  <c:v>CILVĒKA DROŠUMSPĒJA</c:v>
                </c:pt>
                <c:pt idx="2">
                  <c:v>IZAUGSMI ATBALSTOŠAS TERITORIJAS</c:v>
                </c:pt>
              </c:strCache>
            </c:strRef>
          </c:cat>
          <c:val>
            <c:numRef>
              <c:f>Arvalstu!$B$2:$B$4</c:f>
              <c:numCache>
                <c:formatCode>#,##0.00,,</c:formatCode>
                <c:ptCount val="3"/>
                <c:pt idx="0">
                  <c:v>21393857</c:v>
                </c:pt>
                <c:pt idx="1">
                  <c:v>32616803</c:v>
                </c:pt>
                <c:pt idx="2">
                  <c:v>38074715</c:v>
                </c:pt>
              </c:numCache>
            </c:numRef>
          </c:val>
          <c:extLst xmlns:c16r2="http://schemas.microsoft.com/office/drawing/2015/06/chart">
            <c:ext xmlns:c16="http://schemas.microsoft.com/office/drawing/2014/chart" uri="{C3380CC4-5D6E-409C-BE32-E72D297353CC}">
              <c16:uniqueId val="{00000003-5326-440E-B36D-C12EE2C24B45}"/>
            </c:ext>
          </c:extLst>
        </c:ser>
        <c:ser>
          <c:idx val="1"/>
          <c:order val="1"/>
          <c:tx>
            <c:strRef>
              <c:f>Arvalstu!$C$1</c:f>
              <c:strCache>
                <c:ptCount val="1"/>
                <c:pt idx="0">
                  <c:v>Plānotās citas ārvalstu finanšu investīcijas, milj eiro</c:v>
                </c:pt>
              </c:strCache>
            </c:strRef>
          </c:tx>
          <c:invertIfNegative val="0"/>
          <c:dLbls>
            <c:dLbl>
              <c:idx val="1"/>
              <c:layout>
                <c:manualLayout>
                  <c:x val="5.0925337632080002E-17"/>
                  <c:y val="1.851851851851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26-440E-B36D-C12EE2C24B45}"/>
                </c:ext>
                <c:ext xmlns:c15="http://schemas.microsoft.com/office/drawing/2012/chart" uri="{CE6537A1-D6FC-4f65-9D91-7224C49458BB}"/>
              </c:extLst>
            </c:dLbl>
            <c:dLbl>
              <c:idx val="2"/>
              <c:layout>
                <c:manualLayout>
                  <c:x val="8.3333333333333297E-3"/>
                  <c:y val="1.388888888888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26-440E-B36D-C12EE2C24B4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Arvalstu!$A$2:$A$4</c:f>
              <c:strCache>
                <c:ptCount val="3"/>
                <c:pt idx="0">
                  <c:v>TAUTAS SAIMNIECĪBAS IZAUGSME</c:v>
                </c:pt>
                <c:pt idx="1">
                  <c:v>CILVĒKA DROŠUMSPĒJA</c:v>
                </c:pt>
                <c:pt idx="2">
                  <c:v>IZAUGSMI ATBALSTOŠAS TERITORIJAS</c:v>
                </c:pt>
              </c:strCache>
            </c:strRef>
          </c:cat>
          <c:val>
            <c:numRef>
              <c:f>Arvalstu!$C$2:$C$4</c:f>
              <c:numCache>
                <c:formatCode>#,##0.00,,</c:formatCode>
                <c:ptCount val="3"/>
                <c:pt idx="0">
                  <c:v>2029726626</c:v>
                </c:pt>
                <c:pt idx="1">
                  <c:v>21101200</c:v>
                </c:pt>
                <c:pt idx="2">
                  <c:v>412600</c:v>
                </c:pt>
              </c:numCache>
            </c:numRef>
          </c:val>
          <c:extLst xmlns:c16r2="http://schemas.microsoft.com/office/drawing/2015/06/chart">
            <c:ext xmlns:c16="http://schemas.microsoft.com/office/drawing/2014/chart" uri="{C3380CC4-5D6E-409C-BE32-E72D297353CC}">
              <c16:uniqueId val="{00000006-5326-440E-B36D-C12EE2C24B45}"/>
            </c:ext>
          </c:extLst>
        </c:ser>
        <c:dLbls>
          <c:dLblPos val="outEnd"/>
          <c:showLegendKey val="0"/>
          <c:showVal val="1"/>
          <c:showCatName val="0"/>
          <c:showSerName val="0"/>
          <c:showPercent val="0"/>
          <c:showBubbleSize val="0"/>
        </c:dLbls>
        <c:gapWidth val="150"/>
        <c:axId val="216891256"/>
        <c:axId val="216889688"/>
      </c:barChart>
      <c:catAx>
        <c:axId val="216891256"/>
        <c:scaling>
          <c:orientation val="minMax"/>
        </c:scaling>
        <c:delete val="0"/>
        <c:axPos val="b"/>
        <c:numFmt formatCode="General" sourceLinked="0"/>
        <c:majorTickMark val="out"/>
        <c:minorTickMark val="none"/>
        <c:tickLblPos val="nextTo"/>
        <c:crossAx val="216889688"/>
        <c:crosses val="autoZero"/>
        <c:auto val="1"/>
        <c:lblAlgn val="ctr"/>
        <c:lblOffset val="100"/>
        <c:noMultiLvlLbl val="0"/>
      </c:catAx>
      <c:valAx>
        <c:axId val="216889688"/>
        <c:scaling>
          <c:orientation val="minMax"/>
        </c:scaling>
        <c:delete val="0"/>
        <c:axPos val="l"/>
        <c:majorGridlines/>
        <c:numFmt formatCode="#,##0.00,," sourceLinked="1"/>
        <c:majorTickMark val="out"/>
        <c:minorTickMark val="none"/>
        <c:tickLblPos val="nextTo"/>
        <c:crossAx val="216891256"/>
        <c:crosses val="autoZero"/>
        <c:crossBetween val="between"/>
      </c:valAx>
    </c:plotArea>
    <c:legend>
      <c:legendPos val="b"/>
      <c:layout>
        <c:manualLayout>
          <c:xMode val="edge"/>
          <c:yMode val="edge"/>
          <c:x val="4.6076502291122201E-2"/>
          <c:y val="0.84775968008451297"/>
          <c:w val="0.91587798279331001"/>
          <c:h val="0.12555376523880499"/>
        </c:manualLayout>
      </c:layout>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'@89'!$A$7</c:f>
              <c:strCache>
                <c:ptCount val="1"/>
                <c:pt idx="0">
                  <c:v>Eksports, % no IKP</c:v>
                </c:pt>
              </c:strCache>
            </c:strRef>
          </c:tx>
          <c:spPr>
            <a:ln>
              <a:solidFill>
                <a:srgbClr val="FF0000"/>
              </a:solidFill>
            </a:ln>
          </c:spPr>
          <c:marker>
            <c:spPr>
              <a:solidFill>
                <a:schemeClr val="bg1"/>
              </a:solidFill>
              <a:ln>
                <a:solidFill>
                  <a:srgbClr val="FF0000"/>
                </a:solidFill>
              </a:ln>
            </c:spPr>
          </c:marker>
          <c:cat>
            <c:numRef>
              <c:f>'@89'!$B$3:$AB$3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'@89'!$B$7:$AB$7</c:f>
              <c:numCache>
                <c:formatCode>0%</c:formatCode>
                <c:ptCount val="27"/>
                <c:pt idx="0">
                  <c:v>0.275414664220067</c:v>
                </c:pt>
                <c:pt idx="1">
                  <c:v>0.30208020395917701</c:v>
                </c:pt>
                <c:pt idx="2">
                  <c:v>0.27438023555584001</c:v>
                </c:pt>
                <c:pt idx="3">
                  <c:v>0.25508854211709198</c:v>
                </c:pt>
                <c:pt idx="4">
                  <c:v>0.25827623218619</c:v>
                </c:pt>
                <c:pt idx="5">
                  <c:v>0.27128375453036702</c:v>
                </c:pt>
                <c:pt idx="6">
                  <c:v>0.36772704718410198</c:v>
                </c:pt>
                <c:pt idx="7">
                  <c:v>0.42050269645134197</c:v>
                </c:pt>
                <c:pt idx="8">
                  <c:v>0.44780929407658299</c:v>
                </c:pt>
                <c:pt idx="9">
                  <c:v>0.43154531800491203</c:v>
                </c:pt>
                <c:pt idx="10">
                  <c:v>0.42596497534012601</c:v>
                </c:pt>
                <c:pt idx="11">
                  <c:v>0.42527485230896001</c:v>
                </c:pt>
                <c:pt idx="12">
                  <c:v>0.41395490744018698</c:v>
                </c:pt>
              </c:numCache>
            </c:numRef>
          </c:val>
          <c:smooth val="0"/>
          <c:extLst xmlns:c16r2="http://schemas.microsoft.com/office/drawing/2015/06/chart">
            <c:ext xmlns:c16="http://schemas.microsoft.com/office/drawing/2014/chart" uri="{C3380CC4-5D6E-409C-BE32-E72D297353CC}">
              <c16:uniqueId val="{00000000-BA5D-4E5A-BCE3-9458D9EBD219}"/>
            </c:ext>
          </c:extLst>
        </c:ser>
        <c:ser>
          <c:idx val="1"/>
          <c:order val="1"/>
          <c:tx>
            <c:strRef>
              <c:f>'@89'!$A$8</c:f>
              <c:strCache>
                <c:ptCount val="1"/>
                <c:pt idx="0">
                  <c:v>Mērķa vērtības</c:v>
                </c:pt>
              </c:strCache>
            </c:strRef>
          </c:tx>
          <c:spPr>
            <a:ln>
              <a:noFill/>
            </a:ln>
          </c:spPr>
          <c:dLbls>
            <c:dLbl>
              <c:idx val="26"/>
              <c:layout>
                <c:manualLayout>
                  <c:x val="-4.1237113402061903E-2"/>
                  <c:y val="-2.4086018242517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5D-4E5A-BCE3-9458D9EBD21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'@89'!$B$3:$AB$3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'@89'!$B$8:$AB$8</c:f>
              <c:numCache>
                <c:formatCode>General</c:formatCode>
                <c:ptCount val="27"/>
                <c:pt idx="10" formatCode="0%">
                  <c:v>0.63</c:v>
                </c:pt>
                <c:pt idx="13" formatCode="0%">
                  <c:v>0.66</c:v>
                </c:pt>
                <c:pt idx="16" formatCode="0%">
                  <c:v>0.7</c:v>
                </c:pt>
                <c:pt idx="26" formatCode="0%">
                  <c:v>0.78</c:v>
                </c:pt>
              </c:numCache>
            </c:numRef>
          </c:val>
          <c:smooth val="0"/>
          <c:extLst xmlns:c16r2="http://schemas.microsoft.com/office/drawing/2015/06/chart">
            <c:ext xmlns:c16="http://schemas.microsoft.com/office/drawing/2014/chart" uri="{C3380CC4-5D6E-409C-BE32-E72D297353CC}">
              <c16:uniqueId val="{00000002-BA5D-4E5A-BCE3-9458D9EBD219}"/>
            </c:ext>
          </c:extLst>
        </c:ser>
        <c:dLbls>
          <c:showLegendKey val="0"/>
          <c:showVal val="0"/>
          <c:showCatName val="0"/>
          <c:showSerName val="0"/>
          <c:showPercent val="0"/>
          <c:showBubbleSize val="0"/>
        </c:dLbls>
        <c:marker val="1"/>
        <c:smooth val="0"/>
        <c:axId val="216890080"/>
        <c:axId val="216890472"/>
      </c:lineChart>
      <c:catAx>
        <c:axId val="216890080"/>
        <c:scaling>
          <c:orientation val="minMax"/>
        </c:scaling>
        <c:delete val="0"/>
        <c:axPos val="b"/>
        <c:majorGridlines/>
        <c:numFmt formatCode="General" sourceLinked="1"/>
        <c:majorTickMark val="none"/>
        <c:minorTickMark val="none"/>
        <c:tickLblPos val="nextTo"/>
        <c:txPr>
          <a:bodyPr rot="-5400000" vert="horz"/>
          <a:lstStyle/>
          <a:p>
            <a:pPr>
              <a:defRPr/>
            </a:pPr>
            <a:endParaRPr lang="lv-LV"/>
          </a:p>
        </c:txPr>
        <c:crossAx val="216890472"/>
        <c:crosses val="autoZero"/>
        <c:auto val="1"/>
        <c:lblAlgn val="ctr"/>
        <c:lblOffset val="100"/>
        <c:noMultiLvlLbl val="0"/>
      </c:catAx>
      <c:valAx>
        <c:axId val="216890472"/>
        <c:scaling>
          <c:orientation val="minMax"/>
        </c:scaling>
        <c:delete val="0"/>
        <c:axPos val="l"/>
        <c:majorGridlines/>
        <c:title>
          <c:tx>
            <c:rich>
              <a:bodyPr rot="-5400000" vert="horz"/>
              <a:lstStyle/>
              <a:p>
                <a:pPr>
                  <a:defRPr/>
                </a:pPr>
                <a:r>
                  <a:rPr lang="en-US"/>
                  <a:t>Eksports, % no IKP</a:t>
                </a:r>
              </a:p>
            </c:rich>
          </c:tx>
          <c:layout>
            <c:manualLayout>
              <c:xMode val="edge"/>
              <c:yMode val="edge"/>
              <c:x val="1.3745704467354E-2"/>
              <c:y val="0.30757493081704401"/>
            </c:manualLayout>
          </c:layout>
          <c:overlay val="0"/>
        </c:title>
        <c:numFmt formatCode="0%" sourceLinked="1"/>
        <c:majorTickMark val="none"/>
        <c:minorTickMark val="none"/>
        <c:tickLblPos val="nextTo"/>
        <c:crossAx val="216890080"/>
        <c:crosses val="autoZero"/>
        <c:crossBetween val="midCat"/>
      </c:valAx>
    </c:plotArea>
    <c:legend>
      <c:legendPos val="b"/>
      <c:overlay val="0"/>
    </c:legend>
    <c:plotVisOnly val="1"/>
    <c:dispBlanksAs val="gap"/>
    <c:showDLblsOverMax val="0"/>
  </c:chart>
  <c:spPr>
    <a:ln>
      <a:noFill/>
    </a:ln>
  </c:spPr>
  <c:txPr>
    <a:bodyPr/>
    <a:lstStyle/>
    <a:p>
      <a:pPr>
        <a:defRPr sz="900"/>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85611165613403E-2"/>
          <c:y val="0.101723097902223"/>
          <c:w val="0.89799554915603996"/>
          <c:h val="0.60661346624601198"/>
        </c:manualLayout>
      </c:layout>
      <c:lineChart>
        <c:grouping val="standard"/>
        <c:varyColors val="0"/>
        <c:ser>
          <c:idx val="0"/>
          <c:order val="0"/>
          <c:tx>
            <c:strRef>
              <c:f>'@122'!$A$4</c:f>
              <c:strCache>
                <c:ptCount val="1"/>
                <c:pt idx="0">
                  <c:v>NOx</c:v>
                </c:pt>
              </c:strCache>
            </c:strRef>
          </c:tx>
          <c:spPr>
            <a:ln>
              <a:solidFill>
                <a:srgbClr val="A50021"/>
              </a:solidFill>
            </a:ln>
          </c:spPr>
          <c:marker>
            <c:spPr>
              <a:solidFill>
                <a:schemeClr val="bg1"/>
              </a:solidFill>
              <a:ln>
                <a:solidFill>
                  <a:srgbClr val="A50021"/>
                </a:solidFill>
              </a:ln>
            </c:spPr>
          </c:marker>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'@122'!$B$4:$M$4</c:f>
              <c:numCache>
                <c:formatCode>General</c:formatCode>
                <c:ptCount val="12"/>
                <c:pt idx="0">
                  <c:v>45.9</c:v>
                </c:pt>
                <c:pt idx="1">
                  <c:v>44.37</c:v>
                </c:pt>
                <c:pt idx="2">
                  <c:v>44.44</c:v>
                </c:pt>
                <c:pt idx="3">
                  <c:v>44.93</c:v>
                </c:pt>
                <c:pt idx="4">
                  <c:v>40.17</c:v>
                </c:pt>
                <c:pt idx="5">
                  <c:v>37.85</c:v>
                </c:pt>
                <c:pt idx="6">
                  <c:v>38.42</c:v>
                </c:pt>
                <c:pt idx="7">
                  <c:v>33.450000000000003</c:v>
                </c:pt>
                <c:pt idx="8">
                  <c:v>34.17</c:v>
                </c:pt>
                <c:pt idx="9">
                  <c:v>34.04</c:v>
                </c:pt>
                <c:pt idx="10">
                  <c:v>36.36</c:v>
                </c:pt>
                <c:pt idx="11">
                  <c:v>36.53</c:v>
                </c:pt>
              </c:numCache>
            </c:numRef>
          </c:val>
          <c:smooth val="0"/>
          <c:extLst xmlns:c16r2="http://schemas.microsoft.com/office/drawing/2015/06/chart">
            <c:ext xmlns:c16="http://schemas.microsoft.com/office/drawing/2014/chart" uri="{C3380CC4-5D6E-409C-BE32-E72D297353CC}">
              <c16:uniqueId val="{00000000-F5FE-4EAE-968D-3F9C03D938BE}"/>
            </c:ext>
          </c:extLst>
        </c:ser>
        <c:ser>
          <c:idx val="1"/>
          <c:order val="1"/>
          <c:tx>
            <c:strRef>
              <c:f>'@122'!$A$5</c:f>
              <c:strCache>
                <c:ptCount val="1"/>
                <c:pt idx="0">
                  <c:v>SO2</c:v>
                </c:pt>
              </c:strCache>
            </c:strRef>
          </c:tx>
          <c:spPr>
            <a:ln>
              <a:solidFill>
                <a:srgbClr val="FF9900"/>
              </a:solidFill>
            </a:ln>
          </c:spPr>
          <c:marker>
            <c:spPr>
              <a:solidFill>
                <a:schemeClr val="bg1"/>
              </a:solidFill>
              <a:ln>
                <a:solidFill>
                  <a:srgbClr val="FF9900"/>
                </a:solidFill>
              </a:ln>
            </c:spPr>
          </c:marker>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'@122'!$B$5:$M$5</c:f>
              <c:numCache>
                <c:formatCode>General</c:formatCode>
                <c:ptCount val="12"/>
                <c:pt idx="0">
                  <c:v>6.2</c:v>
                </c:pt>
                <c:pt idx="1">
                  <c:v>6.3199999999999976</c:v>
                </c:pt>
                <c:pt idx="2">
                  <c:v>5.55</c:v>
                </c:pt>
                <c:pt idx="3">
                  <c:v>5.27</c:v>
                </c:pt>
                <c:pt idx="4">
                  <c:v>4.1499999999999986</c:v>
                </c:pt>
                <c:pt idx="5">
                  <c:v>3.8</c:v>
                </c:pt>
                <c:pt idx="6">
                  <c:v>2.59</c:v>
                </c:pt>
                <c:pt idx="7">
                  <c:v>2.3199999999999981</c:v>
                </c:pt>
                <c:pt idx="8">
                  <c:v>1.99</c:v>
                </c:pt>
                <c:pt idx="9">
                  <c:v>1.5</c:v>
                </c:pt>
              </c:numCache>
            </c:numRef>
          </c:val>
          <c:smooth val="0"/>
          <c:extLst xmlns:c16r2="http://schemas.microsoft.com/office/drawing/2015/06/chart">
            <c:ext xmlns:c16="http://schemas.microsoft.com/office/drawing/2014/chart" uri="{C3380CC4-5D6E-409C-BE32-E72D297353CC}">
              <c16:uniqueId val="{00000001-F5FE-4EAE-968D-3F9C03D938BE}"/>
            </c:ext>
          </c:extLst>
        </c:ser>
        <c:ser>
          <c:idx val="2"/>
          <c:order val="2"/>
          <c:tx>
            <c:strRef>
              <c:f>'@122'!$A$6</c:f>
              <c:strCache>
                <c:ptCount val="1"/>
                <c:pt idx="0">
                  <c:v>NH3</c:v>
                </c:pt>
              </c:strCache>
            </c:strRef>
          </c:tx>
          <c:spPr>
            <a:ln>
              <a:solidFill>
                <a:schemeClr val="accent3">
                  <a:lumMod val="75000"/>
                </a:schemeClr>
              </a:solidFill>
            </a:ln>
          </c:spPr>
          <c:marker>
            <c:symbol val="circle"/>
            <c:size val="7"/>
            <c:spPr>
              <a:solidFill>
                <a:schemeClr val="bg1"/>
              </a:solidFill>
              <a:ln>
                <a:solidFill>
                  <a:schemeClr val="accent3">
                    <a:lumMod val="75000"/>
                  </a:schemeClr>
                </a:solidFill>
              </a:ln>
            </c:spPr>
          </c:marker>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'@122'!$B$6:$M$6</c:f>
              <c:numCache>
                <c:formatCode>General</c:formatCode>
                <c:ptCount val="12"/>
                <c:pt idx="0">
                  <c:v>14.52</c:v>
                </c:pt>
                <c:pt idx="1">
                  <c:v>14.85</c:v>
                </c:pt>
                <c:pt idx="2">
                  <c:v>14.52</c:v>
                </c:pt>
                <c:pt idx="3">
                  <c:v>14.38</c:v>
                </c:pt>
                <c:pt idx="4">
                  <c:v>14.51</c:v>
                </c:pt>
                <c:pt idx="5">
                  <c:v>14.88</c:v>
                </c:pt>
                <c:pt idx="6">
                  <c:v>14.39</c:v>
                </c:pt>
                <c:pt idx="7">
                  <c:v>14.13</c:v>
                </c:pt>
                <c:pt idx="8">
                  <c:v>14.97</c:v>
                </c:pt>
                <c:pt idx="9">
                  <c:v>14.71</c:v>
                </c:pt>
                <c:pt idx="10">
                  <c:v>18.79</c:v>
                </c:pt>
                <c:pt idx="11">
                  <c:v>18.760000000000002</c:v>
                </c:pt>
              </c:numCache>
            </c:numRef>
          </c:val>
          <c:smooth val="0"/>
          <c:extLst xmlns:c16r2="http://schemas.microsoft.com/office/drawing/2015/06/chart">
            <c:ext xmlns:c16="http://schemas.microsoft.com/office/drawing/2014/chart" uri="{C3380CC4-5D6E-409C-BE32-E72D297353CC}">
              <c16:uniqueId val="{00000002-F5FE-4EAE-968D-3F9C03D938BE}"/>
            </c:ext>
          </c:extLst>
        </c:ser>
        <c:ser>
          <c:idx val="3"/>
          <c:order val="3"/>
          <c:tx>
            <c:strRef>
              <c:f>'@122'!$A$7</c:f>
              <c:strCache>
                <c:ptCount val="1"/>
                <c:pt idx="0">
                  <c:v>GOS</c:v>
                </c:pt>
              </c:strCache>
            </c:strRef>
          </c:tx>
          <c:spPr>
            <a:ln>
              <a:solidFill>
                <a:schemeClr val="bg1">
                  <a:lumMod val="50000"/>
                </a:schemeClr>
              </a:solidFill>
            </a:ln>
          </c:spPr>
          <c:marker>
            <c:symbol val="triangle"/>
            <c:size val="7"/>
            <c:spPr>
              <a:solidFill>
                <a:schemeClr val="bg1"/>
              </a:solidFill>
              <a:ln>
                <a:solidFill>
                  <a:schemeClr val="bg1">
                    <a:lumMod val="50000"/>
                  </a:schemeClr>
                </a:solidFill>
              </a:ln>
            </c:spPr>
          </c:marker>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'@122'!$B$7:$M$7</c:f>
              <c:numCache>
                <c:formatCode>General</c:formatCode>
                <c:ptCount val="12"/>
                <c:pt idx="0">
                  <c:v>100.88</c:v>
                </c:pt>
                <c:pt idx="1">
                  <c:v>99.74</c:v>
                </c:pt>
                <c:pt idx="2">
                  <c:v>98.61</c:v>
                </c:pt>
                <c:pt idx="3">
                  <c:v>94.25</c:v>
                </c:pt>
                <c:pt idx="4">
                  <c:v>92.9</c:v>
                </c:pt>
                <c:pt idx="5">
                  <c:v>91.43</c:v>
                </c:pt>
                <c:pt idx="6">
                  <c:v>89.169999999999973</c:v>
                </c:pt>
                <c:pt idx="7">
                  <c:v>88.12</c:v>
                </c:pt>
                <c:pt idx="8">
                  <c:v>89.21</c:v>
                </c:pt>
                <c:pt idx="9">
                  <c:v>87.45</c:v>
                </c:pt>
                <c:pt idx="10">
                  <c:v>42.02</c:v>
                </c:pt>
                <c:pt idx="11">
                  <c:v>41.37</c:v>
                </c:pt>
              </c:numCache>
            </c:numRef>
          </c:val>
          <c:smooth val="0"/>
          <c:extLst xmlns:c16r2="http://schemas.microsoft.com/office/drawing/2015/06/chart">
            <c:ext xmlns:c16="http://schemas.microsoft.com/office/drawing/2014/chart" uri="{C3380CC4-5D6E-409C-BE32-E72D297353CC}">
              <c16:uniqueId val="{00000003-F5FE-4EAE-968D-3F9C03D938BE}"/>
            </c:ext>
          </c:extLst>
        </c:ser>
        <c:ser>
          <c:idx val="4"/>
          <c:order val="4"/>
          <c:tx>
            <c:strRef>
              <c:f>'@122'!$A$8</c:f>
              <c:strCache>
                <c:ptCount val="1"/>
                <c:pt idx="0">
                  <c:v>PM 2,5</c:v>
                </c:pt>
              </c:strCache>
            </c:strRef>
          </c:tx>
          <c:spPr>
            <a:ln>
              <a:solidFill>
                <a:srgbClr val="996633"/>
              </a:solidFill>
            </a:ln>
          </c:spPr>
          <c:marker>
            <c:symbol val="square"/>
            <c:size val="6"/>
            <c:spPr>
              <a:solidFill>
                <a:schemeClr val="bg1"/>
              </a:solidFill>
              <a:ln>
                <a:solidFill>
                  <a:srgbClr val="996633"/>
                </a:solidFill>
              </a:ln>
            </c:spPr>
          </c:marker>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'@122'!$B$8:$M$8</c:f>
              <c:numCache>
                <c:formatCode>General</c:formatCode>
                <c:ptCount val="12"/>
                <c:pt idx="0">
                  <c:v>30.15</c:v>
                </c:pt>
                <c:pt idx="1">
                  <c:v>29.35</c:v>
                </c:pt>
                <c:pt idx="2">
                  <c:v>28.75</c:v>
                </c:pt>
                <c:pt idx="3">
                  <c:v>28.33</c:v>
                </c:pt>
                <c:pt idx="4">
                  <c:v>27.58</c:v>
                </c:pt>
                <c:pt idx="5">
                  <c:v>30.07</c:v>
                </c:pt>
                <c:pt idx="6">
                  <c:v>24.27</c:v>
                </c:pt>
                <c:pt idx="7">
                  <c:v>24.76</c:v>
                </c:pt>
                <c:pt idx="8">
                  <c:v>26.4</c:v>
                </c:pt>
                <c:pt idx="9">
                  <c:v>24.1</c:v>
                </c:pt>
                <c:pt idx="10">
                  <c:v>38.93</c:v>
                </c:pt>
                <c:pt idx="11">
                  <c:v>41.14</c:v>
                </c:pt>
              </c:numCache>
            </c:numRef>
          </c:val>
          <c:smooth val="0"/>
          <c:extLst xmlns:c16r2="http://schemas.microsoft.com/office/drawing/2015/06/chart">
            <c:ext xmlns:c16="http://schemas.microsoft.com/office/drawing/2014/chart" uri="{C3380CC4-5D6E-409C-BE32-E72D297353CC}">
              <c16:uniqueId val="{00000004-F5FE-4EAE-968D-3F9C03D938BE}"/>
            </c:ext>
          </c:extLst>
        </c:ser>
        <c:ser>
          <c:idx val="5"/>
          <c:order val="5"/>
          <c:tx>
            <c:strRef>
              <c:f>'@122'!$A$9</c:f>
              <c:strCache>
                <c:ptCount val="1"/>
                <c:pt idx="0">
                  <c:v>NOx, mērķa vērtības</c:v>
                </c:pt>
              </c:strCache>
            </c:strRef>
          </c:tx>
          <c:spPr>
            <a:ln>
              <a:noFill/>
            </a:ln>
          </c:spPr>
          <c:marker>
            <c:symbol val="diamond"/>
            <c:size val="7"/>
            <c:spPr>
              <a:solidFill>
                <a:srgbClr val="A50021"/>
              </a:solidFill>
              <a:ln>
                <a:solidFill>
                  <a:srgbClr val="A50021"/>
                </a:solidFill>
              </a:ln>
            </c:spPr>
          </c:marker>
          <c:dLbls>
            <c:dLbl>
              <c:idx val="16"/>
              <c:layout>
                <c:manualLayout>
                  <c:x val="0"/>
                  <c:y val="-1.9145292960669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FE-4EAE-968D-3F9C03D938BE}"/>
                </c:ext>
                <c:ext xmlns:c15="http://schemas.microsoft.com/office/drawing/2012/chart" uri="{CE6537A1-D6FC-4f65-9D91-7224C49458BB}"/>
              </c:extLst>
            </c:dLbl>
            <c:dLbl>
              <c:idx val="26"/>
              <c:layout>
                <c:manualLayout>
                  <c:x val="-2.21694323178953E-2"/>
                  <c:y val="-6.5641004436582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FE-4EAE-968D-3F9C03D938B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'@122'!$B$9:$AB$9</c:f>
              <c:numCache>
                <c:formatCode>General</c:formatCode>
                <c:ptCount val="27"/>
                <c:pt idx="10">
                  <c:v>32</c:v>
                </c:pt>
                <c:pt idx="13">
                  <c:v>29</c:v>
                </c:pt>
                <c:pt idx="16">
                  <c:v>25</c:v>
                </c:pt>
                <c:pt idx="26">
                  <c:v>20</c:v>
                </c:pt>
              </c:numCache>
            </c:numRef>
          </c:val>
          <c:smooth val="0"/>
          <c:extLst xmlns:c16r2="http://schemas.microsoft.com/office/drawing/2015/06/chart">
            <c:ext xmlns:c16="http://schemas.microsoft.com/office/drawing/2014/chart" uri="{C3380CC4-5D6E-409C-BE32-E72D297353CC}">
              <c16:uniqueId val="{00000007-F5FE-4EAE-968D-3F9C03D938BE}"/>
            </c:ext>
          </c:extLst>
        </c:ser>
        <c:ser>
          <c:idx val="6"/>
          <c:order val="6"/>
          <c:tx>
            <c:strRef>
              <c:f>'@122'!$A$10</c:f>
              <c:strCache>
                <c:ptCount val="1"/>
                <c:pt idx="0">
                  <c:v>SO2, mērķa vērtības</c:v>
                </c:pt>
              </c:strCache>
            </c:strRef>
          </c:tx>
          <c:spPr>
            <a:ln>
              <a:noFill/>
            </a:ln>
          </c:spPr>
          <c:marker>
            <c:symbol val="square"/>
            <c:size val="7"/>
            <c:spPr>
              <a:solidFill>
                <a:srgbClr val="FF9900"/>
              </a:solidFill>
              <a:ln>
                <a:solidFill>
                  <a:srgbClr val="FF9900"/>
                </a:solidFill>
              </a:ln>
            </c:spPr>
          </c:marker>
          <c:dLbls>
            <c:dLbl>
              <c:idx val="26"/>
              <c:layout>
                <c:manualLayout>
                  <c:x val="-1.90023705581959E-2"/>
                  <c:y val="-1.0028370940325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FE-4EAE-968D-3F9C03D938B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'@122'!$B$10:$AB$10</c:f>
              <c:numCache>
                <c:formatCode>General</c:formatCode>
                <c:ptCount val="27"/>
                <c:pt idx="10">
                  <c:v>3.5</c:v>
                </c:pt>
                <c:pt idx="13">
                  <c:v>4.8</c:v>
                </c:pt>
                <c:pt idx="16">
                  <c:v>6.2</c:v>
                </c:pt>
                <c:pt idx="26">
                  <c:v>7.1</c:v>
                </c:pt>
              </c:numCache>
            </c:numRef>
          </c:val>
          <c:smooth val="0"/>
          <c:extLst xmlns:c16r2="http://schemas.microsoft.com/office/drawing/2015/06/chart">
            <c:ext xmlns:c16="http://schemas.microsoft.com/office/drawing/2014/chart" uri="{C3380CC4-5D6E-409C-BE32-E72D297353CC}">
              <c16:uniqueId val="{00000009-F5FE-4EAE-968D-3F9C03D938BE}"/>
            </c:ext>
          </c:extLst>
        </c:ser>
        <c:ser>
          <c:idx val="7"/>
          <c:order val="7"/>
          <c:tx>
            <c:strRef>
              <c:f>'@122'!$A$11</c:f>
              <c:strCache>
                <c:ptCount val="1"/>
                <c:pt idx="0">
                  <c:v>NH3, mērķa vērtības</c:v>
                </c:pt>
              </c:strCache>
            </c:strRef>
          </c:tx>
          <c:spPr>
            <a:ln>
              <a:noFill/>
            </a:ln>
          </c:spPr>
          <c:marker>
            <c:symbol val="circle"/>
            <c:size val="7"/>
            <c:spPr>
              <a:solidFill>
                <a:schemeClr val="accent3">
                  <a:lumMod val="75000"/>
                </a:schemeClr>
              </a:solidFill>
              <a:ln>
                <a:solidFill>
                  <a:schemeClr val="accent3">
                    <a:lumMod val="75000"/>
                  </a:schemeClr>
                </a:solidFill>
              </a:ln>
            </c:spPr>
          </c:marker>
          <c:dLbls>
            <c:dLbl>
              <c:idx val="26"/>
              <c:layout>
                <c:manualLayout>
                  <c:x val="-2.3752963197744999E-2"/>
                  <c:y val="-5.47008370304854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5FE-4EAE-968D-3F9C03D938B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'@122'!$B$11:$AB$11</c:f>
              <c:numCache>
                <c:formatCode>General</c:formatCode>
                <c:ptCount val="27"/>
                <c:pt idx="10">
                  <c:v>17</c:v>
                </c:pt>
                <c:pt idx="13">
                  <c:v>16.5</c:v>
                </c:pt>
                <c:pt idx="16">
                  <c:v>16</c:v>
                </c:pt>
                <c:pt idx="26">
                  <c:v>15</c:v>
                </c:pt>
              </c:numCache>
            </c:numRef>
          </c:val>
          <c:smooth val="0"/>
          <c:extLst xmlns:c16r2="http://schemas.microsoft.com/office/drawing/2015/06/chart">
            <c:ext xmlns:c16="http://schemas.microsoft.com/office/drawing/2014/chart" uri="{C3380CC4-5D6E-409C-BE32-E72D297353CC}">
              <c16:uniqueId val="{0000000B-F5FE-4EAE-968D-3F9C03D938BE}"/>
            </c:ext>
          </c:extLst>
        </c:ser>
        <c:ser>
          <c:idx val="8"/>
          <c:order val="8"/>
          <c:tx>
            <c:strRef>
              <c:f>'@122'!$A$12</c:f>
              <c:strCache>
                <c:ptCount val="1"/>
                <c:pt idx="0">
                  <c:v>GOS, mērķa vērtības</c:v>
                </c:pt>
              </c:strCache>
            </c:strRef>
          </c:tx>
          <c:spPr>
            <a:ln>
              <a:noFill/>
            </a:ln>
          </c:spPr>
          <c:marker>
            <c:symbol val="triangle"/>
            <c:size val="7"/>
            <c:spPr>
              <a:solidFill>
                <a:schemeClr val="accent3">
                  <a:lumMod val="75000"/>
                </a:schemeClr>
              </a:solidFill>
              <a:ln>
                <a:solidFill>
                  <a:schemeClr val="bg1">
                    <a:lumMod val="50000"/>
                  </a:schemeClr>
                </a:solidFill>
              </a:ln>
            </c:spPr>
          </c:marker>
          <c:dLbls>
            <c:dLbl>
              <c:idx val="26"/>
              <c:layout>
                <c:manualLayout>
                  <c:x val="-2.21694323178953E-2"/>
                  <c:y val="-2.7350418515242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5FE-4EAE-968D-3F9C03D938B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'@122'!$B$12:$AB$12</c:f>
              <c:numCache>
                <c:formatCode>General</c:formatCode>
                <c:ptCount val="27"/>
                <c:pt idx="10">
                  <c:v>62</c:v>
                </c:pt>
                <c:pt idx="13">
                  <c:v>58</c:v>
                </c:pt>
                <c:pt idx="16">
                  <c:v>53</c:v>
                </c:pt>
                <c:pt idx="26">
                  <c:v>49</c:v>
                </c:pt>
              </c:numCache>
            </c:numRef>
          </c:val>
          <c:smooth val="0"/>
          <c:extLst xmlns:c16r2="http://schemas.microsoft.com/office/drawing/2015/06/chart">
            <c:ext xmlns:c16="http://schemas.microsoft.com/office/drawing/2014/chart" uri="{C3380CC4-5D6E-409C-BE32-E72D297353CC}">
              <c16:uniqueId val="{0000000D-F5FE-4EAE-968D-3F9C03D938BE}"/>
            </c:ext>
          </c:extLst>
        </c:ser>
        <c:ser>
          <c:idx val="9"/>
          <c:order val="9"/>
          <c:tx>
            <c:strRef>
              <c:f>'@122'!$A$13</c:f>
              <c:strCache>
                <c:ptCount val="1"/>
                <c:pt idx="0">
                  <c:v>PM 2,5, mērķa vērtības</c:v>
                </c:pt>
              </c:strCache>
            </c:strRef>
          </c:tx>
          <c:spPr>
            <a:ln>
              <a:noFill/>
            </a:ln>
          </c:spPr>
          <c:marker>
            <c:symbol val="square"/>
            <c:size val="6"/>
            <c:spPr>
              <a:solidFill>
                <a:srgbClr val="996633"/>
              </a:solidFill>
              <a:ln>
                <a:solidFill>
                  <a:srgbClr val="996633"/>
                </a:solidFill>
              </a:ln>
            </c:spPr>
          </c:marker>
          <c:dLbls>
            <c:dLbl>
              <c:idx val="16"/>
              <c:layout>
                <c:manualLayout>
                  <c:x val="-3.1670617596993101E-3"/>
                  <c:y val="5.47008370304854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5FE-4EAE-968D-3F9C03D938BE}"/>
                </c:ext>
                <c:ext xmlns:c15="http://schemas.microsoft.com/office/drawing/2012/chart" uri="{CE6537A1-D6FC-4f65-9D91-7224C49458BB}"/>
              </c:extLst>
            </c:dLbl>
            <c:dLbl>
              <c:idx val="26"/>
              <c:layout>
                <c:manualLayout>
                  <c:x val="-2.21694323178953E-2"/>
                  <c:y val="-3.2820502218291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5FE-4EAE-968D-3F9C03D938B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'@122'!$B$3:$AB$3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numCache>
            </c:numRef>
          </c:cat>
          <c:val>
            <c:numRef>
              <c:f>'@122'!$B$13:$AB$13</c:f>
              <c:numCache>
                <c:formatCode>General</c:formatCode>
                <c:ptCount val="27"/>
                <c:pt idx="10">
                  <c:v>26</c:v>
                </c:pt>
                <c:pt idx="13">
                  <c:v>25</c:v>
                </c:pt>
                <c:pt idx="16">
                  <c:v>23</c:v>
                </c:pt>
                <c:pt idx="26">
                  <c:v>20</c:v>
                </c:pt>
              </c:numCache>
            </c:numRef>
          </c:val>
          <c:smooth val="0"/>
          <c:extLst xmlns:c16r2="http://schemas.microsoft.com/office/drawing/2015/06/chart">
            <c:ext xmlns:c16="http://schemas.microsoft.com/office/drawing/2014/chart" uri="{C3380CC4-5D6E-409C-BE32-E72D297353CC}">
              <c16:uniqueId val="{00000010-F5FE-4EAE-968D-3F9C03D938BE}"/>
            </c:ext>
          </c:extLst>
        </c:ser>
        <c:dLbls>
          <c:showLegendKey val="0"/>
          <c:showVal val="0"/>
          <c:showCatName val="0"/>
          <c:showSerName val="0"/>
          <c:showPercent val="0"/>
          <c:showBubbleSize val="0"/>
        </c:dLbls>
        <c:marker val="1"/>
        <c:smooth val="0"/>
        <c:axId val="216889296"/>
        <c:axId val="214719264"/>
      </c:lineChart>
      <c:catAx>
        <c:axId val="216889296"/>
        <c:scaling>
          <c:orientation val="minMax"/>
        </c:scaling>
        <c:delete val="0"/>
        <c:axPos val="b"/>
        <c:majorGridlines/>
        <c:numFmt formatCode="General" sourceLinked="1"/>
        <c:majorTickMark val="none"/>
        <c:minorTickMark val="none"/>
        <c:tickLblPos val="nextTo"/>
        <c:txPr>
          <a:bodyPr rot="-5400000" vert="horz"/>
          <a:lstStyle/>
          <a:p>
            <a:pPr>
              <a:defRPr/>
            </a:pPr>
            <a:endParaRPr lang="lv-LV"/>
          </a:p>
        </c:txPr>
        <c:crossAx val="214719264"/>
        <c:crosses val="autoZero"/>
        <c:auto val="1"/>
        <c:lblAlgn val="ctr"/>
        <c:lblOffset val="100"/>
        <c:noMultiLvlLbl val="0"/>
      </c:catAx>
      <c:valAx>
        <c:axId val="214719264"/>
        <c:scaling>
          <c:orientation val="minMax"/>
        </c:scaling>
        <c:delete val="0"/>
        <c:axPos val="l"/>
        <c:majorGridlines/>
        <c:title>
          <c:tx>
            <c:rich>
              <a:bodyPr rot="-5400000" vert="horz"/>
              <a:lstStyle/>
              <a:p>
                <a:pPr>
                  <a:defRPr/>
                </a:pPr>
                <a:r>
                  <a:rPr lang="en-US"/>
                  <a:t>Emisiju apjoms, tūkst. tonnu</a:t>
                </a:r>
              </a:p>
            </c:rich>
          </c:tx>
          <c:overlay val="0"/>
        </c:title>
        <c:numFmt formatCode="General" sourceLinked="1"/>
        <c:majorTickMark val="none"/>
        <c:minorTickMark val="none"/>
        <c:tickLblPos val="nextTo"/>
        <c:crossAx val="216889296"/>
        <c:crosses val="autoZero"/>
        <c:crossBetween val="midCat"/>
      </c:valAx>
    </c:plotArea>
    <c:legend>
      <c:legendPos val="b"/>
      <c:layout>
        <c:manualLayout>
          <c:xMode val="edge"/>
          <c:yMode val="edge"/>
          <c:x val="2.4973627818511202E-2"/>
          <c:y val="0.865235027439752"/>
          <c:w val="0.95933497526984801"/>
          <c:h val="0.115084705320926"/>
        </c:manualLayout>
      </c:layout>
      <c:overlay val="0"/>
    </c:legend>
    <c:plotVisOnly val="1"/>
    <c:dispBlanksAs val="gap"/>
    <c:showDLblsOverMax val="0"/>
  </c:chart>
  <c:spPr>
    <a:ln>
      <a:noFill/>
    </a:ln>
  </c:spPr>
  <c:txPr>
    <a:bodyPr/>
    <a:lstStyle/>
    <a:p>
      <a:pPr>
        <a:defRPr sz="900"/>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16127502135"/>
          <c:y val="5.63480690617238E-2"/>
          <c:w val="0.85947784840148"/>
          <c:h val="0.64755432775405897"/>
        </c:manualLayout>
      </c:layout>
      <c:lineChart>
        <c:grouping val="standard"/>
        <c:varyColors val="0"/>
        <c:ser>
          <c:idx val="0"/>
          <c:order val="0"/>
          <c:tx>
            <c:strRef>
              <c:f>'[2]S-7S'!$A$5</c:f>
              <c:strCache>
                <c:ptCount val="1"/>
                <c:pt idx="0">
                  <c:v>Latvija</c:v>
                </c:pt>
              </c:strCache>
            </c:strRef>
          </c:tx>
          <c:spPr>
            <a:ln>
              <a:solidFill>
                <a:srgbClr val="C00000"/>
              </a:solidFill>
            </a:ln>
          </c:spPr>
          <c:marker>
            <c:symbol val="diamond"/>
            <c:size val="7"/>
            <c:spPr>
              <a:solidFill>
                <a:schemeClr val="bg1"/>
              </a:solidFill>
              <a:ln>
                <a:solidFill>
                  <a:srgbClr val="C00000"/>
                </a:solidFill>
              </a:ln>
            </c:spPr>
          </c:marker>
          <c:cat>
            <c:numRef>
              <c:f>'@144'!$B$4:$N$4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'@144'!$B$5:$AA$5</c:f>
              <c:numCache>
                <c:formatCode>General</c:formatCode>
                <c:ptCount val="26"/>
                <c:pt idx="0">
                  <c:v>39</c:v>
                </c:pt>
                <c:pt idx="1">
                  <c:v>36</c:v>
                </c:pt>
                <c:pt idx="2">
                  <c:v>45</c:v>
                </c:pt>
                <c:pt idx="3">
                  <c:v>54</c:v>
                </c:pt>
                <c:pt idx="4">
                  <c:v>68</c:v>
                </c:pt>
                <c:pt idx="5">
                  <c:v>70</c:v>
                </c:pt>
                <c:pt idx="6">
                  <c:v>64</c:v>
                </c:pt>
                <c:pt idx="7">
                  <c:v>55</c:v>
                </c:pt>
                <c:pt idx="8">
                  <c:v>54</c:v>
                </c:pt>
                <c:pt idx="9">
                  <c:v>42</c:v>
                </c:pt>
                <c:pt idx="10">
                  <c:v>44</c:v>
                </c:pt>
                <c:pt idx="11">
                  <c:v>49</c:v>
                </c:pt>
              </c:numCache>
            </c:numRef>
          </c:val>
          <c:smooth val="0"/>
          <c:extLst xmlns:c16r2="http://schemas.microsoft.com/office/drawing/2015/06/chart">
            <c:ext xmlns:c16="http://schemas.microsoft.com/office/drawing/2014/chart" uri="{C3380CC4-5D6E-409C-BE32-E72D297353CC}">
              <c16:uniqueId val="{00000000-06E1-43C5-8A5E-340579250DC9}"/>
            </c:ext>
          </c:extLst>
        </c:ser>
        <c:ser>
          <c:idx val="1"/>
          <c:order val="1"/>
          <c:tx>
            <c:strRef>
              <c:f>'[2]S-7S'!$A$6</c:f>
              <c:strCache>
                <c:ptCount val="1"/>
                <c:pt idx="0">
                  <c:v>Igaunija</c:v>
                </c:pt>
              </c:strCache>
            </c:strRef>
          </c:tx>
          <c:spPr>
            <a:ln w="22225">
              <a:solidFill>
                <a:schemeClr val="tx1"/>
              </a:solidFill>
            </a:ln>
          </c:spPr>
          <c:marker>
            <c:symbol val="none"/>
          </c:marker>
          <c:cat>
            <c:numRef>
              <c:f>'@144'!$B$4:$N$4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'@144'!$B$6:$AA$6</c:f>
              <c:numCache>
                <c:formatCode>General</c:formatCode>
                <c:ptCount val="26"/>
                <c:pt idx="0">
                  <c:v>26</c:v>
                </c:pt>
                <c:pt idx="1">
                  <c:v>25</c:v>
                </c:pt>
                <c:pt idx="2">
                  <c:v>27</c:v>
                </c:pt>
                <c:pt idx="3">
                  <c:v>32</c:v>
                </c:pt>
                <c:pt idx="4">
                  <c:v>35</c:v>
                </c:pt>
                <c:pt idx="5">
                  <c:v>33</c:v>
                </c:pt>
                <c:pt idx="6">
                  <c:v>33</c:v>
                </c:pt>
                <c:pt idx="7">
                  <c:v>34</c:v>
                </c:pt>
                <c:pt idx="8">
                  <c:v>32</c:v>
                </c:pt>
                <c:pt idx="9">
                  <c:v>29</c:v>
                </c:pt>
                <c:pt idx="10">
                  <c:v>30</c:v>
                </c:pt>
                <c:pt idx="11">
                  <c:v>30</c:v>
                </c:pt>
              </c:numCache>
            </c:numRef>
          </c:val>
          <c:smooth val="0"/>
          <c:extLst xmlns:c16r2="http://schemas.microsoft.com/office/drawing/2015/06/chart">
            <c:ext xmlns:c16="http://schemas.microsoft.com/office/drawing/2014/chart" uri="{C3380CC4-5D6E-409C-BE32-E72D297353CC}">
              <c16:uniqueId val="{00000001-06E1-43C5-8A5E-340579250DC9}"/>
            </c:ext>
          </c:extLst>
        </c:ser>
        <c:ser>
          <c:idx val="2"/>
          <c:order val="2"/>
          <c:tx>
            <c:strRef>
              <c:f>'[2]S-7S'!$A$7</c:f>
              <c:strCache>
                <c:ptCount val="1"/>
                <c:pt idx="0">
                  <c:v>Lietuva</c:v>
                </c:pt>
              </c:strCache>
            </c:strRef>
          </c:tx>
          <c:spPr>
            <a:ln w="22225">
              <a:solidFill>
                <a:srgbClr val="008000"/>
              </a:solidFill>
            </a:ln>
          </c:spPr>
          <c:marker>
            <c:symbol val="none"/>
          </c:marker>
          <c:cat>
            <c:numRef>
              <c:f>'@144'!$B$4:$N$4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'@144'!$B$7:$AA$7</c:f>
              <c:numCache>
                <c:formatCode>General</c:formatCode>
                <c:ptCount val="26"/>
                <c:pt idx="0">
                  <c:v>34</c:v>
                </c:pt>
                <c:pt idx="1">
                  <c:v>40</c:v>
                </c:pt>
                <c:pt idx="2">
                  <c:v>38</c:v>
                </c:pt>
                <c:pt idx="3">
                  <c:v>44</c:v>
                </c:pt>
                <c:pt idx="4">
                  <c:v>53</c:v>
                </c:pt>
                <c:pt idx="5">
                  <c:v>47</c:v>
                </c:pt>
                <c:pt idx="6">
                  <c:v>44</c:v>
                </c:pt>
                <c:pt idx="7">
                  <c:v>45</c:v>
                </c:pt>
                <c:pt idx="8">
                  <c:v>48</c:v>
                </c:pt>
                <c:pt idx="9">
                  <c:v>41</c:v>
                </c:pt>
                <c:pt idx="10">
                  <c:v>36</c:v>
                </c:pt>
                <c:pt idx="11">
                  <c:v>35</c:v>
                </c:pt>
              </c:numCache>
            </c:numRef>
          </c:val>
          <c:smooth val="0"/>
          <c:extLst xmlns:c16r2="http://schemas.microsoft.com/office/drawing/2015/06/chart">
            <c:ext xmlns:c16="http://schemas.microsoft.com/office/drawing/2014/chart" uri="{C3380CC4-5D6E-409C-BE32-E72D297353CC}">
              <c16:uniqueId val="{00000002-06E1-43C5-8A5E-340579250DC9}"/>
            </c:ext>
          </c:extLst>
        </c:ser>
        <c:ser>
          <c:idx val="3"/>
          <c:order val="3"/>
          <c:tx>
            <c:strRef>
              <c:f>'[2]S-7S'!$A$8</c:f>
              <c:strCache>
                <c:ptCount val="1"/>
                <c:pt idx="0">
                  <c:v>Mērķa vērtības, NAP</c:v>
                </c:pt>
              </c:strCache>
            </c:strRef>
          </c:tx>
          <c:spPr>
            <a:ln>
              <a:noFill/>
            </a:ln>
          </c:spPr>
          <c:marker>
            <c:symbol val="square"/>
            <c:size val="7"/>
            <c:spPr>
              <a:solidFill>
                <a:srgbClr val="C00000"/>
              </a:solidFill>
              <a:ln>
                <a:solidFill>
                  <a:srgbClr val="C00000"/>
                </a:solidFill>
              </a:ln>
            </c:spPr>
          </c:marker>
          <c:dLbls>
            <c:dLbl>
              <c:idx val="9"/>
              <c:layout>
                <c:manualLayout>
                  <c:x val="-5.72246065808298E-3"/>
                  <c:y val="1.8950928606160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E1-43C5-8A5E-340579250DC9}"/>
                </c:ext>
                <c:ext xmlns:c15="http://schemas.microsoft.com/office/drawing/2012/chart" uri="{CE6537A1-D6FC-4f65-9D91-7224C49458BB}"/>
              </c:extLst>
            </c:dLbl>
            <c:dLbl>
              <c:idx val="12"/>
              <c:layout>
                <c:manualLayout>
                  <c:x val="-5.7224606580830503E-3"/>
                  <c:y val="1.8950928606160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E1-43C5-8A5E-340579250DC9}"/>
                </c:ext>
                <c:ext xmlns:c15="http://schemas.microsoft.com/office/drawing/2012/chart" uri="{CE6537A1-D6FC-4f65-9D91-7224C49458BB}"/>
              </c:extLst>
            </c:dLbl>
            <c:dLbl>
              <c:idx val="15"/>
              <c:layout>
                <c:manualLayout>
                  <c:x val="-1.1444921316166E-2"/>
                  <c:y val="1.0829102060663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E1-43C5-8A5E-340579250DC9}"/>
                </c:ext>
                <c:ext xmlns:c15="http://schemas.microsoft.com/office/drawing/2012/chart" uri="{CE6537A1-D6FC-4f65-9D91-7224C49458BB}"/>
              </c:extLst>
            </c:dLbl>
            <c:dLbl>
              <c:idx val="25"/>
              <c:layout>
                <c:manualLayout>
                  <c:x val="-2.2889842632331899E-2"/>
                  <c:y val="-4.602368375781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E1-43C5-8A5E-340579250DC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'@144'!$B$4:$N$4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'[2]S-7S'!$B$8:$AA$8</c:f>
              <c:numCache>
                <c:formatCode>General</c:formatCode>
                <c:ptCount val="26"/>
                <c:pt idx="9">
                  <c:v>60</c:v>
                </c:pt>
                <c:pt idx="12">
                  <c:v>53</c:v>
                </c:pt>
                <c:pt idx="15">
                  <c:v>45</c:v>
                </c:pt>
                <c:pt idx="25">
                  <c:v>40</c:v>
                </c:pt>
              </c:numCache>
            </c:numRef>
          </c:val>
          <c:smooth val="0"/>
          <c:extLst xmlns:c16r2="http://schemas.microsoft.com/office/drawing/2015/06/chart">
            <c:ext xmlns:c16="http://schemas.microsoft.com/office/drawing/2014/chart" uri="{C3380CC4-5D6E-409C-BE32-E72D297353CC}">
              <c16:uniqueId val="{00000007-06E1-43C5-8A5E-340579250DC9}"/>
            </c:ext>
          </c:extLst>
        </c:ser>
        <c:ser>
          <c:idx val="4"/>
          <c:order val="4"/>
          <c:tx>
            <c:strRef>
              <c:f>'[2]S-7S'!$A$9</c:f>
              <c:strCache>
                <c:ptCount val="1"/>
                <c:pt idx="0">
                  <c:v>Mērķa vērtība, LV-2030</c:v>
                </c:pt>
              </c:strCache>
            </c:strRef>
          </c:tx>
          <c:spPr>
            <a:ln>
              <a:noFill/>
            </a:ln>
          </c:spPr>
          <c:marker>
            <c:symbol val="diamond"/>
            <c:size val="8"/>
            <c:spPr>
              <a:solidFill>
                <a:schemeClr val="bg1"/>
              </a:solidFill>
              <a:ln>
                <a:solidFill>
                  <a:srgbClr val="C00000"/>
                </a:solidFill>
              </a:ln>
            </c:spPr>
          </c:marker>
          <c:cat>
            <c:numRef>
              <c:f>'@144'!$B$4:$N$4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'[2]S-7S'!$B$9:$AA$9</c:f>
              <c:numCache>
                <c:formatCode>General</c:formatCode>
                <c:ptCount val="26"/>
                <c:pt idx="25">
                  <c:v>40</c:v>
                </c:pt>
              </c:numCache>
            </c:numRef>
          </c:val>
          <c:smooth val="0"/>
          <c:extLst xmlns:c16r2="http://schemas.microsoft.com/office/drawing/2015/06/chart">
            <c:ext xmlns:c16="http://schemas.microsoft.com/office/drawing/2014/chart" uri="{C3380CC4-5D6E-409C-BE32-E72D297353CC}">
              <c16:uniqueId val="{00000008-06E1-43C5-8A5E-340579250DC9}"/>
            </c:ext>
          </c:extLst>
        </c:ser>
        <c:dLbls>
          <c:showLegendKey val="0"/>
          <c:showVal val="0"/>
          <c:showCatName val="0"/>
          <c:showSerName val="0"/>
          <c:showPercent val="0"/>
          <c:showBubbleSize val="0"/>
        </c:dLbls>
        <c:marker val="1"/>
        <c:smooth val="0"/>
        <c:axId val="214723184"/>
        <c:axId val="214723576"/>
      </c:lineChart>
      <c:catAx>
        <c:axId val="214723184"/>
        <c:scaling>
          <c:orientation val="minMax"/>
        </c:scaling>
        <c:delete val="0"/>
        <c:axPos val="b"/>
        <c:majorGridlines/>
        <c:numFmt formatCode="General" sourceLinked="1"/>
        <c:majorTickMark val="none"/>
        <c:minorTickMark val="none"/>
        <c:tickLblPos val="nextTo"/>
        <c:txPr>
          <a:bodyPr rot="-5400000" vert="horz"/>
          <a:lstStyle/>
          <a:p>
            <a:pPr>
              <a:defRPr/>
            </a:pPr>
            <a:endParaRPr lang="lv-LV"/>
          </a:p>
        </c:txPr>
        <c:crossAx val="214723576"/>
        <c:crosses val="max"/>
        <c:auto val="1"/>
        <c:lblAlgn val="ctr"/>
        <c:lblOffset val="100"/>
        <c:noMultiLvlLbl val="0"/>
      </c:catAx>
      <c:valAx>
        <c:axId val="214723576"/>
        <c:scaling>
          <c:orientation val="maxMin"/>
        </c:scaling>
        <c:delete val="0"/>
        <c:axPos val="l"/>
        <c:majorGridlines/>
        <c:title>
          <c:tx>
            <c:rich>
              <a:bodyPr rot="-5400000" vert="horz"/>
              <a:lstStyle/>
              <a:p>
                <a:pPr>
                  <a:defRPr/>
                </a:pPr>
                <a:r>
                  <a:rPr lang="en-US"/>
                  <a:t>Indeksa rangs, vieta pasaulē</a:t>
                </a:r>
              </a:p>
            </c:rich>
          </c:tx>
          <c:layout>
            <c:manualLayout>
              <c:xMode val="edge"/>
              <c:yMode val="edge"/>
              <c:x val="1.42053982382637E-2"/>
              <c:y val="0.17704421562689299"/>
            </c:manualLayout>
          </c:layout>
          <c:overlay val="0"/>
        </c:title>
        <c:numFmt formatCode="General" sourceLinked="1"/>
        <c:majorTickMark val="none"/>
        <c:minorTickMark val="none"/>
        <c:tickLblPos val="low"/>
        <c:txPr>
          <a:bodyPr rot="0" vert="horz"/>
          <a:lstStyle/>
          <a:p>
            <a:pPr>
              <a:defRPr/>
            </a:pPr>
            <a:endParaRPr lang="lv-LV"/>
          </a:p>
        </c:txPr>
        <c:crossAx val="214723184"/>
        <c:crosses val="autoZero"/>
        <c:crossBetween val="midCat"/>
      </c:valAx>
    </c:plotArea>
    <c:legend>
      <c:legendPos val="b"/>
      <c:layout>
        <c:manualLayout>
          <c:xMode val="edge"/>
          <c:yMode val="edge"/>
          <c:x val="6.9386326709161297E-2"/>
          <c:y val="0.84458917307006398"/>
          <c:w val="0.84155284937208896"/>
          <c:h val="0.12461331639361201"/>
        </c:manualLayout>
      </c:layout>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'[2]S-48'!$A$9</c:f>
              <c:strCache>
                <c:ptCount val="1"/>
                <c:pt idx="0">
                  <c:v>Kravas, milj. tonnu</c:v>
                </c:pt>
              </c:strCache>
            </c:strRef>
          </c:tx>
          <c:spPr>
            <a:solidFill>
              <a:schemeClr val="accent6">
                <a:lumMod val="75000"/>
              </a:schemeClr>
            </a:solidFill>
          </c:spPr>
          <c:invertIfNegative val="0"/>
          <c:cat>
            <c:strRef>
              <c:f>'@149'!$B$6:$AB$6</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strCache>
            </c:strRef>
          </c:cat>
          <c:val>
            <c:numRef>
              <c:f>'@149'!$B$9:$AB$9</c:f>
              <c:numCache>
                <c:formatCode>0.0</c:formatCode>
                <c:ptCount val="27"/>
                <c:pt idx="0">
                  <c:v>57.4</c:v>
                </c:pt>
                <c:pt idx="1">
                  <c:v>60.042000000000002</c:v>
                </c:pt>
                <c:pt idx="2">
                  <c:v>59.497</c:v>
                </c:pt>
                <c:pt idx="3">
                  <c:v>62.433999999999997</c:v>
                </c:pt>
                <c:pt idx="4">
                  <c:v>63.649000000000001</c:v>
                </c:pt>
                <c:pt idx="5">
                  <c:v>61.98</c:v>
                </c:pt>
                <c:pt idx="6">
                  <c:v>61.16</c:v>
                </c:pt>
                <c:pt idx="7">
                  <c:v>68.820999999999998</c:v>
                </c:pt>
                <c:pt idx="8">
                  <c:v>75.192999999999998</c:v>
                </c:pt>
                <c:pt idx="9">
                  <c:v>70.48</c:v>
                </c:pt>
                <c:pt idx="10">
                  <c:v>74.175999999999988</c:v>
                </c:pt>
                <c:pt idx="11">
                  <c:v>69.569000000000003</c:v>
                </c:pt>
                <c:pt idx="12">
                  <c:v>63.116</c:v>
                </c:pt>
              </c:numCache>
            </c:numRef>
          </c:val>
          <c:extLst xmlns:c16r2="http://schemas.microsoft.com/office/drawing/2015/06/chart">
            <c:ext xmlns:c16="http://schemas.microsoft.com/office/drawing/2014/chart" uri="{C3380CC4-5D6E-409C-BE32-E72D297353CC}">
              <c16:uniqueId val="{00000000-5DB3-467F-9D47-CE4C09AEB0EC}"/>
            </c:ext>
          </c:extLst>
        </c:ser>
        <c:dLbls>
          <c:showLegendKey val="0"/>
          <c:showVal val="0"/>
          <c:showCatName val="0"/>
          <c:showSerName val="0"/>
          <c:showPercent val="0"/>
          <c:showBubbleSize val="0"/>
        </c:dLbls>
        <c:gapWidth val="75"/>
        <c:axId val="214724360"/>
        <c:axId val="214718872"/>
      </c:barChart>
      <c:lineChart>
        <c:grouping val="standard"/>
        <c:varyColors val="0"/>
        <c:ser>
          <c:idx val="1"/>
          <c:order val="1"/>
          <c:tx>
            <c:strRef>
              <c:f>'[2]S-48'!$A$10</c:f>
              <c:strCache>
                <c:ptCount val="1"/>
                <c:pt idx="0">
                  <c:v>Mērķa vērtības, NAP</c:v>
                </c:pt>
              </c:strCache>
            </c:strRef>
          </c:tx>
          <c:spPr>
            <a:ln>
              <a:noFill/>
            </a:ln>
          </c:spPr>
          <c:dLbls>
            <c:dLbl>
              <c:idx val="26"/>
              <c:layout>
                <c:manualLayout>
                  <c:x val="-4.8706240487062402E-2"/>
                  <c:y val="-3.5674466281660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B3-467F-9D47-CE4C09AEB0E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'[2]S-48'!$B$6:$AB$6</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'[2]S-48'!$B$10:$AB$10</c:f>
              <c:numCache>
                <c:formatCode>General</c:formatCode>
                <c:ptCount val="27"/>
                <c:pt idx="10">
                  <c:v>80</c:v>
                </c:pt>
                <c:pt idx="13">
                  <c:v>98</c:v>
                </c:pt>
                <c:pt idx="16">
                  <c:v>116</c:v>
                </c:pt>
                <c:pt idx="26">
                  <c:v>140</c:v>
                </c:pt>
              </c:numCache>
            </c:numRef>
          </c:val>
          <c:smooth val="0"/>
          <c:extLst xmlns:c16r2="http://schemas.microsoft.com/office/drawing/2015/06/chart">
            <c:ext xmlns:c16="http://schemas.microsoft.com/office/drawing/2014/chart" uri="{C3380CC4-5D6E-409C-BE32-E72D297353CC}">
              <c16:uniqueId val="{00000002-5DB3-467F-9D47-CE4C09AEB0EC}"/>
            </c:ext>
          </c:extLst>
        </c:ser>
        <c:ser>
          <c:idx val="2"/>
          <c:order val="2"/>
          <c:tx>
            <c:strRef>
              <c:f>'[2]S-48'!$A$11</c:f>
              <c:strCache>
                <c:ptCount val="1"/>
                <c:pt idx="0">
                  <c:v>Mērķa vērtība, LV-2030</c:v>
                </c:pt>
              </c:strCache>
            </c:strRef>
          </c:tx>
          <c:spPr>
            <a:ln>
              <a:noFill/>
            </a:ln>
          </c:spPr>
          <c:marker>
            <c:symbol val="square"/>
            <c:size val="7"/>
            <c:spPr>
              <a:solidFill>
                <a:schemeClr val="bg1"/>
              </a:solidFill>
              <a:ln>
                <a:solidFill>
                  <a:srgbClr val="C00000"/>
                </a:solidFill>
              </a:ln>
            </c:spPr>
          </c:marker>
          <c:dLbls>
            <c:dLbl>
              <c:idx val="26"/>
              <c:layout>
                <c:manualLayout>
                  <c:x val="-4.8706240487062402E-2"/>
                  <c:y val="-2.725101360356699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B3-467F-9D47-CE4C09AEB0E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'[2]S-48'!$B$6:$AB$6</c:f>
              <c:strCache>
                <c:ptCount val="2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pt idx="26">
                  <c:v>2030</c:v>
                </c:pt>
              </c:strCache>
            </c:strRef>
          </c:cat>
          <c:val>
            <c:numRef>
              <c:f>'[2]S-48'!$B$11:$AB$11</c:f>
              <c:numCache>
                <c:formatCode>General</c:formatCode>
                <c:ptCount val="27"/>
                <c:pt idx="26">
                  <c:v>130</c:v>
                </c:pt>
              </c:numCache>
            </c:numRef>
          </c:val>
          <c:smooth val="0"/>
          <c:extLst xmlns:c16r2="http://schemas.microsoft.com/office/drawing/2015/06/chart">
            <c:ext xmlns:c16="http://schemas.microsoft.com/office/drawing/2014/chart" uri="{C3380CC4-5D6E-409C-BE32-E72D297353CC}">
              <c16:uniqueId val="{00000004-5DB3-467F-9D47-CE4C09AEB0EC}"/>
            </c:ext>
          </c:extLst>
        </c:ser>
        <c:dLbls>
          <c:showLegendKey val="0"/>
          <c:showVal val="0"/>
          <c:showCatName val="0"/>
          <c:showSerName val="0"/>
          <c:showPercent val="0"/>
          <c:showBubbleSize val="0"/>
        </c:dLbls>
        <c:marker val="1"/>
        <c:smooth val="0"/>
        <c:axId val="214724360"/>
        <c:axId val="214718872"/>
      </c:lineChart>
      <c:catAx>
        <c:axId val="214724360"/>
        <c:scaling>
          <c:orientation val="minMax"/>
        </c:scaling>
        <c:delete val="0"/>
        <c:axPos val="b"/>
        <c:numFmt formatCode="General" sourceLinked="0"/>
        <c:majorTickMark val="none"/>
        <c:minorTickMark val="none"/>
        <c:tickLblPos val="nextTo"/>
        <c:txPr>
          <a:bodyPr rot="-5400000" vert="horz"/>
          <a:lstStyle/>
          <a:p>
            <a:pPr>
              <a:defRPr/>
            </a:pPr>
            <a:endParaRPr lang="lv-LV"/>
          </a:p>
        </c:txPr>
        <c:crossAx val="214718872"/>
        <c:crosses val="autoZero"/>
        <c:auto val="1"/>
        <c:lblAlgn val="ctr"/>
        <c:lblOffset val="100"/>
        <c:noMultiLvlLbl val="0"/>
      </c:catAx>
      <c:valAx>
        <c:axId val="214718872"/>
        <c:scaling>
          <c:orientation val="minMax"/>
        </c:scaling>
        <c:delete val="0"/>
        <c:axPos val="l"/>
        <c:majorGridlines/>
        <c:title>
          <c:tx>
            <c:rich>
              <a:bodyPr rot="-5400000" vert="horz"/>
              <a:lstStyle/>
              <a:p>
                <a:pPr>
                  <a:defRPr/>
                </a:pPr>
                <a:r>
                  <a:rPr lang="en-US"/>
                  <a:t>Pārkrauto kravu apjoms, milj. tonnu</a:t>
                </a:r>
              </a:p>
            </c:rich>
          </c:tx>
          <c:layout>
            <c:manualLayout>
              <c:xMode val="edge"/>
              <c:yMode val="edge"/>
              <c:x val="1.2176660417107099E-2"/>
              <c:y val="6.4801032712239401E-2"/>
            </c:manualLayout>
          </c:layout>
          <c:overlay val="0"/>
        </c:title>
        <c:numFmt formatCode="0" sourceLinked="0"/>
        <c:majorTickMark val="none"/>
        <c:minorTickMark val="none"/>
        <c:tickLblPos val="nextTo"/>
        <c:crossAx val="214724360"/>
        <c:crosses val="autoZero"/>
        <c:crossBetween val="between"/>
      </c:valAx>
    </c:plotArea>
    <c:legend>
      <c:legendPos val="b"/>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'@174'!$A$4</c:f>
              <c:strCache>
                <c:ptCount val="1"/>
                <c:pt idx="0">
                  <c:v>Grādu ieguvušie studenti</c:v>
                </c:pt>
              </c:strCache>
            </c:strRef>
          </c:tx>
          <c:spPr>
            <a:solidFill>
              <a:srgbClr val="008000"/>
            </a:solidFill>
          </c:spPr>
          <c:invertIfNegative val="0"/>
          <c:cat>
            <c:numRef>
              <c:f>'@174'!$B$3:$AB$3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'@174'!$B$4:$AB$4</c:f>
              <c:numCache>
                <c:formatCode>General</c:formatCode>
                <c:ptCount val="27"/>
                <c:pt idx="0">
                  <c:v>23.9</c:v>
                </c:pt>
                <c:pt idx="1">
                  <c:v>26.1</c:v>
                </c:pt>
                <c:pt idx="2">
                  <c:v>26.4</c:v>
                </c:pt>
                <c:pt idx="3">
                  <c:v>26.8</c:v>
                </c:pt>
                <c:pt idx="4">
                  <c:v>24.2</c:v>
                </c:pt>
                <c:pt idx="5">
                  <c:v>26</c:v>
                </c:pt>
                <c:pt idx="6">
                  <c:v>26.5</c:v>
                </c:pt>
                <c:pt idx="7">
                  <c:v>24.9</c:v>
                </c:pt>
                <c:pt idx="8">
                  <c:v>21.5</c:v>
                </c:pt>
                <c:pt idx="9">
                  <c:v>21.6</c:v>
                </c:pt>
                <c:pt idx="10">
                  <c:v>17.3</c:v>
                </c:pt>
                <c:pt idx="11">
                  <c:v>17</c:v>
                </c:pt>
                <c:pt idx="12">
                  <c:v>15.8</c:v>
                </c:pt>
              </c:numCache>
            </c:numRef>
          </c:val>
          <c:extLst xmlns:c16r2="http://schemas.microsoft.com/office/drawing/2015/06/chart">
            <c:ext xmlns:c16="http://schemas.microsoft.com/office/drawing/2014/chart" uri="{C3380CC4-5D6E-409C-BE32-E72D297353CC}">
              <c16:uniqueId val="{00000000-DEDC-4231-B575-88E0922D2112}"/>
            </c:ext>
          </c:extLst>
        </c:ser>
        <c:dLbls>
          <c:showLegendKey val="0"/>
          <c:showVal val="0"/>
          <c:showCatName val="0"/>
          <c:showSerName val="0"/>
          <c:showPercent val="0"/>
          <c:showBubbleSize val="0"/>
        </c:dLbls>
        <c:gapWidth val="70"/>
        <c:axId val="214720832"/>
        <c:axId val="214719656"/>
      </c:barChart>
      <c:lineChart>
        <c:grouping val="standard"/>
        <c:varyColors val="0"/>
        <c:ser>
          <c:idx val="1"/>
          <c:order val="1"/>
          <c:tx>
            <c:strRef>
              <c:f>'@174'!$A$5</c:f>
              <c:strCache>
                <c:ptCount val="1"/>
                <c:pt idx="0">
                  <c:v>Mērķa vērtības</c:v>
                </c:pt>
              </c:strCache>
            </c:strRef>
          </c:tx>
          <c:spPr>
            <a:ln>
              <a:noFill/>
            </a:ln>
          </c:spPr>
          <c:dLbls>
            <c:dLbl>
              <c:idx val="26"/>
              <c:layout>
                <c:manualLayout>
                  <c:x val="-4.59016393442623E-2"/>
                  <c:y val="-3.27198406157306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DC-4231-B575-88E0922D2112}"/>
                </c:ext>
                <c:ext xmlns:c15="http://schemas.microsoft.com/office/drawing/2012/chart" uri="{CE6537A1-D6FC-4f65-9D91-7224C49458BB}"/>
              </c:extLst>
            </c:dLbl>
            <c:spPr>
              <a:noFill/>
              <a:ln>
                <a:noFill/>
              </a:ln>
              <a:effectLst/>
            </c:spPr>
            <c:txPr>
              <a:bodyPr/>
              <a:lstStyle/>
              <a:p>
                <a:pPr>
                  <a:defRPr sz="900" b="1"/>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'@174'!$B$3:$AB$3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'@174'!$B$5:$AB$5</c:f>
              <c:numCache>
                <c:formatCode>General</c:formatCode>
                <c:ptCount val="27"/>
                <c:pt idx="10">
                  <c:v>23.9</c:v>
                </c:pt>
                <c:pt idx="13">
                  <c:v>24.1</c:v>
                </c:pt>
                <c:pt idx="16">
                  <c:v>24.6</c:v>
                </c:pt>
                <c:pt idx="26">
                  <c:v>28.6</c:v>
                </c:pt>
              </c:numCache>
            </c:numRef>
          </c:val>
          <c:smooth val="0"/>
          <c:extLst xmlns:c16r2="http://schemas.microsoft.com/office/drawing/2015/06/chart">
            <c:ext xmlns:c16="http://schemas.microsoft.com/office/drawing/2014/chart" uri="{C3380CC4-5D6E-409C-BE32-E72D297353CC}">
              <c16:uniqueId val="{00000002-DEDC-4231-B575-88E0922D2112}"/>
            </c:ext>
          </c:extLst>
        </c:ser>
        <c:dLbls>
          <c:showLegendKey val="0"/>
          <c:showVal val="0"/>
          <c:showCatName val="0"/>
          <c:showSerName val="0"/>
          <c:showPercent val="0"/>
          <c:showBubbleSize val="0"/>
        </c:dLbls>
        <c:marker val="1"/>
        <c:smooth val="0"/>
        <c:axId val="214720832"/>
        <c:axId val="214719656"/>
      </c:lineChart>
      <c:catAx>
        <c:axId val="214720832"/>
        <c:scaling>
          <c:orientation val="minMax"/>
        </c:scaling>
        <c:delete val="0"/>
        <c:axPos val="b"/>
        <c:numFmt formatCode="General" sourceLinked="1"/>
        <c:majorTickMark val="out"/>
        <c:minorTickMark val="none"/>
        <c:tickLblPos val="nextTo"/>
        <c:txPr>
          <a:bodyPr rot="-5400000" vert="horz"/>
          <a:lstStyle/>
          <a:p>
            <a:pPr>
              <a:defRPr sz="900"/>
            </a:pPr>
            <a:endParaRPr lang="lv-LV"/>
          </a:p>
        </c:txPr>
        <c:crossAx val="214719656"/>
        <c:crosses val="autoZero"/>
        <c:auto val="1"/>
        <c:lblAlgn val="ctr"/>
        <c:lblOffset val="100"/>
        <c:noMultiLvlLbl val="0"/>
      </c:catAx>
      <c:valAx>
        <c:axId val="214719656"/>
        <c:scaling>
          <c:orientation val="minMax"/>
        </c:scaling>
        <c:delete val="0"/>
        <c:axPos val="l"/>
        <c:majorGridlines/>
        <c:title>
          <c:tx>
            <c:rich>
              <a:bodyPr rot="-5400000" vert="horz"/>
              <a:lstStyle/>
              <a:p>
                <a:pPr>
                  <a:defRPr sz="1000"/>
                </a:pPr>
                <a:r>
                  <a:rPr lang="en-US" sz="1000"/>
                  <a:t>Studentu skaits, tūkst.</a:t>
                </a:r>
              </a:p>
            </c:rich>
          </c:tx>
          <c:overlay val="0"/>
        </c:title>
        <c:numFmt formatCode="General" sourceLinked="1"/>
        <c:majorTickMark val="none"/>
        <c:minorTickMark val="none"/>
        <c:tickLblPos val="nextTo"/>
        <c:crossAx val="21472083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'@172'!$A$4</c:f>
              <c:strCache>
                <c:ptCount val="1"/>
                <c:pt idx="0">
                  <c:v>Privātsektora ieguldījumu daļa</c:v>
                </c:pt>
              </c:strCache>
            </c:strRef>
          </c:tx>
          <c:marker>
            <c:spPr>
              <a:solidFill>
                <a:schemeClr val="bg1"/>
              </a:solidFill>
            </c:spPr>
          </c:marker>
          <c:cat>
            <c:numRef>
              <c:f>'@172'!$B$3:$AB$3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'@172'!$B$4:$AB$4</c:f>
              <c:numCache>
                <c:formatCode>General</c:formatCode>
                <c:ptCount val="27"/>
                <c:pt idx="0">
                  <c:v>44.2</c:v>
                </c:pt>
                <c:pt idx="1">
                  <c:v>40.700000000000003</c:v>
                </c:pt>
                <c:pt idx="2">
                  <c:v>50.4</c:v>
                </c:pt>
                <c:pt idx="3">
                  <c:v>32.5</c:v>
                </c:pt>
                <c:pt idx="4">
                  <c:v>25</c:v>
                </c:pt>
                <c:pt idx="5">
                  <c:v>36.4</c:v>
                </c:pt>
                <c:pt idx="6">
                  <c:v>37</c:v>
                </c:pt>
                <c:pt idx="7">
                  <c:v>27.8</c:v>
                </c:pt>
                <c:pt idx="8">
                  <c:v>22.6</c:v>
                </c:pt>
                <c:pt idx="9">
                  <c:v>28.2</c:v>
                </c:pt>
                <c:pt idx="10">
                  <c:v>35.503685503685453</c:v>
                </c:pt>
                <c:pt idx="11">
                  <c:v>24.704336399474379</c:v>
                </c:pt>
                <c:pt idx="12" formatCode="0.0">
                  <c:v>24.45652173913043</c:v>
                </c:pt>
              </c:numCache>
            </c:numRef>
          </c:val>
          <c:smooth val="0"/>
          <c:extLst xmlns:c16r2="http://schemas.microsoft.com/office/drawing/2015/06/chart">
            <c:ext xmlns:c16="http://schemas.microsoft.com/office/drawing/2014/chart" uri="{C3380CC4-5D6E-409C-BE32-E72D297353CC}">
              <c16:uniqueId val="{00000000-6F54-4BE3-9276-159A92FBBEFD}"/>
            </c:ext>
          </c:extLst>
        </c:ser>
        <c:ser>
          <c:idx val="1"/>
          <c:order val="1"/>
          <c:tx>
            <c:strRef>
              <c:f>'@172'!$A$5</c:f>
              <c:strCache>
                <c:ptCount val="1"/>
                <c:pt idx="0">
                  <c:v>Mērķa vērtības</c:v>
                </c:pt>
              </c:strCache>
            </c:strRef>
          </c:tx>
          <c:spPr>
            <a:ln>
              <a:noFill/>
            </a:ln>
          </c:spPr>
          <c:dLbls>
            <c:dLbl>
              <c:idx val="13"/>
              <c:layout>
                <c:manualLayout>
                  <c:x val="-1.17302052785924E-2"/>
                  <c:y val="2.5000000000000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54-4BE3-9276-159A92FBBEFD}"/>
                </c:ext>
                <c:ext xmlns:c15="http://schemas.microsoft.com/office/drawing/2012/chart" uri="{CE6537A1-D6FC-4f65-9D91-7224C49458BB}"/>
              </c:extLst>
            </c:dLbl>
            <c:dLbl>
              <c:idx val="16"/>
              <c:layout>
                <c:manualLayout>
                  <c:x val="-9.7751710654936392E-3"/>
                  <c:y val="1.6666666666666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54-4BE3-9276-159A92FBBEFD}"/>
                </c:ext>
                <c:ext xmlns:c15="http://schemas.microsoft.com/office/drawing/2012/chart" uri="{CE6537A1-D6FC-4f65-9D91-7224C49458BB}"/>
              </c:extLst>
            </c:dLbl>
            <c:dLbl>
              <c:idx val="26"/>
              <c:layout>
                <c:manualLayout>
                  <c:x val="-1.9550342130987299E-2"/>
                  <c:y val="3.6111111111111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54-4BE3-9276-159A92FBBEF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'@172'!$B$3:$AB$3</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'@172'!$B$5:$AB$5</c:f>
              <c:numCache>
                <c:formatCode>General</c:formatCode>
                <c:ptCount val="27"/>
                <c:pt idx="10">
                  <c:v>42</c:v>
                </c:pt>
                <c:pt idx="13">
                  <c:v>46</c:v>
                </c:pt>
                <c:pt idx="16">
                  <c:v>48</c:v>
                </c:pt>
                <c:pt idx="26">
                  <c:v>51</c:v>
                </c:pt>
              </c:numCache>
            </c:numRef>
          </c:val>
          <c:smooth val="0"/>
          <c:extLst xmlns:c16r2="http://schemas.microsoft.com/office/drawing/2015/06/chart">
            <c:ext xmlns:c16="http://schemas.microsoft.com/office/drawing/2014/chart" uri="{C3380CC4-5D6E-409C-BE32-E72D297353CC}">
              <c16:uniqueId val="{00000004-6F54-4BE3-9276-159A92FBBEFD}"/>
            </c:ext>
          </c:extLst>
        </c:ser>
        <c:dLbls>
          <c:showLegendKey val="0"/>
          <c:showVal val="0"/>
          <c:showCatName val="0"/>
          <c:showSerName val="0"/>
          <c:showPercent val="0"/>
          <c:showBubbleSize val="0"/>
        </c:dLbls>
        <c:marker val="1"/>
        <c:smooth val="0"/>
        <c:axId val="214727104"/>
        <c:axId val="214721616"/>
      </c:lineChart>
      <c:catAx>
        <c:axId val="214727104"/>
        <c:scaling>
          <c:orientation val="minMax"/>
        </c:scaling>
        <c:delete val="0"/>
        <c:axPos val="b"/>
        <c:majorGridlines/>
        <c:numFmt formatCode="General" sourceLinked="1"/>
        <c:majorTickMark val="none"/>
        <c:minorTickMark val="none"/>
        <c:tickLblPos val="nextTo"/>
        <c:txPr>
          <a:bodyPr rot="-5400000" vert="horz"/>
          <a:lstStyle/>
          <a:p>
            <a:pPr>
              <a:defRPr/>
            </a:pPr>
            <a:endParaRPr lang="lv-LV"/>
          </a:p>
        </c:txPr>
        <c:crossAx val="214721616"/>
        <c:crosses val="autoZero"/>
        <c:auto val="1"/>
        <c:lblAlgn val="ctr"/>
        <c:lblOffset val="100"/>
        <c:noMultiLvlLbl val="0"/>
      </c:catAx>
      <c:valAx>
        <c:axId val="214721616"/>
        <c:scaling>
          <c:orientation val="minMax"/>
        </c:scaling>
        <c:delete val="0"/>
        <c:axPos val="l"/>
        <c:majorGridlines/>
        <c:title>
          <c:tx>
            <c:rich>
              <a:bodyPr rot="-5400000" vert="horz"/>
              <a:lstStyle/>
              <a:p>
                <a:pPr>
                  <a:defRPr/>
                </a:pPr>
                <a:r>
                  <a:rPr lang="lv-LV"/>
                  <a:t>Daļa</a:t>
                </a:r>
                <a:r>
                  <a:rPr lang="en-US"/>
                  <a:t> no kopējiem ieguldījumiem</a:t>
                </a:r>
                <a:r>
                  <a:rPr lang="lv-LV"/>
                  <a:t>, %</a:t>
                </a:r>
                <a:endParaRPr lang="en-US"/>
              </a:p>
            </c:rich>
          </c:tx>
          <c:layout>
            <c:manualLayout>
              <c:xMode val="edge"/>
              <c:yMode val="edge"/>
              <c:x val="2.66666666666667E-2"/>
              <c:y val="8.8898729723499506E-2"/>
            </c:manualLayout>
          </c:layout>
          <c:overlay val="0"/>
        </c:title>
        <c:numFmt formatCode="General" sourceLinked="1"/>
        <c:majorTickMark val="none"/>
        <c:minorTickMark val="none"/>
        <c:tickLblPos val="nextTo"/>
        <c:crossAx val="214727104"/>
        <c:crosses val="autoZero"/>
        <c:crossBetween val="midCat"/>
        <c:majorUnit val="5"/>
      </c:valAx>
    </c:plotArea>
    <c:legend>
      <c:legendPos val="b"/>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1152652020401"/>
          <c:y val="6.1436461067366603E-2"/>
          <c:w val="0.87759946798254396"/>
          <c:h val="0.65423892325959299"/>
        </c:manualLayout>
      </c:layout>
      <c:lineChart>
        <c:grouping val="standard"/>
        <c:varyColors val="0"/>
        <c:ser>
          <c:idx val="1"/>
          <c:order val="0"/>
          <c:tx>
            <c:strRef>
              <c:f>'[2]S-28'!$A$5</c:f>
              <c:strCache>
                <c:ptCount val="1"/>
                <c:pt idx="0">
                  <c:v>% valsts budžeta izdevumu</c:v>
                </c:pt>
              </c:strCache>
            </c:strRef>
          </c:tx>
          <c:spPr>
            <a:ln>
              <a:solidFill>
                <a:srgbClr val="0000FF"/>
              </a:solidFill>
            </a:ln>
          </c:spPr>
          <c:marker>
            <c:symbol val="square"/>
            <c:size val="5"/>
            <c:spPr>
              <a:solidFill>
                <a:schemeClr val="bg1"/>
              </a:solidFill>
              <a:ln>
                <a:solidFill>
                  <a:srgbClr val="0000FF"/>
                </a:solidFill>
              </a:ln>
            </c:spPr>
          </c:marker>
          <c:cat>
            <c:strRef>
              <c:f>'@93'!$B$4:$AB$4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strCache>
            </c:strRef>
          </c:cat>
          <c:val>
            <c:numRef>
              <c:f>'@93'!$B$5:$AB$5</c:f>
              <c:numCache>
                <c:formatCode>General</c:formatCode>
                <c:ptCount val="27"/>
                <c:pt idx="0">
                  <c:v>0.5</c:v>
                </c:pt>
                <c:pt idx="1">
                  <c:v>0.54</c:v>
                </c:pt>
                <c:pt idx="2">
                  <c:v>0.69</c:v>
                </c:pt>
                <c:pt idx="3">
                  <c:v>0.82</c:v>
                </c:pt>
                <c:pt idx="4">
                  <c:v>0.74</c:v>
                </c:pt>
                <c:pt idx="5">
                  <c:v>0.46</c:v>
                </c:pt>
                <c:pt idx="6">
                  <c:v>0.36</c:v>
                </c:pt>
                <c:pt idx="7">
                  <c:v>0.38</c:v>
                </c:pt>
                <c:pt idx="8">
                  <c:v>0.4</c:v>
                </c:pt>
                <c:pt idx="9">
                  <c:v>0.39</c:v>
                </c:pt>
                <c:pt idx="10">
                  <c:v>0.43</c:v>
                </c:pt>
                <c:pt idx="11">
                  <c:v>0.51</c:v>
                </c:pt>
              </c:numCache>
            </c:numRef>
          </c:val>
          <c:smooth val="0"/>
          <c:extLst xmlns:c16r2="http://schemas.microsoft.com/office/drawing/2015/06/chart">
            <c:ext xmlns:c16="http://schemas.microsoft.com/office/drawing/2014/chart" uri="{C3380CC4-5D6E-409C-BE32-E72D297353CC}">
              <c16:uniqueId val="{00000000-3777-4C4F-B3FF-A84860896A91}"/>
            </c:ext>
          </c:extLst>
        </c:ser>
        <c:ser>
          <c:idx val="0"/>
          <c:order val="1"/>
          <c:tx>
            <c:strRef>
              <c:f>'[2]S-28'!$A$7</c:f>
              <c:strCache>
                <c:ptCount val="1"/>
                <c:pt idx="0">
                  <c:v>% no IKP</c:v>
                </c:pt>
              </c:strCache>
            </c:strRef>
          </c:tx>
          <c:spPr>
            <a:ln>
              <a:solidFill>
                <a:srgbClr val="C00000"/>
              </a:solidFill>
            </a:ln>
          </c:spPr>
          <c:marker>
            <c:symbol val="diamond"/>
            <c:size val="7"/>
            <c:spPr>
              <a:solidFill>
                <a:schemeClr val="bg1"/>
              </a:solidFill>
              <a:ln>
                <a:solidFill>
                  <a:srgbClr val="C00000"/>
                </a:solidFill>
              </a:ln>
            </c:spPr>
          </c:marker>
          <c:cat>
            <c:strRef>
              <c:f>'@93'!$B$4:$AB$4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strCache>
            </c:strRef>
          </c:cat>
          <c:val>
            <c:numRef>
              <c:f>'@93'!$B$7:$AB$7</c:f>
              <c:numCache>
                <c:formatCode>General</c:formatCode>
                <c:ptCount val="27"/>
                <c:pt idx="0">
                  <c:v>0.4</c:v>
                </c:pt>
                <c:pt idx="1">
                  <c:v>0.53</c:v>
                </c:pt>
                <c:pt idx="2">
                  <c:v>0.65</c:v>
                </c:pt>
                <c:pt idx="3">
                  <c:v>0.56000000000000005</c:v>
                </c:pt>
                <c:pt idx="4">
                  <c:v>0.57999999999999996</c:v>
                </c:pt>
                <c:pt idx="5">
                  <c:v>0.45</c:v>
                </c:pt>
                <c:pt idx="6">
                  <c:v>0.6</c:v>
                </c:pt>
                <c:pt idx="7">
                  <c:v>0.7</c:v>
                </c:pt>
                <c:pt idx="8">
                  <c:v>0.66</c:v>
                </c:pt>
                <c:pt idx="9">
                  <c:v>0.6</c:v>
                </c:pt>
                <c:pt idx="10">
                  <c:v>0.69</c:v>
                </c:pt>
                <c:pt idx="11">
                  <c:v>0.63</c:v>
                </c:pt>
              </c:numCache>
            </c:numRef>
          </c:val>
          <c:smooth val="0"/>
          <c:extLst xmlns:c16r2="http://schemas.microsoft.com/office/drawing/2015/06/chart">
            <c:ext xmlns:c16="http://schemas.microsoft.com/office/drawing/2014/chart" uri="{C3380CC4-5D6E-409C-BE32-E72D297353CC}">
              <c16:uniqueId val="{00000001-3777-4C4F-B3FF-A84860896A91}"/>
            </c:ext>
          </c:extLst>
        </c:ser>
        <c:ser>
          <c:idx val="2"/>
          <c:order val="2"/>
          <c:tx>
            <c:strRef>
              <c:f>'[2]S-28'!$A$6</c:f>
              <c:strCache>
                <c:ptCount val="1"/>
                <c:pt idx="0">
                  <c:v>Mērķa vērtība, LV-2030</c:v>
                </c:pt>
              </c:strCache>
            </c:strRef>
          </c:tx>
          <c:spPr>
            <a:ln>
              <a:noFill/>
            </a:ln>
          </c:spPr>
          <c:marker>
            <c:symbol val="square"/>
            <c:size val="8"/>
            <c:spPr>
              <a:solidFill>
                <a:srgbClr val="0000FF"/>
              </a:solidFill>
              <a:ln>
                <a:solidFill>
                  <a:srgbClr val="0000FF"/>
                </a:solidFill>
              </a:ln>
            </c:spPr>
          </c:marker>
          <c:cat>
            <c:strRef>
              <c:f>'@93'!$B$4:$AB$4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strCache>
            </c:strRef>
          </c:cat>
          <c:val>
            <c:numRef>
              <c:f>'[2]S-28'!$B$6:$AB$6</c:f>
              <c:numCache>
                <c:formatCode>General</c:formatCode>
                <c:ptCount val="27"/>
                <c:pt idx="26">
                  <c:v>3</c:v>
                </c:pt>
              </c:numCache>
            </c:numRef>
          </c:val>
          <c:smooth val="0"/>
          <c:extLst xmlns:c16r2="http://schemas.microsoft.com/office/drawing/2015/06/chart">
            <c:ext xmlns:c16="http://schemas.microsoft.com/office/drawing/2014/chart" uri="{C3380CC4-5D6E-409C-BE32-E72D297353CC}">
              <c16:uniqueId val="{00000002-3777-4C4F-B3FF-A84860896A91}"/>
            </c:ext>
          </c:extLst>
        </c:ser>
        <c:ser>
          <c:idx val="3"/>
          <c:order val="3"/>
          <c:tx>
            <c:strRef>
              <c:f>'[2]S-28'!$A$8</c:f>
              <c:strCache>
                <c:ptCount val="1"/>
                <c:pt idx="0">
                  <c:v>Mērķa vērtības, NAP</c:v>
                </c:pt>
              </c:strCache>
            </c:strRef>
          </c:tx>
          <c:spPr>
            <a:ln>
              <a:noFill/>
            </a:ln>
          </c:spPr>
          <c:marker>
            <c:symbol val="diamond"/>
            <c:size val="9"/>
            <c:spPr>
              <a:solidFill>
                <a:schemeClr val="bg1"/>
              </a:solidFill>
              <a:ln>
                <a:solidFill>
                  <a:srgbClr val="C00000"/>
                </a:solidFill>
              </a:ln>
            </c:spPr>
          </c:marker>
          <c:dLbls>
            <c:dLbl>
              <c:idx val="26"/>
              <c:layout>
                <c:manualLayout>
                  <c:x val="-2.5987006496751602E-2"/>
                  <c:y val="4.9902527985445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77-4C4F-B3FF-A84860896A9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'@93'!$B$4:$AB$4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strCache>
            </c:strRef>
          </c:cat>
          <c:val>
            <c:numRef>
              <c:f>'[2]S-28'!$B$8:$AB$8</c:f>
              <c:numCache>
                <c:formatCode>General</c:formatCode>
                <c:ptCount val="27"/>
                <c:pt idx="10">
                  <c:v>0.8</c:v>
                </c:pt>
                <c:pt idx="13">
                  <c:v>1.2</c:v>
                </c:pt>
                <c:pt idx="16">
                  <c:v>1.5</c:v>
                </c:pt>
                <c:pt idx="26">
                  <c:v>3</c:v>
                </c:pt>
              </c:numCache>
            </c:numRef>
          </c:val>
          <c:smooth val="0"/>
          <c:extLst xmlns:c16r2="http://schemas.microsoft.com/office/drawing/2015/06/chart">
            <c:ext xmlns:c16="http://schemas.microsoft.com/office/drawing/2014/chart" uri="{C3380CC4-5D6E-409C-BE32-E72D297353CC}">
              <c16:uniqueId val="{00000004-3777-4C4F-B3FF-A84860896A91}"/>
            </c:ext>
          </c:extLst>
        </c:ser>
        <c:dLbls>
          <c:showLegendKey val="0"/>
          <c:showVal val="0"/>
          <c:showCatName val="0"/>
          <c:showSerName val="0"/>
          <c:showPercent val="0"/>
          <c:showBubbleSize val="0"/>
        </c:dLbls>
        <c:marker val="1"/>
        <c:smooth val="0"/>
        <c:axId val="214727496"/>
        <c:axId val="214726712"/>
      </c:lineChart>
      <c:catAx>
        <c:axId val="214727496"/>
        <c:scaling>
          <c:orientation val="minMax"/>
        </c:scaling>
        <c:delete val="0"/>
        <c:axPos val="b"/>
        <c:majorGridlines/>
        <c:numFmt formatCode="General" sourceLinked="0"/>
        <c:majorTickMark val="none"/>
        <c:minorTickMark val="none"/>
        <c:tickLblPos val="nextTo"/>
        <c:txPr>
          <a:bodyPr rot="-5400000" vert="horz"/>
          <a:lstStyle/>
          <a:p>
            <a:pPr>
              <a:defRPr/>
            </a:pPr>
            <a:endParaRPr lang="lv-LV"/>
          </a:p>
        </c:txPr>
        <c:crossAx val="214726712"/>
        <c:crosses val="autoZero"/>
        <c:auto val="1"/>
        <c:lblAlgn val="ctr"/>
        <c:lblOffset val="100"/>
        <c:noMultiLvlLbl val="0"/>
      </c:catAx>
      <c:valAx>
        <c:axId val="214726712"/>
        <c:scaling>
          <c:orientation val="minMax"/>
          <c:max val="3"/>
        </c:scaling>
        <c:delete val="0"/>
        <c:axPos val="l"/>
        <c:majorGridlines/>
        <c:title>
          <c:tx>
            <c:rich>
              <a:bodyPr rot="-5400000" vert="horz"/>
              <a:lstStyle/>
              <a:p>
                <a:pPr>
                  <a:defRPr/>
                </a:pPr>
                <a:r>
                  <a:rPr lang="lv-LV"/>
                  <a:t>I</a:t>
                </a:r>
                <a:r>
                  <a:rPr lang="en-US"/>
                  <a:t>zdevumi pētniecībai un attīstībai, %</a:t>
                </a:r>
              </a:p>
            </c:rich>
          </c:tx>
          <c:overlay val="0"/>
        </c:title>
        <c:numFmt formatCode="General" sourceLinked="1"/>
        <c:majorTickMark val="none"/>
        <c:minorTickMark val="none"/>
        <c:tickLblPos val="nextTo"/>
        <c:crossAx val="214727496"/>
        <c:crosses val="autoZero"/>
        <c:crossBetween val="midCat"/>
      </c:valAx>
    </c:plotArea>
    <c:legend>
      <c:legendPos val="b"/>
      <c:layout>
        <c:manualLayout>
          <c:xMode val="edge"/>
          <c:yMode val="edge"/>
          <c:x val="0.117966056341908"/>
          <c:y val="0.86250944881773695"/>
          <c:w val="0.83203390430768798"/>
          <c:h val="0.11877710318772"/>
        </c:manualLayout>
      </c:layout>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'[2]S-31'!$A$5</c:f>
              <c:strCache>
                <c:ptCount val="1"/>
                <c:pt idx="0">
                  <c:v>Faktiskais AER īpatsvars</c:v>
                </c:pt>
              </c:strCache>
            </c:strRef>
          </c:tx>
          <c:spPr>
            <a:ln>
              <a:solidFill>
                <a:srgbClr val="006600"/>
              </a:solidFill>
            </a:ln>
          </c:spPr>
          <c:marker>
            <c:spPr>
              <a:solidFill>
                <a:schemeClr val="bg1"/>
              </a:solidFill>
              <a:ln>
                <a:solidFill>
                  <a:srgbClr val="006600"/>
                </a:solidFill>
              </a:ln>
            </c:spPr>
          </c:marker>
          <c:cat>
            <c:strRef>
              <c:f>'@196'!$B$4:$AB$4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strCache>
            </c:strRef>
          </c:cat>
          <c:val>
            <c:numRef>
              <c:f>'@196'!$B$5:$AB$5</c:f>
              <c:numCache>
                <c:formatCode>General</c:formatCode>
                <c:ptCount val="27"/>
                <c:pt idx="0">
                  <c:v>32.800000000000011</c:v>
                </c:pt>
                <c:pt idx="1">
                  <c:v>32.300000000000011</c:v>
                </c:pt>
                <c:pt idx="2">
                  <c:v>31.1</c:v>
                </c:pt>
                <c:pt idx="3">
                  <c:v>29.6</c:v>
                </c:pt>
                <c:pt idx="4">
                  <c:v>29.8</c:v>
                </c:pt>
                <c:pt idx="5">
                  <c:v>34.300000000000011</c:v>
                </c:pt>
                <c:pt idx="6">
                  <c:v>32.5</c:v>
                </c:pt>
                <c:pt idx="7">
                  <c:v>33.5</c:v>
                </c:pt>
                <c:pt idx="8">
                  <c:v>35.800000000000011</c:v>
                </c:pt>
                <c:pt idx="9">
                  <c:v>37.1</c:v>
                </c:pt>
                <c:pt idx="10">
                  <c:v>38.700000000000003</c:v>
                </c:pt>
                <c:pt idx="11">
                  <c:v>37.6</c:v>
                </c:pt>
              </c:numCache>
            </c:numRef>
          </c:val>
          <c:smooth val="0"/>
          <c:extLst xmlns:c16r2="http://schemas.microsoft.com/office/drawing/2015/06/chart">
            <c:ext xmlns:c16="http://schemas.microsoft.com/office/drawing/2014/chart" uri="{C3380CC4-5D6E-409C-BE32-E72D297353CC}">
              <c16:uniqueId val="{00000000-5EE9-4DA9-A6DB-D8D44EE9D95F}"/>
            </c:ext>
          </c:extLst>
        </c:ser>
        <c:ser>
          <c:idx val="1"/>
          <c:order val="1"/>
          <c:tx>
            <c:strRef>
              <c:f>'[2]S-31'!$A$6</c:f>
              <c:strCache>
                <c:ptCount val="1"/>
                <c:pt idx="0">
                  <c:v>Mērķa vērtības, NAP</c:v>
                </c:pt>
              </c:strCache>
            </c:strRef>
          </c:tx>
          <c:spPr>
            <a:ln>
              <a:noFill/>
            </a:ln>
          </c:spPr>
          <c:dLbls>
            <c:dLbl>
              <c:idx val="10"/>
              <c:layout>
                <c:manualLayout>
                  <c:x val="-3.6883356385431099E-3"/>
                  <c:y val="-2.073210024949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E9-4DA9-A6DB-D8D44EE9D95F}"/>
                </c:ext>
                <c:ext xmlns:c15="http://schemas.microsoft.com/office/drawing/2012/chart" uri="{CE6537A1-D6FC-4f65-9D91-7224C49458BB}"/>
              </c:extLst>
            </c:dLbl>
            <c:dLbl>
              <c:idx val="13"/>
              <c:layout>
                <c:manualLayout>
                  <c:x val="-7.3766712770861496E-3"/>
                  <c:y val="-3.36896629054364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E9-4DA9-A6DB-D8D44EE9D95F}"/>
                </c:ext>
                <c:ext xmlns:c15="http://schemas.microsoft.com/office/drawing/2012/chart" uri="{CE6537A1-D6FC-4f65-9D91-7224C49458BB}"/>
              </c:extLst>
            </c:dLbl>
            <c:dLbl>
              <c:idx val="16"/>
              <c:layout>
                <c:manualLayout>
                  <c:x val="-7.3766712770862103E-3"/>
                  <c:y val="-3.36896629054364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E9-4DA9-A6DB-D8D44EE9D95F}"/>
                </c:ext>
                <c:ext xmlns:c15="http://schemas.microsoft.com/office/drawing/2012/chart" uri="{CE6537A1-D6FC-4f65-9D91-7224C49458BB}"/>
              </c:extLst>
            </c:dLbl>
            <c:spPr>
              <a:noFill/>
              <a:ln>
                <a:noFill/>
              </a:ln>
              <a:effectLst/>
            </c:spPr>
            <c:txPr>
              <a:bodyPr/>
              <a:lstStyle/>
              <a:p>
                <a:pPr>
                  <a:defRPr sz="900" b="1"/>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'@196'!$B$4:$AB$4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strCache>
            </c:strRef>
          </c:cat>
          <c:val>
            <c:numRef>
              <c:f>'[2]S-31'!$B$6:$AB$6</c:f>
              <c:numCache>
                <c:formatCode>General</c:formatCode>
                <c:ptCount val="27"/>
                <c:pt idx="10">
                  <c:v>35</c:v>
                </c:pt>
                <c:pt idx="13">
                  <c:v>37</c:v>
                </c:pt>
                <c:pt idx="16">
                  <c:v>40</c:v>
                </c:pt>
              </c:numCache>
            </c:numRef>
          </c:val>
          <c:smooth val="0"/>
          <c:extLst xmlns:c16r2="http://schemas.microsoft.com/office/drawing/2015/06/chart">
            <c:ext xmlns:c16="http://schemas.microsoft.com/office/drawing/2014/chart" uri="{C3380CC4-5D6E-409C-BE32-E72D297353CC}">
              <c16:uniqueId val="{00000004-5EE9-4DA9-A6DB-D8D44EE9D95F}"/>
            </c:ext>
          </c:extLst>
        </c:ser>
        <c:ser>
          <c:idx val="2"/>
          <c:order val="2"/>
          <c:tx>
            <c:strRef>
              <c:f>'[2]S-31'!$A$7</c:f>
              <c:strCache>
                <c:ptCount val="1"/>
                <c:pt idx="0">
                  <c:v>Mērķa vērtība, LV-2030</c:v>
                </c:pt>
              </c:strCache>
            </c:strRef>
          </c:tx>
          <c:spPr>
            <a:ln>
              <a:noFill/>
            </a:ln>
          </c:spPr>
          <c:marker>
            <c:symbol val="square"/>
            <c:size val="7"/>
            <c:spPr>
              <a:solidFill>
                <a:schemeClr val="bg1"/>
              </a:solidFill>
              <a:ln>
                <a:solidFill>
                  <a:srgbClr val="C00000"/>
                </a:solidFill>
              </a:ln>
            </c:spPr>
          </c:marker>
          <c:dLbls>
            <c:dLbl>
              <c:idx val="26"/>
              <c:layout>
                <c:manualLayout>
                  <c:x val="-2.0285846011987099E-2"/>
                  <c:y val="-3.3689662905436499E-2"/>
                </c:manualLayout>
              </c:layout>
              <c:spPr/>
              <c:txPr>
                <a:bodyPr/>
                <a:lstStyle/>
                <a:p>
                  <a:pPr>
                    <a:defRPr sz="900" b="1"/>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E9-4DA9-A6DB-D8D44EE9D95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lv-LV"/>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'@196'!$B$4:$AB$4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pt idx="26">
                  <c:v>2030</c:v>
                </c:pt>
              </c:strCache>
            </c:strRef>
          </c:cat>
          <c:val>
            <c:numRef>
              <c:f>'[2]S-31'!$B$7:$AB$7</c:f>
              <c:numCache>
                <c:formatCode>General</c:formatCode>
                <c:ptCount val="27"/>
                <c:pt idx="26">
                  <c:v>50</c:v>
                </c:pt>
              </c:numCache>
            </c:numRef>
          </c:val>
          <c:smooth val="0"/>
          <c:extLst xmlns:c16r2="http://schemas.microsoft.com/office/drawing/2015/06/chart">
            <c:ext xmlns:c16="http://schemas.microsoft.com/office/drawing/2014/chart" uri="{C3380CC4-5D6E-409C-BE32-E72D297353CC}">
              <c16:uniqueId val="{00000006-5EE9-4DA9-A6DB-D8D44EE9D95F}"/>
            </c:ext>
          </c:extLst>
        </c:ser>
        <c:dLbls>
          <c:showLegendKey val="0"/>
          <c:showVal val="0"/>
          <c:showCatName val="0"/>
          <c:showSerName val="0"/>
          <c:showPercent val="0"/>
          <c:showBubbleSize val="0"/>
        </c:dLbls>
        <c:marker val="1"/>
        <c:smooth val="0"/>
        <c:axId val="214728672"/>
        <c:axId val="214729064"/>
      </c:lineChart>
      <c:catAx>
        <c:axId val="214728672"/>
        <c:scaling>
          <c:orientation val="minMax"/>
        </c:scaling>
        <c:delete val="0"/>
        <c:axPos val="b"/>
        <c:majorGridlines/>
        <c:numFmt formatCode="General" sourceLinked="0"/>
        <c:majorTickMark val="none"/>
        <c:minorTickMark val="none"/>
        <c:tickLblPos val="nextTo"/>
        <c:txPr>
          <a:bodyPr rot="-5400000" vert="horz"/>
          <a:lstStyle/>
          <a:p>
            <a:pPr>
              <a:defRPr sz="900"/>
            </a:pPr>
            <a:endParaRPr lang="lv-LV"/>
          </a:p>
        </c:txPr>
        <c:crossAx val="214729064"/>
        <c:crosses val="autoZero"/>
        <c:auto val="1"/>
        <c:lblAlgn val="ctr"/>
        <c:lblOffset val="100"/>
        <c:noMultiLvlLbl val="0"/>
      </c:catAx>
      <c:valAx>
        <c:axId val="214729064"/>
        <c:scaling>
          <c:orientation val="minMax"/>
          <c:max val="55"/>
          <c:min val="25"/>
        </c:scaling>
        <c:delete val="0"/>
        <c:axPos val="l"/>
        <c:majorGridlines/>
        <c:title>
          <c:tx>
            <c:rich>
              <a:bodyPr rot="-5400000" vert="horz"/>
              <a:lstStyle/>
              <a:p>
                <a:pPr>
                  <a:defRPr sz="1000"/>
                </a:pPr>
                <a:r>
                  <a:rPr lang="lv-LV" sz="1000"/>
                  <a:t>Atjaunojamo energoresursu īpatsvars patēriņā, %</a:t>
                </a:r>
              </a:p>
            </c:rich>
          </c:tx>
          <c:overlay val="0"/>
        </c:title>
        <c:numFmt formatCode="General" sourceLinked="1"/>
        <c:majorTickMark val="none"/>
        <c:minorTickMark val="none"/>
        <c:tickLblPos val="nextTo"/>
        <c:crossAx val="214728672"/>
        <c:crosses val="autoZero"/>
        <c:crossBetween val="midCat"/>
        <c:majorUnit val="5"/>
      </c:valAx>
    </c:plotArea>
    <c:legend>
      <c:legendPos val="b"/>
      <c:overlay val="0"/>
      <c:txPr>
        <a:bodyPr/>
        <a:lstStyle/>
        <a:p>
          <a:pPr>
            <a:defRPr sz="900"/>
          </a:pPr>
          <a:endParaRPr lang="lv-LV"/>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'@240'!$A$4</c:f>
              <c:strCache>
                <c:ptCount val="1"/>
                <c:pt idx="0">
                  <c:v> Ekonomikas spriedzes indekss</c:v>
                </c:pt>
              </c:strCache>
            </c:strRef>
          </c:tx>
          <c:spPr>
            <a:ln>
              <a:solidFill>
                <a:srgbClr val="FF0000"/>
              </a:solidFill>
            </a:ln>
          </c:spPr>
          <c:marker>
            <c:spPr>
              <a:solidFill>
                <a:schemeClr val="bg1"/>
              </a:solidFill>
              <a:ln>
                <a:solidFill>
                  <a:srgbClr val="FF0000"/>
                </a:solidFill>
              </a:ln>
            </c:spPr>
          </c:marker>
          <c:cat>
            <c:numRef>
              <c:f>'@240'!$B$3:$Q$3</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5">
                  <c:v>2020</c:v>
                </c:pt>
              </c:numCache>
            </c:numRef>
          </c:cat>
          <c:val>
            <c:numRef>
              <c:f>'@240'!$B$4:$Q$4</c:f>
              <c:numCache>
                <c:formatCode>General</c:formatCode>
                <c:ptCount val="16"/>
                <c:pt idx="0">
                  <c:v>74.099999999999994</c:v>
                </c:pt>
                <c:pt idx="1">
                  <c:v>67.3</c:v>
                </c:pt>
                <c:pt idx="2">
                  <c:v>61.5</c:v>
                </c:pt>
                <c:pt idx="3">
                  <c:v>55.7</c:v>
                </c:pt>
                <c:pt idx="4">
                  <c:v>62.9</c:v>
                </c:pt>
                <c:pt idx="5">
                  <c:v>66.3</c:v>
                </c:pt>
                <c:pt idx="6">
                  <c:v>68.900000000000006</c:v>
                </c:pt>
                <c:pt idx="7">
                  <c:v>65.7</c:v>
                </c:pt>
                <c:pt idx="8">
                  <c:v>58.3</c:v>
                </c:pt>
                <c:pt idx="9">
                  <c:v>53</c:v>
                </c:pt>
                <c:pt idx="10">
                  <c:v>47.1</c:v>
                </c:pt>
                <c:pt idx="11">
                  <c:v>43.9</c:v>
                </c:pt>
              </c:numCache>
            </c:numRef>
          </c:val>
          <c:smooth val="0"/>
          <c:extLst xmlns:c16r2="http://schemas.microsoft.com/office/drawing/2015/06/chart">
            <c:ext xmlns:c16="http://schemas.microsoft.com/office/drawing/2014/chart" uri="{C3380CC4-5D6E-409C-BE32-E72D297353CC}">
              <c16:uniqueId val="{00000000-D36F-45B8-A68F-91861F0B5EBD}"/>
            </c:ext>
          </c:extLst>
        </c:ser>
        <c:ser>
          <c:idx val="1"/>
          <c:order val="1"/>
          <c:tx>
            <c:strRef>
              <c:f>'@240'!$A$5</c:f>
              <c:strCache>
                <c:ptCount val="1"/>
                <c:pt idx="0">
                  <c:v>Mērķa vērtība</c:v>
                </c:pt>
              </c:strCache>
            </c:strRef>
          </c:tx>
          <c:spPr>
            <a:ln>
              <a:noFill/>
            </a:ln>
          </c:spPr>
          <c:dLbls>
            <c:dLbl>
              <c:idx val="12"/>
              <c:layout>
                <c:manualLayout>
                  <c:x val="0"/>
                  <c:y val="2.7303757527344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6F-45B8-A68F-91861F0B5EBD}"/>
                </c:ext>
                <c:ext xmlns:c15="http://schemas.microsoft.com/office/drawing/2012/chart" uri="{CE6537A1-D6FC-4f65-9D91-7224C49458BB}"/>
              </c:extLst>
            </c:dLbl>
            <c:dLbl>
              <c:idx val="15"/>
              <c:layout>
                <c:manualLayout>
                  <c:x val="-5.5641421947449803E-2"/>
                  <c:y val="-3.6405010036460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6F-45B8-A68F-91861F0B5E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'@240'!$B$3:$Q$3</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5">
                  <c:v>2020</c:v>
                </c:pt>
              </c:numCache>
            </c:numRef>
          </c:cat>
          <c:val>
            <c:numRef>
              <c:f>'@240'!$B$5:$Q$5</c:f>
              <c:numCache>
                <c:formatCode>General</c:formatCode>
                <c:ptCount val="16"/>
                <c:pt idx="9">
                  <c:v>55</c:v>
                </c:pt>
                <c:pt idx="12">
                  <c:v>49</c:v>
                </c:pt>
                <c:pt idx="15">
                  <c:v>42</c:v>
                </c:pt>
              </c:numCache>
            </c:numRef>
          </c:val>
          <c:smooth val="0"/>
          <c:extLst xmlns:c16r2="http://schemas.microsoft.com/office/drawing/2015/06/chart">
            <c:ext xmlns:c16="http://schemas.microsoft.com/office/drawing/2014/chart" uri="{C3380CC4-5D6E-409C-BE32-E72D297353CC}">
              <c16:uniqueId val="{00000003-D36F-45B8-A68F-91861F0B5EBD}"/>
            </c:ext>
          </c:extLst>
        </c:ser>
        <c:dLbls>
          <c:showLegendKey val="0"/>
          <c:showVal val="0"/>
          <c:showCatName val="0"/>
          <c:showSerName val="0"/>
          <c:showPercent val="0"/>
          <c:showBubbleSize val="0"/>
        </c:dLbls>
        <c:marker val="1"/>
        <c:smooth val="0"/>
        <c:axId val="214718088"/>
        <c:axId val="214718480"/>
      </c:lineChart>
      <c:catAx>
        <c:axId val="214718088"/>
        <c:scaling>
          <c:orientation val="minMax"/>
        </c:scaling>
        <c:delete val="0"/>
        <c:axPos val="b"/>
        <c:majorGridlines/>
        <c:numFmt formatCode="General" sourceLinked="1"/>
        <c:majorTickMark val="none"/>
        <c:minorTickMark val="none"/>
        <c:tickLblPos val="nextTo"/>
        <c:crossAx val="214718480"/>
        <c:crosses val="autoZero"/>
        <c:auto val="1"/>
        <c:lblAlgn val="ctr"/>
        <c:lblOffset val="100"/>
        <c:noMultiLvlLbl val="0"/>
      </c:catAx>
      <c:valAx>
        <c:axId val="214718480"/>
        <c:scaling>
          <c:orientation val="minMax"/>
        </c:scaling>
        <c:delete val="0"/>
        <c:axPos val="l"/>
        <c:majorGridlines/>
        <c:title>
          <c:tx>
            <c:rich>
              <a:bodyPr rot="-5400000" vert="horz"/>
              <a:lstStyle/>
              <a:p>
                <a:pPr>
                  <a:defRPr/>
                </a:pPr>
                <a:r>
                  <a:rPr lang="en-US"/>
                  <a:t>Ekonomiskās spriedzes indekss</a:t>
                </a:r>
              </a:p>
            </c:rich>
          </c:tx>
          <c:overlay val="0"/>
        </c:title>
        <c:numFmt formatCode="General" sourceLinked="1"/>
        <c:majorTickMark val="none"/>
        <c:minorTickMark val="none"/>
        <c:tickLblPos val="nextTo"/>
        <c:crossAx val="214718088"/>
        <c:crosses val="autoZero"/>
        <c:crossBetween val="midCat"/>
      </c:valAx>
    </c:plotArea>
    <c:legend>
      <c:legendPos val="b"/>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Graph!$B$36</c:f>
              <c:strCache>
                <c:ptCount val="1"/>
                <c:pt idx="0">
                  <c:v>LRA</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Graph!$C$36</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F538-42F5-8400-AD38F945A3C0}"/>
            </c:ext>
          </c:extLst>
        </c:ser>
        <c:ser>
          <c:idx val="1"/>
          <c:order val="1"/>
          <c:tx>
            <c:strRef>
              <c:f>Graph!$B$37</c:f>
              <c:strCache>
                <c:ptCount val="1"/>
                <c:pt idx="0">
                  <c:v>NSL</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Graph!$C$37</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F538-42F5-8400-AD38F945A3C0}"/>
            </c:ext>
          </c:extLst>
        </c:ser>
        <c:ser>
          <c:idx val="2"/>
          <c:order val="2"/>
          <c:tx>
            <c:strRef>
              <c:f>Graph!$B$38</c:f>
              <c:strCache>
                <c:ptCount val="1"/>
                <c:pt idx="0">
                  <c:v>V</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Graph!$C$38</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F538-42F5-8400-AD38F945A3C0}"/>
            </c:ext>
          </c:extLst>
        </c:ser>
        <c:ser>
          <c:idx val="3"/>
          <c:order val="3"/>
          <c:tx>
            <c:strRef>
              <c:f>Graph!$B$39</c:f>
              <c:strCache>
                <c:ptCount val="1"/>
                <c:pt idx="0">
                  <c:v>N/A</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Graph!$C$39</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F538-42F5-8400-AD38F945A3C0}"/>
            </c:ext>
          </c:extLst>
        </c:ser>
        <c:ser>
          <c:idx val="4"/>
          <c:order val="4"/>
          <c:tx>
            <c:strRef>
              <c:f>Graph!$B$40</c:f>
              <c:strCache>
                <c:ptCount val="1"/>
                <c:pt idx="0">
                  <c:v>RP/ZRP</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Graph!$C$40</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4-F538-42F5-8400-AD38F945A3C0}"/>
            </c:ext>
          </c:extLst>
        </c:ser>
        <c:ser>
          <c:idx val="5"/>
          <c:order val="5"/>
          <c:tx>
            <c:strRef>
              <c:f>Graph!$B$41</c:f>
              <c:strCache>
                <c:ptCount val="1"/>
                <c:pt idx="0">
                  <c:v>ZZS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Graph!$C$41</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5-F538-42F5-8400-AD38F945A3C0}"/>
            </c:ext>
          </c:extLst>
        </c:ser>
        <c:ser>
          <c:idx val="6"/>
          <c:order val="6"/>
          <c:tx>
            <c:strRef>
              <c:f>Graph!$B$42</c:f>
              <c:strCache>
                <c:ptCount val="1"/>
                <c:pt idx="0">
                  <c:v>VL-TB/LNNK</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Graph!$C$42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6-F538-42F5-8400-AD38F945A3C0}"/>
            </c:ext>
          </c:extLst>
        </c:ser>
        <c:ser>
          <c:idx val="7"/>
          <c:order val="7"/>
          <c:tx>
            <c:strRef>
              <c:f>Graph!$B$43</c:f>
              <c:strCache>
                <c:ptCount val="1"/>
                <c:pt idx="0">
                  <c:v>SC/S</c:v>
                </c:pt>
              </c:strCache>
            </c:strRef>
          </c:tx>
          <c:spPr>
            <a:solidFill>
              <a:schemeClr val="accent3">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Graph!$C$35</c:f>
              <c:strCache>
                <c:ptCount val="1"/>
                <c:pt idx="0">
                  <c:v>Skaits</c:v>
                </c:pt>
              </c:strCache>
            </c:strRef>
          </c:cat>
          <c:val>
            <c:numRef>
              <c:f>Graph!$C$43</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7-F538-42F5-8400-AD38F945A3C0}"/>
            </c:ext>
          </c:extLst>
        </c:ser>
        <c:dLbls>
          <c:showLegendKey val="0"/>
          <c:showVal val="1"/>
          <c:showCatName val="0"/>
          <c:showSerName val="0"/>
          <c:showPercent val="0"/>
          <c:showBubbleSize val="0"/>
        </c:dLbls>
        <c:gapWidth val="150"/>
        <c:overlap val="100"/>
        <c:axId val="216878320"/>
        <c:axId val="216885376"/>
      </c:barChart>
      <c:catAx>
        <c:axId val="216878320"/>
        <c:scaling>
          <c:orientation val="minMax"/>
        </c:scaling>
        <c:delete val="1"/>
        <c:axPos val="l"/>
        <c:numFmt formatCode="General" sourceLinked="0"/>
        <c:majorTickMark val="out"/>
        <c:minorTickMark val="none"/>
        <c:tickLblPos val="nextTo"/>
        <c:crossAx val="216885376"/>
        <c:crosses val="autoZero"/>
        <c:auto val="1"/>
        <c:lblAlgn val="ctr"/>
        <c:lblOffset val="100"/>
        <c:noMultiLvlLbl val="0"/>
      </c:catAx>
      <c:valAx>
        <c:axId val="216885376"/>
        <c:scaling>
          <c:orientation val="minMax"/>
        </c:scaling>
        <c:delete val="0"/>
        <c:axPos val="b"/>
        <c:majorGridlines/>
        <c:numFmt formatCode="0%" sourceLinked="1"/>
        <c:majorTickMark val="out"/>
        <c:minorTickMark val="none"/>
        <c:tickLblPos val="nextTo"/>
        <c:crossAx val="216878320"/>
        <c:crosses val="autoZero"/>
        <c:crossBetween val="between"/>
      </c:valAx>
    </c:plotArea>
    <c:legend>
      <c:legendPos val="t"/>
      <c:overlay val="0"/>
    </c:legend>
    <c:plotVisOnly val="1"/>
    <c:dispBlanksAs val="gap"/>
    <c:showDLblsOverMax val="0"/>
  </c:chart>
  <c:spPr>
    <a:ln>
      <a:noFill/>
    </a:ln>
  </c:spPr>
  <c:txPr>
    <a:bodyPr/>
    <a:lstStyle/>
    <a:p>
      <a:pPr>
        <a:defRPr sz="800"/>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84971959894997E-2"/>
          <c:y val="4.2964614362963699E-2"/>
          <c:w val="0.85658242419209296"/>
          <c:h val="0.62654658927387696"/>
        </c:manualLayout>
      </c:layout>
      <c:lineChart>
        <c:grouping val="standard"/>
        <c:varyColors val="0"/>
        <c:ser>
          <c:idx val="0"/>
          <c:order val="0"/>
          <c:tx>
            <c:strRef>
              <c:f>'@265, 266, 267'!$A$6</c:f>
              <c:strCache>
                <c:ptCount val="1"/>
                <c:pt idx="0">
                  <c:v>NRI ģimenēm, kurās viens pieaugušais audzina bērnus</c:v>
                </c:pt>
              </c:strCache>
            </c:strRef>
          </c:tx>
          <c:marker>
            <c:spPr>
              <a:solidFill>
                <a:schemeClr val="bg1"/>
              </a:solidFill>
            </c:spPr>
          </c:marker>
          <c:cat>
            <c:numRef>
              <c:f>'@265, 266, 267'!$B$5:$R$5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'@265, 266, 267'!$B$6:$K$6</c:f>
              <c:numCache>
                <c:formatCode>General</c:formatCode>
                <c:ptCount val="10"/>
                <c:pt idx="0">
                  <c:v>32.1</c:v>
                </c:pt>
                <c:pt idx="1">
                  <c:v>43.8</c:v>
                </c:pt>
                <c:pt idx="2">
                  <c:v>37</c:v>
                </c:pt>
                <c:pt idx="3">
                  <c:v>37.1</c:v>
                </c:pt>
                <c:pt idx="4">
                  <c:v>38.700000000000003</c:v>
                </c:pt>
                <c:pt idx="5">
                  <c:v>39</c:v>
                </c:pt>
                <c:pt idx="6">
                  <c:v>37.6</c:v>
                </c:pt>
                <c:pt idx="7">
                  <c:v>41.5</c:v>
                </c:pt>
                <c:pt idx="8">
                  <c:v>38.300000000000011</c:v>
                </c:pt>
                <c:pt idx="9">
                  <c:v>41.1</c:v>
                </c:pt>
              </c:numCache>
            </c:numRef>
          </c:val>
          <c:smooth val="0"/>
          <c:extLst xmlns:c16r2="http://schemas.microsoft.com/office/drawing/2015/06/chart">
            <c:ext xmlns:c16="http://schemas.microsoft.com/office/drawing/2014/chart" uri="{C3380CC4-5D6E-409C-BE32-E72D297353CC}">
              <c16:uniqueId val="{00000000-7961-4487-8927-E717AC70C3FD}"/>
            </c:ext>
          </c:extLst>
        </c:ser>
        <c:ser>
          <c:idx val="1"/>
          <c:order val="1"/>
          <c:tx>
            <c:strRef>
              <c:f>'@265, 266, 267'!$A$7</c:f>
              <c:strCache>
                <c:ptCount val="1"/>
                <c:pt idx="0">
                  <c:v>Mērķa vērtības</c:v>
                </c:pt>
              </c:strCache>
            </c:strRef>
          </c:tx>
          <c:spPr>
            <a:ln>
              <a:noFill/>
            </a:ln>
          </c:spPr>
          <c:marker>
            <c:symbol val="diamond"/>
            <c:size val="7"/>
            <c:spPr>
              <a:solidFill>
                <a:srgbClr val="0070C0"/>
              </a:solidFill>
              <a:ln>
                <a:solidFill>
                  <a:srgbClr val="0070C0"/>
                </a:solidFill>
              </a:ln>
            </c:spPr>
          </c:marker>
          <c:dLbls>
            <c:dLbl>
              <c:idx val="16"/>
              <c:layout>
                <c:manualLayout>
                  <c:x val="-4.54076293593315E-2"/>
                  <c:y val="-2.3063055210139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61-4487-8927-E717AC70C3FD}"/>
                </c:ext>
                <c:ext xmlns:c15="http://schemas.microsoft.com/office/drawing/2012/chart" uri="{CE6537A1-D6FC-4f65-9D91-7224C49458BB}"/>
              </c:extLst>
            </c:dLbl>
            <c:spPr>
              <a:noFill/>
              <a:ln>
                <a:noFill/>
              </a:ln>
              <a:effectLst/>
            </c:spPr>
            <c:txPr>
              <a:bodyPr/>
              <a:lstStyle/>
              <a:p>
                <a:pPr>
                  <a:defRPr sz="900" b="1"/>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'@265, 266, 267'!$B$5:$R$5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'@265, 266, 267'!$B$7:$R$7</c:f>
              <c:numCache>
                <c:formatCode>General</c:formatCode>
                <c:ptCount val="17"/>
                <c:pt idx="10">
                  <c:v>37</c:v>
                </c:pt>
                <c:pt idx="13">
                  <c:v>34</c:v>
                </c:pt>
                <c:pt idx="16">
                  <c:v>30</c:v>
                </c:pt>
              </c:numCache>
            </c:numRef>
          </c:val>
          <c:smooth val="0"/>
          <c:extLst xmlns:c16r2="http://schemas.microsoft.com/office/drawing/2015/06/chart">
            <c:ext xmlns:c16="http://schemas.microsoft.com/office/drawing/2014/chart" uri="{C3380CC4-5D6E-409C-BE32-E72D297353CC}">
              <c16:uniqueId val="{00000002-7961-4487-8927-E717AC70C3FD}"/>
            </c:ext>
          </c:extLst>
        </c:ser>
        <c:ser>
          <c:idx val="2"/>
          <c:order val="2"/>
          <c:tx>
            <c:strRef>
              <c:f>'@265, 266, 267'!$A$8</c:f>
              <c:strCache>
                <c:ptCount val="1"/>
                <c:pt idx="0">
                  <c:v>NRI mājsaimniecībām, ko veido 2 pieaugušie un &gt;=3 apgādībā esošu bērnu</c:v>
                </c:pt>
              </c:strCache>
            </c:strRef>
          </c:tx>
          <c:marker>
            <c:symbol val="square"/>
            <c:size val="7"/>
            <c:spPr>
              <a:solidFill>
                <a:schemeClr val="bg1"/>
              </a:solidFill>
            </c:spPr>
          </c:marker>
          <c:cat>
            <c:numRef>
              <c:f>'@265, 266, 267'!$B$5:$R$5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'@265, 266, 267'!$B$8:$K$8</c:f>
              <c:numCache>
                <c:formatCode>General</c:formatCode>
                <c:ptCount val="10"/>
                <c:pt idx="0">
                  <c:v>39.4</c:v>
                </c:pt>
                <c:pt idx="1">
                  <c:v>56.2</c:v>
                </c:pt>
                <c:pt idx="2">
                  <c:v>39.700000000000003</c:v>
                </c:pt>
                <c:pt idx="3">
                  <c:v>33.9</c:v>
                </c:pt>
                <c:pt idx="4">
                  <c:v>41.2</c:v>
                </c:pt>
                <c:pt idx="5">
                  <c:v>37.6</c:v>
                </c:pt>
                <c:pt idx="6">
                  <c:v>37.1</c:v>
                </c:pt>
                <c:pt idx="7">
                  <c:v>35.9</c:v>
                </c:pt>
                <c:pt idx="8">
                  <c:v>32.6</c:v>
                </c:pt>
                <c:pt idx="9">
                  <c:v>27.7</c:v>
                </c:pt>
              </c:numCache>
            </c:numRef>
          </c:val>
          <c:smooth val="0"/>
          <c:extLst xmlns:c16r2="http://schemas.microsoft.com/office/drawing/2015/06/chart">
            <c:ext xmlns:c16="http://schemas.microsoft.com/office/drawing/2014/chart" uri="{C3380CC4-5D6E-409C-BE32-E72D297353CC}">
              <c16:uniqueId val="{00000003-7961-4487-8927-E717AC70C3FD}"/>
            </c:ext>
          </c:extLst>
        </c:ser>
        <c:ser>
          <c:idx val="3"/>
          <c:order val="3"/>
          <c:tx>
            <c:strRef>
              <c:f>'@265, 266, 267'!$A$9</c:f>
              <c:strCache>
                <c:ptCount val="1"/>
                <c:pt idx="0">
                  <c:v>Mērķa vērtības</c:v>
                </c:pt>
              </c:strCache>
            </c:strRef>
          </c:tx>
          <c:spPr>
            <a:ln>
              <a:noFill/>
            </a:ln>
          </c:spPr>
          <c:marker>
            <c:symbol val="square"/>
            <c:size val="7"/>
            <c:spPr>
              <a:solidFill>
                <a:schemeClr val="accent3">
                  <a:lumMod val="75000"/>
                </a:schemeClr>
              </a:solidFill>
              <a:ln>
                <a:solidFill>
                  <a:schemeClr val="accent3">
                    <a:lumMod val="75000"/>
                  </a:schemeClr>
                </a:solidFill>
              </a:ln>
            </c:spPr>
          </c:marker>
          <c:dLbls>
            <c:dLbl>
              <c:idx val="16"/>
              <c:layout>
                <c:manualLayout>
                  <c:x val="-4.3343646206634598E-2"/>
                  <c:y val="4.3243228519011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61-4487-8927-E717AC70C3FD}"/>
                </c:ext>
                <c:ext xmlns:c15="http://schemas.microsoft.com/office/drawing/2012/chart" uri="{CE6537A1-D6FC-4f65-9D91-7224C49458BB}"/>
              </c:extLst>
            </c:dLbl>
            <c:spPr>
              <a:noFill/>
              <a:ln>
                <a:noFill/>
              </a:ln>
              <a:effectLst/>
            </c:spPr>
            <c:txPr>
              <a:bodyPr/>
              <a:lstStyle/>
              <a:p>
                <a:pPr>
                  <a:defRPr sz="900" b="1"/>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'@265, 266, 267'!$B$5:$R$5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'@265, 266, 267'!$B$9:$R$9</c:f>
              <c:numCache>
                <c:formatCode>General</c:formatCode>
                <c:ptCount val="17"/>
                <c:pt idx="10">
                  <c:v>34</c:v>
                </c:pt>
                <c:pt idx="13">
                  <c:v>30</c:v>
                </c:pt>
                <c:pt idx="16">
                  <c:v>27</c:v>
                </c:pt>
              </c:numCache>
            </c:numRef>
          </c:val>
          <c:smooth val="0"/>
          <c:extLst xmlns:c16r2="http://schemas.microsoft.com/office/drawing/2015/06/chart">
            <c:ext xmlns:c16="http://schemas.microsoft.com/office/drawing/2014/chart" uri="{C3380CC4-5D6E-409C-BE32-E72D297353CC}">
              <c16:uniqueId val="{00000005-7961-4487-8927-E717AC70C3FD}"/>
            </c:ext>
          </c:extLst>
        </c:ser>
        <c:ser>
          <c:idx val="4"/>
          <c:order val="4"/>
          <c:tx>
            <c:strRef>
              <c:f>'@265, 266, 267'!$A$10</c:f>
              <c:strCache>
                <c:ptCount val="1"/>
                <c:pt idx="0">
                  <c:v>NRI bērniem (0-17) kopumā</c:v>
                </c:pt>
              </c:strCache>
            </c:strRef>
          </c:tx>
          <c:spPr>
            <a:ln>
              <a:solidFill>
                <a:schemeClr val="accent2">
                  <a:lumMod val="75000"/>
                </a:schemeClr>
              </a:solidFill>
            </a:ln>
          </c:spPr>
          <c:marker>
            <c:symbol val="triangle"/>
            <c:size val="7"/>
            <c:spPr>
              <a:solidFill>
                <a:schemeClr val="bg1"/>
              </a:solidFill>
              <a:ln>
                <a:solidFill>
                  <a:schemeClr val="accent2">
                    <a:lumMod val="75000"/>
                  </a:schemeClr>
                </a:solidFill>
              </a:ln>
            </c:spPr>
          </c:marker>
          <c:cat>
            <c:numRef>
              <c:f>'@265, 266, 267'!$B$5:$R$5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'@265, 266, 267'!$B$10:$K$10</c:f>
              <c:numCache>
                <c:formatCode>General</c:formatCode>
                <c:ptCount val="10"/>
                <c:pt idx="1">
                  <c:v>25.9</c:v>
                </c:pt>
                <c:pt idx="2">
                  <c:v>19.8</c:v>
                </c:pt>
                <c:pt idx="3">
                  <c:v>23.6</c:v>
                </c:pt>
                <c:pt idx="4">
                  <c:v>26.3</c:v>
                </c:pt>
                <c:pt idx="5">
                  <c:v>26.3</c:v>
                </c:pt>
                <c:pt idx="6">
                  <c:v>24.7</c:v>
                </c:pt>
                <c:pt idx="7">
                  <c:v>24.4</c:v>
                </c:pt>
                <c:pt idx="8">
                  <c:v>23.4</c:v>
                </c:pt>
                <c:pt idx="9">
                  <c:v>24.3</c:v>
                </c:pt>
              </c:numCache>
            </c:numRef>
          </c:val>
          <c:smooth val="0"/>
          <c:extLst xmlns:c16r2="http://schemas.microsoft.com/office/drawing/2015/06/chart">
            <c:ext xmlns:c16="http://schemas.microsoft.com/office/drawing/2014/chart" uri="{C3380CC4-5D6E-409C-BE32-E72D297353CC}">
              <c16:uniqueId val="{00000006-7961-4487-8927-E717AC70C3FD}"/>
            </c:ext>
          </c:extLst>
        </c:ser>
        <c:ser>
          <c:idx val="5"/>
          <c:order val="5"/>
          <c:tx>
            <c:strRef>
              <c:f>'@265, 266, 267'!$A$11</c:f>
              <c:strCache>
                <c:ptCount val="1"/>
                <c:pt idx="0">
                  <c:v>Mērķa vērtības</c:v>
                </c:pt>
              </c:strCache>
            </c:strRef>
          </c:tx>
          <c:spPr>
            <a:ln>
              <a:noFill/>
            </a:ln>
          </c:spPr>
          <c:marker>
            <c:symbol val="triangle"/>
            <c:size val="7"/>
            <c:spPr>
              <a:solidFill>
                <a:srgbClr val="A50021"/>
              </a:solidFill>
              <a:ln>
                <a:solidFill>
                  <a:schemeClr val="accent2">
                    <a:lumMod val="75000"/>
                  </a:schemeClr>
                </a:solidFill>
              </a:ln>
            </c:spPr>
          </c:marker>
          <c:dLbls>
            <c:dLbl>
              <c:idx val="10"/>
              <c:layout>
                <c:manualLayout>
                  <c:x val="0"/>
                  <c:y val="1.1531527605069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961-4487-8927-E717AC70C3FD}"/>
                </c:ext>
                <c:ext xmlns:c15="http://schemas.microsoft.com/office/drawing/2012/chart" uri="{CE6537A1-D6FC-4f65-9D91-7224C49458BB}"/>
              </c:extLst>
            </c:dLbl>
            <c:dLbl>
              <c:idx val="13"/>
              <c:layout>
                <c:manualLayout>
                  <c:x val="-6.1919494580906599E-2"/>
                  <c:y val="-2.882881901267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961-4487-8927-E717AC70C3FD}"/>
                </c:ext>
                <c:ext xmlns:c15="http://schemas.microsoft.com/office/drawing/2012/chart" uri="{CE6537A1-D6FC-4f65-9D91-7224C49458BB}"/>
              </c:extLst>
            </c:dLbl>
            <c:dLbl>
              <c:idx val="16"/>
              <c:layout>
                <c:manualLayout>
                  <c:x val="-4.7471612512028402E-2"/>
                  <c:y val="4.0360346617743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961-4487-8927-E717AC70C3FD}"/>
                </c:ext>
                <c:ext xmlns:c15="http://schemas.microsoft.com/office/drawing/2012/chart" uri="{CE6537A1-D6FC-4f65-9D91-7224C49458BB}"/>
              </c:extLst>
            </c:dLbl>
            <c:spPr>
              <a:noFill/>
              <a:ln>
                <a:noFill/>
              </a:ln>
              <a:effectLst/>
            </c:spPr>
            <c:txPr>
              <a:bodyPr/>
              <a:lstStyle/>
              <a:p>
                <a:pPr>
                  <a:defRPr sz="900" b="1"/>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'@265, 266, 267'!$B$5:$R$5</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'@265, 266, 267'!$B$11:$R$11</c:f>
              <c:numCache>
                <c:formatCode>General</c:formatCode>
                <c:ptCount val="17"/>
                <c:pt idx="10">
                  <c:v>24</c:v>
                </c:pt>
                <c:pt idx="13">
                  <c:v>22</c:v>
                </c:pt>
                <c:pt idx="16">
                  <c:v>19</c:v>
                </c:pt>
              </c:numCache>
            </c:numRef>
          </c:val>
          <c:smooth val="0"/>
          <c:extLst xmlns:c16r2="http://schemas.microsoft.com/office/drawing/2015/06/chart">
            <c:ext xmlns:c16="http://schemas.microsoft.com/office/drawing/2014/chart" uri="{C3380CC4-5D6E-409C-BE32-E72D297353CC}">
              <c16:uniqueId val="{0000000A-7961-4487-8927-E717AC70C3FD}"/>
            </c:ext>
          </c:extLst>
        </c:ser>
        <c:dLbls>
          <c:showLegendKey val="0"/>
          <c:showVal val="0"/>
          <c:showCatName val="0"/>
          <c:showSerName val="0"/>
          <c:showPercent val="0"/>
          <c:showBubbleSize val="0"/>
        </c:dLbls>
        <c:marker val="1"/>
        <c:smooth val="0"/>
        <c:axId val="214722008"/>
        <c:axId val="214722400"/>
      </c:lineChart>
      <c:catAx>
        <c:axId val="214722008"/>
        <c:scaling>
          <c:orientation val="minMax"/>
        </c:scaling>
        <c:delete val="0"/>
        <c:axPos val="b"/>
        <c:majorGridlines/>
        <c:numFmt formatCode="General" sourceLinked="1"/>
        <c:majorTickMark val="none"/>
        <c:minorTickMark val="none"/>
        <c:tickLblPos val="nextTo"/>
        <c:txPr>
          <a:bodyPr/>
          <a:lstStyle/>
          <a:p>
            <a:pPr>
              <a:defRPr sz="900"/>
            </a:pPr>
            <a:endParaRPr lang="lv-LV"/>
          </a:p>
        </c:txPr>
        <c:crossAx val="214722400"/>
        <c:crosses val="autoZero"/>
        <c:auto val="1"/>
        <c:lblAlgn val="ctr"/>
        <c:lblOffset val="100"/>
        <c:noMultiLvlLbl val="0"/>
      </c:catAx>
      <c:valAx>
        <c:axId val="214722400"/>
        <c:scaling>
          <c:orientation val="minMax"/>
        </c:scaling>
        <c:delete val="0"/>
        <c:axPos val="l"/>
        <c:majorGridlines/>
        <c:title>
          <c:tx>
            <c:rich>
              <a:bodyPr rot="-5400000" vert="horz"/>
              <a:lstStyle/>
              <a:p>
                <a:pPr>
                  <a:defRPr sz="1000"/>
                </a:pPr>
                <a:r>
                  <a:rPr lang="en-US" sz="1000"/>
                  <a:t>Nabadzības riska indekss, %</a:t>
                </a:r>
              </a:p>
            </c:rich>
          </c:tx>
          <c:overlay val="0"/>
        </c:title>
        <c:numFmt formatCode="General" sourceLinked="1"/>
        <c:majorTickMark val="none"/>
        <c:minorTickMark val="none"/>
        <c:tickLblPos val="nextTo"/>
        <c:crossAx val="214722008"/>
        <c:crosses val="autoZero"/>
        <c:crossBetween val="midCat"/>
      </c:valAx>
    </c:plotArea>
    <c:legend>
      <c:legendPos val="b"/>
      <c:layout>
        <c:manualLayout>
          <c:xMode val="edge"/>
          <c:yMode val="edge"/>
          <c:x val="2.0927326503120101E-2"/>
          <c:y val="0.74728645572280905"/>
          <c:w val="0.96227315078079501"/>
          <c:h val="0.235416255719575"/>
        </c:manualLayout>
      </c:layout>
      <c:overlay val="0"/>
      <c:txPr>
        <a:bodyPr/>
        <a:lstStyle/>
        <a:p>
          <a:pPr>
            <a:defRPr sz="900"/>
          </a:pPr>
          <a:endParaRPr lang="lv-LV"/>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'@280, 281'!$A$5</c:f>
              <c:strCache>
                <c:ptCount val="1"/>
                <c:pt idx="0">
                  <c:v>Augstākie kompetenču līmeņi</c:v>
                </c:pt>
              </c:strCache>
            </c:strRef>
          </c:tx>
          <c:spPr>
            <a:ln>
              <a:noFill/>
            </a:ln>
          </c:spPr>
          <c:marker>
            <c:symbol val="square"/>
            <c:size val="7"/>
            <c:spPr>
              <a:solidFill>
                <a:srgbClr val="FF0000"/>
              </a:solidFill>
              <a:ln>
                <a:solidFill>
                  <a:srgbClr val="FF0000"/>
                </a:solidFill>
              </a:ln>
            </c:spPr>
          </c:marker>
          <c:dLbls>
            <c:dLbl>
              <c:idx val="8"/>
              <c:layout>
                <c:manualLayout>
                  <c:x val="-6.46203554119547E-3"/>
                  <c:y val="2.7813997722865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17A-4543-B7CD-BE5BA84C433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'@280, 281'!$B$4:$R$4</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'@280, 281'!$B$5:$R$5</c:f>
              <c:numCache>
                <c:formatCode>General</c:formatCode>
                <c:ptCount val="17"/>
                <c:pt idx="2">
                  <c:v>4.5</c:v>
                </c:pt>
                <c:pt idx="5">
                  <c:v>2.9</c:v>
                </c:pt>
                <c:pt idx="8">
                  <c:v>4.2</c:v>
                </c:pt>
                <c:pt idx="11">
                  <c:v>4.3</c:v>
                </c:pt>
              </c:numCache>
            </c:numRef>
          </c:val>
          <c:smooth val="0"/>
          <c:extLst xmlns:c16r2="http://schemas.microsoft.com/office/drawing/2015/06/chart">
            <c:ext xmlns:c16="http://schemas.microsoft.com/office/drawing/2014/chart" uri="{C3380CC4-5D6E-409C-BE32-E72D297353CC}">
              <c16:uniqueId val="{00000001-F17A-4543-B7CD-BE5BA84C4331}"/>
            </c:ext>
          </c:extLst>
        </c:ser>
        <c:ser>
          <c:idx val="1"/>
          <c:order val="1"/>
          <c:tx>
            <c:strRef>
              <c:f>'@280, 281'!$A$6</c:f>
              <c:strCache>
                <c:ptCount val="1"/>
                <c:pt idx="0">
                  <c:v>Mērķa vērtības, augst.komp.līm.</c:v>
                </c:pt>
              </c:strCache>
            </c:strRef>
          </c:tx>
          <c:spPr>
            <a:ln>
              <a:noFill/>
            </a:ln>
          </c:spPr>
          <c:marker>
            <c:spPr>
              <a:solidFill>
                <a:schemeClr val="bg1"/>
              </a:solidFill>
              <a:ln>
                <a:solidFill>
                  <a:srgbClr val="FF0000"/>
                </a:solidFill>
              </a:ln>
            </c:spPr>
          </c:marker>
          <c:dLbls>
            <c:dLbl>
              <c:idx val="16"/>
              <c:layout>
                <c:manualLayout>
                  <c:x val="-5.3850296176629002E-2"/>
                  <c:y val="-1.04302491460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17A-4543-B7CD-BE5BA84C433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'@280, 281'!$B$4:$R$4</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'@280, 281'!$B$6:$R$6</c:f>
              <c:numCache>
                <c:formatCode>General</c:formatCode>
                <c:ptCount val="17"/>
                <c:pt idx="10">
                  <c:v>2.9</c:v>
                </c:pt>
                <c:pt idx="13">
                  <c:v>5</c:v>
                </c:pt>
                <c:pt idx="16">
                  <c:v>9</c:v>
                </c:pt>
              </c:numCache>
            </c:numRef>
          </c:val>
          <c:smooth val="0"/>
          <c:extLst xmlns:c16r2="http://schemas.microsoft.com/office/drawing/2015/06/chart">
            <c:ext xmlns:c16="http://schemas.microsoft.com/office/drawing/2014/chart" uri="{C3380CC4-5D6E-409C-BE32-E72D297353CC}">
              <c16:uniqueId val="{00000003-F17A-4543-B7CD-BE5BA84C4331}"/>
            </c:ext>
          </c:extLst>
        </c:ser>
        <c:ser>
          <c:idx val="2"/>
          <c:order val="2"/>
          <c:tx>
            <c:strRef>
              <c:f>'@280, 281'!$A$7</c:f>
              <c:strCache>
                <c:ptCount val="1"/>
                <c:pt idx="0">
                  <c:v>Zemākie kompetenču līmeņi</c:v>
                </c:pt>
              </c:strCache>
            </c:strRef>
          </c:tx>
          <c:spPr>
            <a:ln>
              <a:noFill/>
            </a:ln>
          </c:spPr>
          <c:marker>
            <c:symbol val="triangle"/>
            <c:size val="8"/>
            <c:spPr>
              <a:solidFill>
                <a:srgbClr val="0033CC"/>
              </a:solidFill>
              <a:ln>
                <a:solidFill>
                  <a:srgbClr val="0033CC"/>
                </a:solidFill>
              </a:ln>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'@280, 281'!$B$4:$R$4</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'@280, 281'!$B$7:$R$7</c:f>
              <c:numCache>
                <c:formatCode>General</c:formatCode>
                <c:ptCount val="17"/>
                <c:pt idx="2">
                  <c:v>15.2</c:v>
                </c:pt>
                <c:pt idx="5">
                  <c:v>17.2</c:v>
                </c:pt>
                <c:pt idx="8">
                  <c:v>16.7</c:v>
                </c:pt>
                <c:pt idx="11">
                  <c:v>17.7</c:v>
                </c:pt>
              </c:numCache>
            </c:numRef>
          </c:val>
          <c:smooth val="0"/>
          <c:extLst xmlns:c16r2="http://schemas.microsoft.com/office/drawing/2015/06/chart">
            <c:ext xmlns:c16="http://schemas.microsoft.com/office/drawing/2014/chart" uri="{C3380CC4-5D6E-409C-BE32-E72D297353CC}">
              <c16:uniqueId val="{00000004-F17A-4543-B7CD-BE5BA84C4331}"/>
            </c:ext>
          </c:extLst>
        </c:ser>
        <c:ser>
          <c:idx val="3"/>
          <c:order val="3"/>
          <c:tx>
            <c:strRef>
              <c:f>'@280, 281'!$A$8</c:f>
              <c:strCache>
                <c:ptCount val="1"/>
                <c:pt idx="0">
                  <c:v>Mērķa vērtības, zemākie komp.līm.</c:v>
                </c:pt>
              </c:strCache>
            </c:strRef>
          </c:tx>
          <c:spPr>
            <a:ln>
              <a:noFill/>
            </a:ln>
          </c:spPr>
          <c:marker>
            <c:symbol val="triangle"/>
            <c:size val="8"/>
            <c:spPr>
              <a:solidFill>
                <a:schemeClr val="bg1"/>
              </a:solidFill>
              <a:ln>
                <a:solidFill>
                  <a:srgbClr val="0033CC"/>
                </a:solidFill>
              </a:ln>
            </c:spPr>
          </c:marker>
          <c:dLbls>
            <c:dLbl>
              <c:idx val="16"/>
              <c:layout>
                <c:manualLayout>
                  <c:x val="-6.031233171782449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7A-4543-B7CD-BE5BA84C433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'@280, 281'!$B$4:$R$4</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3">
                  <c:v>2017</c:v>
                </c:pt>
                <c:pt idx="16">
                  <c:v>2020</c:v>
                </c:pt>
              </c:numCache>
            </c:numRef>
          </c:cat>
          <c:val>
            <c:numRef>
              <c:f>'@280, 281'!$B$8:$R$8</c:f>
              <c:numCache>
                <c:formatCode>General</c:formatCode>
                <c:ptCount val="17"/>
                <c:pt idx="10">
                  <c:v>17.2</c:v>
                </c:pt>
                <c:pt idx="13">
                  <c:v>15</c:v>
                </c:pt>
                <c:pt idx="16">
                  <c:v>13</c:v>
                </c:pt>
              </c:numCache>
            </c:numRef>
          </c:val>
          <c:smooth val="0"/>
          <c:extLst xmlns:c16r2="http://schemas.microsoft.com/office/drawing/2015/06/chart">
            <c:ext xmlns:c16="http://schemas.microsoft.com/office/drawing/2014/chart" uri="{C3380CC4-5D6E-409C-BE32-E72D297353CC}">
              <c16:uniqueId val="{00000006-F17A-4543-B7CD-BE5BA84C4331}"/>
            </c:ext>
          </c:extLst>
        </c:ser>
        <c:dLbls>
          <c:showLegendKey val="0"/>
          <c:showVal val="0"/>
          <c:showCatName val="0"/>
          <c:showSerName val="0"/>
          <c:showPercent val="0"/>
          <c:showBubbleSize val="0"/>
        </c:dLbls>
        <c:marker val="1"/>
        <c:smooth val="0"/>
        <c:axId val="214732592"/>
        <c:axId val="214730240"/>
      </c:lineChart>
      <c:catAx>
        <c:axId val="214732592"/>
        <c:scaling>
          <c:orientation val="minMax"/>
        </c:scaling>
        <c:delete val="0"/>
        <c:axPos val="b"/>
        <c:majorGridlines/>
        <c:numFmt formatCode="General" sourceLinked="1"/>
        <c:majorTickMark val="none"/>
        <c:minorTickMark val="none"/>
        <c:tickLblPos val="nextTo"/>
        <c:txPr>
          <a:bodyPr/>
          <a:lstStyle/>
          <a:p>
            <a:pPr>
              <a:defRPr sz="800"/>
            </a:pPr>
            <a:endParaRPr lang="lv-LV"/>
          </a:p>
        </c:txPr>
        <c:crossAx val="214730240"/>
        <c:crosses val="autoZero"/>
        <c:auto val="1"/>
        <c:lblAlgn val="ctr"/>
        <c:lblOffset val="100"/>
        <c:noMultiLvlLbl val="0"/>
      </c:catAx>
      <c:valAx>
        <c:axId val="214730240"/>
        <c:scaling>
          <c:orientation val="minMax"/>
        </c:scaling>
        <c:delete val="0"/>
        <c:axPos val="l"/>
        <c:majorGridlines/>
        <c:title>
          <c:tx>
            <c:rich>
              <a:bodyPr rot="-5400000" vert="horz"/>
              <a:lstStyle/>
              <a:p>
                <a:pPr>
                  <a:defRPr/>
                </a:pPr>
                <a:r>
                  <a:rPr lang="lv-LV"/>
                  <a:t>Jauniešu daļa dotajā kompetences līmenī, %</a:t>
                </a:r>
              </a:p>
            </c:rich>
          </c:tx>
          <c:overlay val="0"/>
        </c:title>
        <c:numFmt formatCode="General" sourceLinked="1"/>
        <c:majorTickMark val="none"/>
        <c:minorTickMark val="none"/>
        <c:tickLblPos val="nextTo"/>
        <c:crossAx val="214732592"/>
        <c:crosses val="autoZero"/>
        <c:crossBetween val="midCat"/>
      </c:valAx>
    </c:plotArea>
    <c:legend>
      <c:legendPos val="b"/>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'@288'!$A$5</c:f>
              <c:strCache>
                <c:ptCount val="1"/>
                <c:pt idx="0">
                  <c:v>Iesaistīto iedzīvotāju daļa</c:v>
                </c:pt>
              </c:strCache>
            </c:strRef>
          </c:tx>
          <c:spPr>
            <a:ln>
              <a:solidFill>
                <a:srgbClr val="006600"/>
              </a:solidFill>
            </a:ln>
          </c:spPr>
          <c:marker>
            <c:spPr>
              <a:solidFill>
                <a:schemeClr val="bg1"/>
              </a:solidFill>
              <a:ln>
                <a:solidFill>
                  <a:srgbClr val="006600"/>
                </a:solidFill>
              </a:ln>
            </c:spPr>
          </c:marker>
          <c:cat>
            <c:strRef>
              <c:f>'@288'!$B$4:$AB$4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strCache>
            </c:strRef>
          </c:cat>
          <c:val>
            <c:numRef>
              <c:f>'@288'!$B$5:$N$5</c:f>
              <c:numCache>
                <c:formatCode>General</c:formatCode>
                <c:ptCount val="13"/>
                <c:pt idx="0">
                  <c:v>8.4</c:v>
                </c:pt>
                <c:pt idx="1">
                  <c:v>7.8</c:v>
                </c:pt>
                <c:pt idx="2">
                  <c:v>7.3</c:v>
                </c:pt>
                <c:pt idx="3">
                  <c:v>7.2</c:v>
                </c:pt>
                <c:pt idx="4">
                  <c:v>6.9</c:v>
                </c:pt>
                <c:pt idx="5">
                  <c:v>5.6</c:v>
                </c:pt>
                <c:pt idx="6">
                  <c:v>5.4</c:v>
                </c:pt>
                <c:pt idx="7">
                  <c:v>5.4</c:v>
                </c:pt>
                <c:pt idx="8">
                  <c:v>7.2</c:v>
                </c:pt>
                <c:pt idx="9">
                  <c:v>6.8</c:v>
                </c:pt>
                <c:pt idx="10">
                  <c:v>5.6</c:v>
                </c:pt>
                <c:pt idx="11">
                  <c:v>5.7</c:v>
                </c:pt>
                <c:pt idx="12">
                  <c:v>7.3</c:v>
                </c:pt>
              </c:numCache>
            </c:numRef>
          </c:val>
          <c:smooth val="0"/>
          <c:extLst xmlns:c16r2="http://schemas.microsoft.com/office/drawing/2015/06/chart">
            <c:ext xmlns:c16="http://schemas.microsoft.com/office/drawing/2014/chart" uri="{C3380CC4-5D6E-409C-BE32-E72D297353CC}">
              <c16:uniqueId val="{00000000-4017-4ED5-8325-3CA220B464BD}"/>
            </c:ext>
          </c:extLst>
        </c:ser>
        <c:ser>
          <c:idx val="1"/>
          <c:order val="1"/>
          <c:tx>
            <c:strRef>
              <c:f>'[2]S-22'!$A$6</c:f>
              <c:strCache>
                <c:ptCount val="1"/>
                <c:pt idx="0">
                  <c:v>Mērķa vērtības, NAP</c:v>
                </c:pt>
              </c:strCache>
            </c:strRef>
          </c:tx>
          <c:spPr>
            <a:ln>
              <a:noFill/>
            </a:ln>
          </c:spPr>
          <c:dLbls>
            <c:dLbl>
              <c:idx val="26"/>
              <c:layout>
                <c:manualLayout>
                  <c:x val="-2.3809523809523801E-2"/>
                  <c:y val="-5.2774537593363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17-4ED5-8325-3CA220B464B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'@288'!$B$4:$AB$4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strCache>
            </c:strRef>
          </c:cat>
          <c:val>
            <c:numRef>
              <c:f>'[2]S-22'!$B$6:$AB$6</c:f>
              <c:numCache>
                <c:formatCode>General</c:formatCode>
                <c:ptCount val="27"/>
                <c:pt idx="10">
                  <c:v>7</c:v>
                </c:pt>
                <c:pt idx="13">
                  <c:v>9.5</c:v>
                </c:pt>
                <c:pt idx="16">
                  <c:v>15</c:v>
                </c:pt>
                <c:pt idx="26">
                  <c:v>34</c:v>
                </c:pt>
              </c:numCache>
            </c:numRef>
          </c:val>
          <c:smooth val="0"/>
          <c:extLst xmlns:c16r2="http://schemas.microsoft.com/office/drawing/2015/06/chart">
            <c:ext xmlns:c16="http://schemas.microsoft.com/office/drawing/2014/chart" uri="{C3380CC4-5D6E-409C-BE32-E72D297353CC}">
              <c16:uniqueId val="{00000002-4017-4ED5-8325-3CA220B464BD}"/>
            </c:ext>
          </c:extLst>
        </c:ser>
        <c:ser>
          <c:idx val="2"/>
          <c:order val="2"/>
          <c:tx>
            <c:strRef>
              <c:f>'[2]S-22'!$A$7</c:f>
              <c:strCache>
                <c:ptCount val="1"/>
                <c:pt idx="0">
                  <c:v>Mērķa vērtības, LV-2030</c:v>
                </c:pt>
              </c:strCache>
            </c:strRef>
          </c:tx>
          <c:spPr>
            <a:ln>
              <a:noFill/>
            </a:ln>
          </c:spPr>
          <c:marker>
            <c:symbol val="square"/>
            <c:size val="7"/>
            <c:spPr>
              <a:solidFill>
                <a:schemeClr val="bg1"/>
              </a:solidFill>
              <a:ln>
                <a:solidFill>
                  <a:srgbClr val="C00000"/>
                </a:solidFill>
              </a:ln>
            </c:spPr>
          </c:marker>
          <c:dLbls>
            <c:dLbl>
              <c:idx val="26"/>
              <c:layout>
                <c:manualLayout>
                  <c:x val="-1.9841269841269799E-2"/>
                  <c:y val="-5.2774537593363799E-2"/>
                </c:manualLayout>
              </c:layout>
              <c:spPr/>
              <c:txPr>
                <a:bodyPr/>
                <a:lstStyle/>
                <a:p>
                  <a:pPr>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17-4ED5-8325-3CA220B464B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'@288'!$B$4:$AB$4</c:f>
              <c:strCach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strCache>
            </c:strRef>
          </c:cat>
          <c:val>
            <c:numRef>
              <c:f>'[2]S-22'!$B$7:$AB$7</c:f>
              <c:numCache>
                <c:formatCode>General</c:formatCode>
                <c:ptCount val="27"/>
                <c:pt idx="26">
                  <c:v>14</c:v>
                </c:pt>
              </c:numCache>
            </c:numRef>
          </c:val>
          <c:smooth val="0"/>
          <c:extLst xmlns:c16r2="http://schemas.microsoft.com/office/drawing/2015/06/chart">
            <c:ext xmlns:c16="http://schemas.microsoft.com/office/drawing/2014/chart" uri="{C3380CC4-5D6E-409C-BE32-E72D297353CC}">
              <c16:uniqueId val="{00000004-4017-4ED5-8325-3CA220B464BD}"/>
            </c:ext>
          </c:extLst>
        </c:ser>
        <c:dLbls>
          <c:showLegendKey val="0"/>
          <c:showVal val="0"/>
          <c:showCatName val="0"/>
          <c:showSerName val="0"/>
          <c:showPercent val="0"/>
          <c:showBubbleSize val="0"/>
        </c:dLbls>
        <c:marker val="1"/>
        <c:smooth val="0"/>
        <c:axId val="214731416"/>
        <c:axId val="214732200"/>
      </c:lineChart>
      <c:catAx>
        <c:axId val="214731416"/>
        <c:scaling>
          <c:orientation val="minMax"/>
        </c:scaling>
        <c:delete val="0"/>
        <c:axPos val="b"/>
        <c:majorGridlines/>
        <c:numFmt formatCode="General" sourceLinked="0"/>
        <c:majorTickMark val="none"/>
        <c:minorTickMark val="none"/>
        <c:tickLblPos val="nextTo"/>
        <c:txPr>
          <a:bodyPr rot="-5400000" vert="horz"/>
          <a:lstStyle/>
          <a:p>
            <a:pPr>
              <a:defRPr/>
            </a:pPr>
            <a:endParaRPr lang="lv-LV"/>
          </a:p>
        </c:txPr>
        <c:crossAx val="214732200"/>
        <c:crosses val="autoZero"/>
        <c:auto val="1"/>
        <c:lblAlgn val="ctr"/>
        <c:lblOffset val="100"/>
        <c:noMultiLvlLbl val="0"/>
      </c:catAx>
      <c:valAx>
        <c:axId val="214732200"/>
        <c:scaling>
          <c:orientation val="minMax"/>
        </c:scaling>
        <c:delete val="0"/>
        <c:axPos val="l"/>
        <c:majorGridlines/>
        <c:title>
          <c:tx>
            <c:rich>
              <a:bodyPr rot="-5400000" vert="horz"/>
              <a:lstStyle/>
              <a:p>
                <a:pPr>
                  <a:defRPr/>
                </a:pPr>
                <a:r>
                  <a:rPr lang="en-US"/>
                  <a:t>% pieaugušo iedzīvotāju, kas iesaistīti</a:t>
                </a:r>
                <a:r>
                  <a:rPr lang="lv-LV"/>
                  <a:t/>
                </a:r>
                <a:br>
                  <a:rPr lang="lv-LV"/>
                </a:br>
                <a:r>
                  <a:rPr lang="en-US"/>
                  <a:t>pieaugušo izglītības sistēm</a:t>
                </a:r>
                <a:r>
                  <a:rPr lang="lv-LV"/>
                  <a:t>ā</a:t>
                </a:r>
                <a:endParaRPr lang="en-US"/>
              </a:p>
            </c:rich>
          </c:tx>
          <c:layout>
            <c:manualLayout>
              <c:xMode val="edge"/>
              <c:yMode val="edge"/>
              <c:x val="1.24410441133422E-2"/>
              <c:y val="9.1280108973720006E-2"/>
            </c:manualLayout>
          </c:layout>
          <c:overlay val="0"/>
        </c:title>
        <c:numFmt formatCode="General" sourceLinked="1"/>
        <c:majorTickMark val="none"/>
        <c:minorTickMark val="none"/>
        <c:tickLblPos val="nextTo"/>
        <c:crossAx val="214731416"/>
        <c:crosses val="autoZero"/>
        <c:crossBetween val="midCat"/>
      </c:valAx>
    </c:plotArea>
    <c:legend>
      <c:legendPos val="b"/>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50"/>
            </a:pPr>
            <a:r>
              <a:rPr lang="lv-LV" sz="1050"/>
              <a:t>Iedzīvotāju savstarpējā uzticēšanās</a:t>
            </a:r>
          </a:p>
        </c:rich>
      </c:tx>
      <c:overlay val="0"/>
    </c:title>
    <c:autoTitleDeleted val="0"/>
    <c:plotArea>
      <c:layout/>
      <c:lineChart>
        <c:grouping val="standard"/>
        <c:varyColors val="0"/>
        <c:ser>
          <c:idx val="0"/>
          <c:order val="0"/>
          <c:tx>
            <c:strRef>
              <c:f>[5]social_trust!$A$6</c:f>
              <c:strCache>
                <c:ptCount val="1"/>
                <c:pt idx="0">
                  <c:v>Latvija</c:v>
                </c:pt>
              </c:strCache>
            </c:strRef>
          </c:tx>
          <c:marker>
            <c:symbol val="none"/>
          </c:marker>
          <c:cat>
            <c:numRef>
              <c:f>[5]social_trust!$B$1:$G$1</c:f>
              <c:numCache>
                <c:formatCode>General</c:formatCode>
                <c:ptCount val="6"/>
                <c:pt idx="0">
                  <c:v>2006</c:v>
                </c:pt>
                <c:pt idx="1">
                  <c:v>2008</c:v>
                </c:pt>
                <c:pt idx="2">
                  <c:v>2009</c:v>
                </c:pt>
                <c:pt idx="3">
                  <c:v>2015</c:v>
                </c:pt>
                <c:pt idx="4">
                  <c:v>2017</c:v>
                </c:pt>
                <c:pt idx="5">
                  <c:v>2020</c:v>
                </c:pt>
              </c:numCache>
            </c:numRef>
          </c:cat>
          <c:val>
            <c:numRef>
              <c:f>[5]social_trust!$B$6:$G$6</c:f>
              <c:numCache>
                <c:formatCode>General</c:formatCode>
                <c:ptCount val="6"/>
                <c:pt idx="0">
                  <c:v>52</c:v>
                </c:pt>
                <c:pt idx="1">
                  <c:v>46.000000000000007</c:v>
                </c:pt>
                <c:pt idx="2">
                  <c:v>46</c:v>
                </c:pt>
                <c:pt idx="3">
                  <c:v>50.8</c:v>
                </c:pt>
              </c:numCache>
            </c:numRef>
          </c:val>
          <c:smooth val="0"/>
          <c:extLst xmlns:c16r2="http://schemas.microsoft.com/office/drawing/2015/06/chart">
            <c:ext xmlns:c16="http://schemas.microsoft.com/office/drawing/2014/chart" uri="{C3380CC4-5D6E-409C-BE32-E72D297353CC}">
              <c16:uniqueId val="{00000000-8DA8-4C38-B0BB-F01AD934135A}"/>
            </c:ext>
          </c:extLst>
        </c:ser>
        <c:ser>
          <c:idx val="1"/>
          <c:order val="1"/>
          <c:tx>
            <c:strRef>
              <c:f>[5]social_trust!$A$33</c:f>
              <c:strCache>
                <c:ptCount val="1"/>
                <c:pt idx="0">
                  <c:v>Prognozes</c:v>
                </c:pt>
              </c:strCache>
            </c:strRef>
          </c:tx>
          <c:spPr>
            <a:ln>
              <a:prstDash val="sysDash"/>
            </a:ln>
          </c:spPr>
          <c:marker>
            <c:symbol val="none"/>
          </c:marker>
          <c:cat>
            <c:numRef>
              <c:f>[5]social_trust!$B$1:$G$1</c:f>
              <c:numCache>
                <c:formatCode>General</c:formatCode>
                <c:ptCount val="6"/>
                <c:pt idx="0">
                  <c:v>2006</c:v>
                </c:pt>
                <c:pt idx="1">
                  <c:v>2008</c:v>
                </c:pt>
                <c:pt idx="2">
                  <c:v>2009</c:v>
                </c:pt>
                <c:pt idx="3">
                  <c:v>2015</c:v>
                </c:pt>
                <c:pt idx="4">
                  <c:v>2017</c:v>
                </c:pt>
                <c:pt idx="5">
                  <c:v>2020</c:v>
                </c:pt>
              </c:numCache>
            </c:numRef>
          </c:cat>
          <c:val>
            <c:numRef>
              <c:f>[5]social_trust!$B$33:$G$33</c:f>
              <c:numCache>
                <c:formatCode>General</c:formatCode>
                <c:ptCount val="6"/>
                <c:pt idx="3">
                  <c:v>50</c:v>
                </c:pt>
                <c:pt idx="4">
                  <c:v>56</c:v>
                </c:pt>
                <c:pt idx="5">
                  <c:v>62</c:v>
                </c:pt>
              </c:numCache>
            </c:numRef>
          </c:val>
          <c:smooth val="0"/>
          <c:extLst xmlns:c16r2="http://schemas.microsoft.com/office/drawing/2015/06/chart">
            <c:ext xmlns:c16="http://schemas.microsoft.com/office/drawing/2014/chart" uri="{C3380CC4-5D6E-409C-BE32-E72D297353CC}">
              <c16:uniqueId val="{00000001-8DA8-4C38-B0BB-F01AD934135A}"/>
            </c:ext>
          </c:extLst>
        </c:ser>
        <c:dLbls>
          <c:showLegendKey val="0"/>
          <c:showVal val="0"/>
          <c:showCatName val="0"/>
          <c:showSerName val="0"/>
          <c:showPercent val="0"/>
          <c:showBubbleSize val="0"/>
        </c:dLbls>
        <c:smooth val="0"/>
        <c:axId val="210749792"/>
        <c:axId val="210739208"/>
      </c:lineChart>
      <c:catAx>
        <c:axId val="210749792"/>
        <c:scaling>
          <c:orientation val="minMax"/>
        </c:scaling>
        <c:delete val="0"/>
        <c:axPos val="b"/>
        <c:numFmt formatCode="General" sourceLinked="1"/>
        <c:majorTickMark val="none"/>
        <c:minorTickMark val="none"/>
        <c:tickLblPos val="nextTo"/>
        <c:crossAx val="210739208"/>
        <c:crosses val="autoZero"/>
        <c:auto val="1"/>
        <c:lblAlgn val="ctr"/>
        <c:lblOffset val="100"/>
        <c:noMultiLvlLbl val="0"/>
      </c:catAx>
      <c:valAx>
        <c:axId val="210739208"/>
        <c:scaling>
          <c:orientation val="minMax"/>
          <c:min val="35"/>
        </c:scaling>
        <c:delete val="0"/>
        <c:axPos val="l"/>
        <c:majorGridlines/>
        <c:title>
          <c:tx>
            <c:rich>
              <a:bodyPr/>
              <a:lstStyle/>
              <a:p>
                <a:pPr>
                  <a:defRPr/>
                </a:pPr>
                <a:r>
                  <a:rPr lang="lv-LV"/>
                  <a:t>Iedzīvotāji,</a:t>
                </a:r>
                <a:r>
                  <a:rPr lang="lv-LV" baseline="0"/>
                  <a:t> kas uzticas vai drīzāk uzticas citiem, %</a:t>
                </a:r>
                <a:endParaRPr lang="lv-LV"/>
              </a:p>
            </c:rich>
          </c:tx>
          <c:overlay val="0"/>
        </c:title>
        <c:numFmt formatCode="General" sourceLinked="1"/>
        <c:majorTickMark val="none"/>
        <c:minorTickMark val="none"/>
        <c:tickLblPos val="nextTo"/>
        <c:crossAx val="210749792"/>
        <c:crosses val="autoZero"/>
        <c:crossBetween val="between"/>
      </c:valAx>
    </c:plotArea>
    <c:legend>
      <c:legendPos val="r"/>
      <c:overlay val="0"/>
      <c:txPr>
        <a:bodyPr/>
        <a:lstStyle/>
        <a:p>
          <a:pPr>
            <a:defRPr sz="900"/>
          </a:pPr>
          <a:endParaRPr lang="lv-LV"/>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'[2]S-III'!$A$5</c:f>
              <c:strCache>
                <c:ptCount val="1"/>
                <c:pt idx="0">
                  <c:v>Latvija</c:v>
                </c:pt>
              </c:strCache>
            </c:strRef>
          </c:tx>
          <c:spPr>
            <a:ln>
              <a:solidFill>
                <a:srgbClr val="C00000"/>
              </a:solidFill>
            </a:ln>
          </c:spPr>
          <c:marker>
            <c:spPr>
              <a:solidFill>
                <a:schemeClr val="bg1"/>
              </a:solidFill>
              <a:ln>
                <a:solidFill>
                  <a:srgbClr val="C00000"/>
                </a:solidFill>
              </a:ln>
            </c:spPr>
          </c:marker>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'@374'!$B$5:$R$5</c:f>
              <c:numCache>
                <c:formatCode>General</c:formatCode>
                <c:ptCount val="17"/>
                <c:pt idx="0">
                  <c:v>11.9</c:v>
                </c:pt>
                <c:pt idx="1">
                  <c:v>10.199999999999999</c:v>
                </c:pt>
                <c:pt idx="2">
                  <c:v>7.2</c:v>
                </c:pt>
                <c:pt idx="3">
                  <c:v>6.2</c:v>
                </c:pt>
                <c:pt idx="4">
                  <c:v>8</c:v>
                </c:pt>
                <c:pt idx="5">
                  <c:v>18</c:v>
                </c:pt>
                <c:pt idx="6">
                  <c:v>19.8</c:v>
                </c:pt>
                <c:pt idx="7">
                  <c:v>16.5</c:v>
                </c:pt>
                <c:pt idx="8">
                  <c:v>15.3</c:v>
                </c:pt>
                <c:pt idx="9">
                  <c:v>12.1</c:v>
                </c:pt>
                <c:pt idx="10">
                  <c:v>11.1</c:v>
                </c:pt>
                <c:pt idx="11">
                  <c:v>10.1</c:v>
                </c:pt>
                <c:pt idx="12">
                  <c:v>9.9</c:v>
                </c:pt>
              </c:numCache>
            </c:numRef>
          </c:val>
          <c:smooth val="0"/>
          <c:extLst xmlns:c16r2="http://schemas.microsoft.com/office/drawing/2015/06/chart">
            <c:ext xmlns:c16="http://schemas.microsoft.com/office/drawing/2014/chart" uri="{C3380CC4-5D6E-409C-BE32-E72D297353CC}">
              <c16:uniqueId val="{00000000-5D03-4D27-AE68-94DC45F6D4E8}"/>
            </c:ext>
          </c:extLst>
        </c:ser>
        <c:ser>
          <c:idx val="1"/>
          <c:order val="1"/>
          <c:tx>
            <c:strRef>
              <c:f>'[2]S-III'!$A$6</c:f>
              <c:strCache>
                <c:ptCount val="1"/>
                <c:pt idx="0">
                  <c:v>Pierīgas reģions</c:v>
                </c:pt>
              </c:strCache>
            </c:strRef>
          </c:tx>
          <c:spPr>
            <a:ln w="19050">
              <a:solidFill>
                <a:srgbClr val="7030A0"/>
              </a:solidFill>
            </a:ln>
          </c:spPr>
          <c:marker>
            <c:symbol val="none"/>
          </c:marker>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'@374'!$B$6:$R$6</c:f>
              <c:numCache>
                <c:formatCode>General</c:formatCode>
                <c:ptCount val="17"/>
                <c:pt idx="0">
                  <c:v>9.8000000000000007</c:v>
                </c:pt>
                <c:pt idx="1">
                  <c:v>9</c:v>
                </c:pt>
                <c:pt idx="2">
                  <c:v>6.3</c:v>
                </c:pt>
                <c:pt idx="3">
                  <c:v>5</c:v>
                </c:pt>
                <c:pt idx="4">
                  <c:v>5.7</c:v>
                </c:pt>
                <c:pt idx="5">
                  <c:v>15.1</c:v>
                </c:pt>
                <c:pt idx="6">
                  <c:v>18</c:v>
                </c:pt>
                <c:pt idx="7">
                  <c:v>14.8</c:v>
                </c:pt>
                <c:pt idx="8">
                  <c:v>12.5</c:v>
                </c:pt>
                <c:pt idx="9">
                  <c:v>8.8000000000000007</c:v>
                </c:pt>
                <c:pt idx="10">
                  <c:v>8.1</c:v>
                </c:pt>
                <c:pt idx="11">
                  <c:v>5.9</c:v>
                </c:pt>
                <c:pt idx="12">
                  <c:v>6.6</c:v>
                </c:pt>
              </c:numCache>
            </c:numRef>
          </c:val>
          <c:smooth val="0"/>
          <c:extLst xmlns:c16r2="http://schemas.microsoft.com/office/drawing/2015/06/chart">
            <c:ext xmlns:c16="http://schemas.microsoft.com/office/drawing/2014/chart" uri="{C3380CC4-5D6E-409C-BE32-E72D297353CC}">
              <c16:uniqueId val="{00000001-5D03-4D27-AE68-94DC45F6D4E8}"/>
            </c:ext>
          </c:extLst>
        </c:ser>
        <c:ser>
          <c:idx val="2"/>
          <c:order val="2"/>
          <c:tx>
            <c:strRef>
              <c:f>'[2]S-III'!$A$7</c:f>
              <c:strCache>
                <c:ptCount val="1"/>
                <c:pt idx="0">
                  <c:v>Vidzemes reģions</c:v>
                </c:pt>
              </c:strCache>
            </c:strRef>
          </c:tx>
          <c:spPr>
            <a:ln w="19050">
              <a:solidFill>
                <a:srgbClr val="FF0000"/>
              </a:solidFill>
            </a:ln>
          </c:spPr>
          <c:marker>
            <c:symbol val="none"/>
          </c:marker>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'@374'!$B$7:$R$7</c:f>
              <c:numCache>
                <c:formatCode>General</c:formatCode>
                <c:ptCount val="17"/>
                <c:pt idx="0">
                  <c:v>11.9</c:v>
                </c:pt>
                <c:pt idx="1">
                  <c:v>9.1</c:v>
                </c:pt>
                <c:pt idx="2">
                  <c:v>7.1</c:v>
                </c:pt>
                <c:pt idx="3">
                  <c:v>6.9</c:v>
                </c:pt>
                <c:pt idx="4">
                  <c:v>10.199999999999999</c:v>
                </c:pt>
                <c:pt idx="5">
                  <c:v>19.3</c:v>
                </c:pt>
                <c:pt idx="6">
                  <c:v>15.7</c:v>
                </c:pt>
                <c:pt idx="7">
                  <c:v>12.9</c:v>
                </c:pt>
                <c:pt idx="8">
                  <c:v>16.100000000000001</c:v>
                </c:pt>
                <c:pt idx="9">
                  <c:v>13.4</c:v>
                </c:pt>
                <c:pt idx="10">
                  <c:v>13.3</c:v>
                </c:pt>
                <c:pt idx="11">
                  <c:v>11.8</c:v>
                </c:pt>
                <c:pt idx="12">
                  <c:v>9.4</c:v>
                </c:pt>
              </c:numCache>
            </c:numRef>
          </c:val>
          <c:smooth val="0"/>
          <c:extLst xmlns:c16r2="http://schemas.microsoft.com/office/drawing/2015/06/chart">
            <c:ext xmlns:c16="http://schemas.microsoft.com/office/drawing/2014/chart" uri="{C3380CC4-5D6E-409C-BE32-E72D297353CC}">
              <c16:uniqueId val="{00000002-5D03-4D27-AE68-94DC45F6D4E8}"/>
            </c:ext>
          </c:extLst>
        </c:ser>
        <c:ser>
          <c:idx val="3"/>
          <c:order val="3"/>
          <c:tx>
            <c:strRef>
              <c:f>'[2]S-III'!$A$8</c:f>
              <c:strCache>
                <c:ptCount val="1"/>
                <c:pt idx="0">
                  <c:v>Kurzemes reģions</c:v>
                </c:pt>
              </c:strCache>
            </c:strRef>
          </c:tx>
          <c:spPr>
            <a:ln w="19050">
              <a:solidFill>
                <a:srgbClr val="00B0F0"/>
              </a:solidFill>
            </a:ln>
          </c:spPr>
          <c:marker>
            <c:symbol val="none"/>
          </c:marker>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'@374'!$B$8:$R$8</c:f>
              <c:numCache>
                <c:formatCode>General</c:formatCode>
                <c:ptCount val="17"/>
                <c:pt idx="0">
                  <c:v>13.3</c:v>
                </c:pt>
                <c:pt idx="1">
                  <c:v>12.7</c:v>
                </c:pt>
                <c:pt idx="2">
                  <c:v>7.2</c:v>
                </c:pt>
                <c:pt idx="3">
                  <c:v>5.6</c:v>
                </c:pt>
                <c:pt idx="4">
                  <c:v>6.8</c:v>
                </c:pt>
                <c:pt idx="5">
                  <c:v>15.5</c:v>
                </c:pt>
                <c:pt idx="6">
                  <c:v>16.3</c:v>
                </c:pt>
                <c:pt idx="7">
                  <c:v>15.3</c:v>
                </c:pt>
                <c:pt idx="8">
                  <c:v>13.4</c:v>
                </c:pt>
                <c:pt idx="9">
                  <c:v>10.4</c:v>
                </c:pt>
                <c:pt idx="10">
                  <c:v>13</c:v>
                </c:pt>
                <c:pt idx="11">
                  <c:v>10.8</c:v>
                </c:pt>
                <c:pt idx="12">
                  <c:v>10.1</c:v>
                </c:pt>
              </c:numCache>
            </c:numRef>
          </c:val>
          <c:smooth val="0"/>
          <c:extLst xmlns:c16r2="http://schemas.microsoft.com/office/drawing/2015/06/chart">
            <c:ext xmlns:c16="http://schemas.microsoft.com/office/drawing/2014/chart" uri="{C3380CC4-5D6E-409C-BE32-E72D297353CC}">
              <c16:uniqueId val="{00000003-5D03-4D27-AE68-94DC45F6D4E8}"/>
            </c:ext>
          </c:extLst>
        </c:ser>
        <c:ser>
          <c:idx val="4"/>
          <c:order val="4"/>
          <c:tx>
            <c:strRef>
              <c:f>'[2]S-III'!$A$9</c:f>
              <c:strCache>
                <c:ptCount val="1"/>
                <c:pt idx="0">
                  <c:v>Zemgales reģions</c:v>
                </c:pt>
              </c:strCache>
            </c:strRef>
          </c:tx>
          <c:spPr>
            <a:ln w="19050">
              <a:solidFill>
                <a:srgbClr val="006600"/>
              </a:solidFill>
            </a:ln>
          </c:spPr>
          <c:marker>
            <c:symbol val="none"/>
          </c:marker>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'@374'!$B$9:$R$9</c:f>
              <c:numCache>
                <c:formatCode>General</c:formatCode>
                <c:ptCount val="17"/>
                <c:pt idx="0">
                  <c:v>11.9</c:v>
                </c:pt>
                <c:pt idx="1">
                  <c:v>7.8</c:v>
                </c:pt>
                <c:pt idx="2">
                  <c:v>6.3</c:v>
                </c:pt>
                <c:pt idx="3">
                  <c:v>6.5</c:v>
                </c:pt>
                <c:pt idx="4">
                  <c:v>8.3000000000000007</c:v>
                </c:pt>
                <c:pt idx="5">
                  <c:v>20.100000000000001</c:v>
                </c:pt>
                <c:pt idx="6">
                  <c:v>22.8</c:v>
                </c:pt>
                <c:pt idx="7">
                  <c:v>18.8</c:v>
                </c:pt>
                <c:pt idx="8">
                  <c:v>17.600000000000001</c:v>
                </c:pt>
                <c:pt idx="9">
                  <c:v>15.4</c:v>
                </c:pt>
                <c:pt idx="10">
                  <c:v>13</c:v>
                </c:pt>
                <c:pt idx="11">
                  <c:v>11.5</c:v>
                </c:pt>
                <c:pt idx="12">
                  <c:v>12.3</c:v>
                </c:pt>
              </c:numCache>
            </c:numRef>
          </c:val>
          <c:smooth val="0"/>
          <c:extLst xmlns:c16r2="http://schemas.microsoft.com/office/drawing/2015/06/chart">
            <c:ext xmlns:c16="http://schemas.microsoft.com/office/drawing/2014/chart" uri="{C3380CC4-5D6E-409C-BE32-E72D297353CC}">
              <c16:uniqueId val="{00000004-5D03-4D27-AE68-94DC45F6D4E8}"/>
            </c:ext>
          </c:extLst>
        </c:ser>
        <c:ser>
          <c:idx val="5"/>
          <c:order val="5"/>
          <c:tx>
            <c:strRef>
              <c:f>'[2]S-III'!$A$10</c:f>
              <c:strCache>
                <c:ptCount val="1"/>
                <c:pt idx="0">
                  <c:v>Latgales reģions</c:v>
                </c:pt>
              </c:strCache>
            </c:strRef>
          </c:tx>
          <c:spPr>
            <a:ln w="19050">
              <a:solidFill>
                <a:srgbClr val="0000FF"/>
              </a:solidFill>
            </a:ln>
          </c:spPr>
          <c:marker>
            <c:symbol val="none"/>
          </c:marker>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'@374'!$B$10:$R$10</c:f>
              <c:numCache>
                <c:formatCode>General</c:formatCode>
                <c:ptCount val="17"/>
                <c:pt idx="0">
                  <c:v>14.6</c:v>
                </c:pt>
                <c:pt idx="1">
                  <c:v>14.5</c:v>
                </c:pt>
                <c:pt idx="2">
                  <c:v>11.6</c:v>
                </c:pt>
                <c:pt idx="3">
                  <c:v>8.7000000000000011</c:v>
                </c:pt>
                <c:pt idx="4">
                  <c:v>9.6</c:v>
                </c:pt>
                <c:pt idx="5">
                  <c:v>18</c:v>
                </c:pt>
                <c:pt idx="6">
                  <c:v>19.5</c:v>
                </c:pt>
                <c:pt idx="7">
                  <c:v>19</c:v>
                </c:pt>
                <c:pt idx="8">
                  <c:v>20.9</c:v>
                </c:pt>
                <c:pt idx="9">
                  <c:v>17.3</c:v>
                </c:pt>
                <c:pt idx="10">
                  <c:v>17.3</c:v>
                </c:pt>
                <c:pt idx="11">
                  <c:v>19</c:v>
                </c:pt>
                <c:pt idx="12">
                  <c:v>17.899999999999999</c:v>
                </c:pt>
              </c:numCache>
            </c:numRef>
          </c:val>
          <c:smooth val="0"/>
          <c:extLst xmlns:c16r2="http://schemas.microsoft.com/office/drawing/2015/06/chart">
            <c:ext xmlns:c16="http://schemas.microsoft.com/office/drawing/2014/chart" uri="{C3380CC4-5D6E-409C-BE32-E72D297353CC}">
              <c16:uniqueId val="{00000005-5D03-4D27-AE68-94DC45F6D4E8}"/>
            </c:ext>
          </c:extLst>
        </c:ser>
        <c:ser>
          <c:idx val="6"/>
          <c:order val="6"/>
          <c:tx>
            <c:strRef>
              <c:f>'[2]S-III'!$A$11</c:f>
              <c:strCache>
                <c:ptCount val="1"/>
                <c:pt idx="0">
                  <c:v>Mērķa vērtība NAP, Pierīga</c:v>
                </c:pt>
              </c:strCache>
            </c:strRef>
          </c:tx>
          <c:spPr>
            <a:ln>
              <a:noFill/>
            </a:ln>
          </c:spPr>
          <c:marker>
            <c:symbol val="triangle"/>
            <c:size val="7"/>
            <c:spPr>
              <a:solidFill>
                <a:schemeClr val="bg1"/>
              </a:solidFill>
              <a:ln>
                <a:solidFill>
                  <a:srgbClr val="7030A0"/>
                </a:solidFill>
              </a:ln>
            </c:spPr>
          </c:marker>
          <c:dLbls>
            <c:dLbl>
              <c:idx val="13"/>
              <c:layout>
                <c:manualLayout>
                  <c:x val="0"/>
                  <c:y val="5.162954218011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D03-4D27-AE68-94DC45F6D4E8}"/>
                </c:ext>
                <c:ext xmlns:c15="http://schemas.microsoft.com/office/drawing/2012/chart" uri="{CE6537A1-D6FC-4f65-9D91-7224C49458BB}"/>
              </c:extLst>
            </c:dLbl>
            <c:dLbl>
              <c:idx val="16"/>
              <c:layout>
                <c:manualLayout>
                  <c:x val="-5.0581689428426897E-2"/>
                  <c:y val="2.581477109005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D03-4D27-AE68-94DC45F6D4E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'[2]S-III'!$B$11:$R$11</c:f>
              <c:numCache>
                <c:formatCode>General</c:formatCode>
                <c:ptCount val="17"/>
                <c:pt idx="10">
                  <c:v>13.1</c:v>
                </c:pt>
                <c:pt idx="13">
                  <c:v>12</c:v>
                </c:pt>
                <c:pt idx="16">
                  <c:v>10.9</c:v>
                </c:pt>
              </c:numCache>
            </c:numRef>
          </c:val>
          <c:smooth val="0"/>
          <c:extLst xmlns:c16r2="http://schemas.microsoft.com/office/drawing/2015/06/chart">
            <c:ext xmlns:c16="http://schemas.microsoft.com/office/drawing/2014/chart" uri="{C3380CC4-5D6E-409C-BE32-E72D297353CC}">
              <c16:uniqueId val="{00000008-5D03-4D27-AE68-94DC45F6D4E8}"/>
            </c:ext>
          </c:extLst>
        </c:ser>
        <c:ser>
          <c:idx val="7"/>
          <c:order val="7"/>
          <c:tx>
            <c:strRef>
              <c:f>'[2]S-III'!$A$12</c:f>
              <c:strCache>
                <c:ptCount val="1"/>
                <c:pt idx="0">
                  <c:v>Mērķa vērtība NAP, Vidzeme</c:v>
                </c:pt>
              </c:strCache>
            </c:strRef>
          </c:tx>
          <c:spPr>
            <a:ln>
              <a:noFill/>
            </a:ln>
          </c:spPr>
          <c:marker>
            <c:symbol val="square"/>
            <c:size val="5"/>
            <c:spPr>
              <a:solidFill>
                <a:schemeClr val="bg1"/>
              </a:solidFill>
              <a:ln>
                <a:solidFill>
                  <a:srgbClr val="FF0000"/>
                </a:solidFill>
              </a:ln>
            </c:spPr>
          </c:marker>
          <c:dLbls>
            <c:dLbl>
              <c:idx val="16"/>
              <c:layout>
                <c:manualLayout>
                  <c:x val="-5.0581689428426897E-2"/>
                  <c:y val="1.29073855450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D03-4D27-AE68-94DC45F6D4E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'[2]S-III'!$B$12:$R$12</c:f>
              <c:numCache>
                <c:formatCode>General</c:formatCode>
                <c:ptCount val="17"/>
                <c:pt idx="10">
                  <c:v>11.6</c:v>
                </c:pt>
                <c:pt idx="13">
                  <c:v>10.6</c:v>
                </c:pt>
                <c:pt idx="16">
                  <c:v>9.7000000000000011</c:v>
                </c:pt>
              </c:numCache>
            </c:numRef>
          </c:val>
          <c:smooth val="0"/>
          <c:extLst xmlns:c16r2="http://schemas.microsoft.com/office/drawing/2015/06/chart">
            <c:ext xmlns:c16="http://schemas.microsoft.com/office/drawing/2014/chart" uri="{C3380CC4-5D6E-409C-BE32-E72D297353CC}">
              <c16:uniqueId val="{0000000A-5D03-4D27-AE68-94DC45F6D4E8}"/>
            </c:ext>
          </c:extLst>
        </c:ser>
        <c:ser>
          <c:idx val="8"/>
          <c:order val="8"/>
          <c:tx>
            <c:strRef>
              <c:f>'[2]S-III'!$A$13</c:f>
              <c:strCache>
                <c:ptCount val="1"/>
                <c:pt idx="0">
                  <c:v>Mērķa vērtība NAP, Kurzeme</c:v>
                </c:pt>
              </c:strCache>
            </c:strRef>
          </c:tx>
          <c:spPr>
            <a:ln>
              <a:noFill/>
            </a:ln>
          </c:spPr>
          <c:marker>
            <c:symbol val="triangle"/>
            <c:size val="7"/>
            <c:spPr>
              <a:solidFill>
                <a:schemeClr val="bg1"/>
              </a:solidFill>
              <a:ln>
                <a:solidFill>
                  <a:srgbClr val="00B0F0"/>
                </a:solidFill>
              </a:ln>
            </c:spPr>
          </c:marker>
          <c:dLbls>
            <c:dLbl>
              <c:idx val="10"/>
              <c:layout>
                <c:manualLayout>
                  <c:x val="-8.8352393000235395E-17"/>
                  <c:y val="-1.8903591682419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D03-4D27-AE68-94DC45F6D4E8}"/>
                </c:ext>
                <c:ext xmlns:c15="http://schemas.microsoft.com/office/drawing/2012/chart" uri="{CE6537A1-D6FC-4f65-9D91-7224C49458BB}"/>
              </c:extLst>
            </c:dLbl>
            <c:dLbl>
              <c:idx val="13"/>
              <c:layout>
                <c:manualLayout>
                  <c:x val="0"/>
                  <c:y val="-9.45179584120982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D03-4D27-AE68-94DC45F6D4E8}"/>
                </c:ext>
                <c:ext xmlns:c15="http://schemas.microsoft.com/office/drawing/2012/chart" uri="{CE6537A1-D6FC-4f65-9D91-7224C49458BB}"/>
              </c:extLst>
            </c:dLbl>
            <c:dLbl>
              <c:idx val="16"/>
              <c:layout>
                <c:manualLayout>
                  <c:x val="-5.0581689428426897E-2"/>
                  <c:y val="-7.744431327017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D03-4D27-AE68-94DC45F6D4E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'[2]S-III'!$B$13:$R$13</c:f>
              <c:numCache>
                <c:formatCode>General</c:formatCode>
                <c:ptCount val="17"/>
                <c:pt idx="10">
                  <c:v>13.8</c:v>
                </c:pt>
                <c:pt idx="13">
                  <c:v>12.6</c:v>
                </c:pt>
                <c:pt idx="16">
                  <c:v>11.5</c:v>
                </c:pt>
              </c:numCache>
            </c:numRef>
          </c:val>
          <c:smooth val="0"/>
          <c:extLst xmlns:c16r2="http://schemas.microsoft.com/office/drawing/2015/06/chart">
            <c:ext xmlns:c16="http://schemas.microsoft.com/office/drawing/2014/chart" uri="{C3380CC4-5D6E-409C-BE32-E72D297353CC}">
              <c16:uniqueId val="{0000000E-5D03-4D27-AE68-94DC45F6D4E8}"/>
            </c:ext>
          </c:extLst>
        </c:ser>
        <c:ser>
          <c:idx val="9"/>
          <c:order val="9"/>
          <c:tx>
            <c:strRef>
              <c:f>'[2]S-III'!$A$14</c:f>
              <c:strCache>
                <c:ptCount val="1"/>
                <c:pt idx="0">
                  <c:v>Mērķa vērtība NAP, Zemgale</c:v>
                </c:pt>
              </c:strCache>
            </c:strRef>
          </c:tx>
          <c:spPr>
            <a:ln>
              <a:noFill/>
            </a:ln>
          </c:spPr>
          <c:marker>
            <c:symbol val="triangle"/>
            <c:size val="8"/>
            <c:spPr>
              <a:solidFill>
                <a:schemeClr val="bg1"/>
              </a:solidFill>
              <a:ln>
                <a:solidFill>
                  <a:srgbClr val="006600"/>
                </a:solidFill>
              </a:ln>
            </c:spPr>
          </c:marker>
          <c:dLbls>
            <c:dLbl>
              <c:idx val="16"/>
              <c:layout>
                <c:manualLayout>
                  <c:x val="-4.85584218512898E-2"/>
                  <c:y val="4.732653361161859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D03-4D27-AE68-94DC45F6D4E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'[2]S-III'!$B$14:$R$14</c:f>
              <c:numCache>
                <c:formatCode>General</c:formatCode>
                <c:ptCount val="17"/>
                <c:pt idx="10">
                  <c:v>16.899999999999999</c:v>
                </c:pt>
                <c:pt idx="13">
                  <c:v>15.4</c:v>
                </c:pt>
                <c:pt idx="16">
                  <c:v>14.1</c:v>
                </c:pt>
              </c:numCache>
            </c:numRef>
          </c:val>
          <c:smooth val="0"/>
          <c:extLst xmlns:c16r2="http://schemas.microsoft.com/office/drawing/2015/06/chart">
            <c:ext xmlns:c16="http://schemas.microsoft.com/office/drawing/2014/chart" uri="{C3380CC4-5D6E-409C-BE32-E72D297353CC}">
              <c16:uniqueId val="{00000010-5D03-4D27-AE68-94DC45F6D4E8}"/>
            </c:ext>
          </c:extLst>
        </c:ser>
        <c:ser>
          <c:idx val="10"/>
          <c:order val="10"/>
          <c:tx>
            <c:strRef>
              <c:f>'[2]S-III'!$A$15</c:f>
              <c:strCache>
                <c:ptCount val="1"/>
                <c:pt idx="0">
                  <c:v>Mērķa vērtība NAP, Latgale</c:v>
                </c:pt>
              </c:strCache>
            </c:strRef>
          </c:tx>
          <c:spPr>
            <a:ln>
              <a:noFill/>
            </a:ln>
          </c:spPr>
          <c:marker>
            <c:symbol val="diamond"/>
            <c:size val="7"/>
            <c:spPr>
              <a:solidFill>
                <a:schemeClr val="bg1"/>
              </a:solidFill>
              <a:ln>
                <a:solidFill>
                  <a:srgbClr val="0000FF"/>
                </a:solidFill>
              </a:ln>
            </c:spPr>
          </c:marker>
          <c:dLbls>
            <c:dLbl>
              <c:idx val="10"/>
              <c:layout>
                <c:manualLayout>
                  <c:x val="-6.0698027314112302E-3"/>
                  <c:y val="-3.09777253080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D03-4D27-AE68-94DC45F6D4E8}"/>
                </c:ext>
                <c:ext xmlns:c15="http://schemas.microsoft.com/office/drawing/2012/chart" uri="{CE6537A1-D6FC-4f65-9D91-7224C49458BB}"/>
              </c:extLst>
            </c:dLbl>
            <c:dLbl>
              <c:idx val="13"/>
              <c:layout>
                <c:manualLayout>
                  <c:x val="-6.0698027314112302E-3"/>
                  <c:y val="-3.09777253080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D03-4D27-AE68-94DC45F6D4E8}"/>
                </c:ext>
                <c:ext xmlns:c15="http://schemas.microsoft.com/office/drawing/2012/chart" uri="{CE6537A1-D6FC-4f65-9D91-7224C49458BB}"/>
              </c:extLst>
            </c:dLbl>
            <c:dLbl>
              <c:idx val="16"/>
              <c:layout>
                <c:manualLayout>
                  <c:x val="-3.8442083965604397E-2"/>
                  <c:y val="-3.87221566350873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D03-4D27-AE68-94DC45F6D4E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'@374'!$B$4:$R$4</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strCache>
            </c:strRef>
          </c:cat>
          <c:val>
            <c:numRef>
              <c:f>'[2]S-III'!$B$15:$R$15</c:f>
              <c:numCache>
                <c:formatCode>General</c:formatCode>
                <c:ptCount val="17"/>
                <c:pt idx="10">
                  <c:v>17.100000000000001</c:v>
                </c:pt>
                <c:pt idx="13">
                  <c:v>15.6</c:v>
                </c:pt>
                <c:pt idx="16">
                  <c:v>14.2</c:v>
                </c:pt>
              </c:numCache>
            </c:numRef>
          </c:val>
          <c:smooth val="0"/>
          <c:extLst xmlns:c16r2="http://schemas.microsoft.com/office/drawing/2015/06/chart">
            <c:ext xmlns:c16="http://schemas.microsoft.com/office/drawing/2014/chart" uri="{C3380CC4-5D6E-409C-BE32-E72D297353CC}">
              <c16:uniqueId val="{00000014-5D03-4D27-AE68-94DC45F6D4E8}"/>
            </c:ext>
          </c:extLst>
        </c:ser>
        <c:dLbls>
          <c:showLegendKey val="0"/>
          <c:showVal val="0"/>
          <c:showCatName val="0"/>
          <c:showSerName val="0"/>
          <c:showPercent val="0"/>
          <c:showBubbleSize val="0"/>
        </c:dLbls>
        <c:marker val="1"/>
        <c:smooth val="0"/>
        <c:axId val="210739600"/>
        <c:axId val="210743520"/>
      </c:lineChart>
      <c:catAx>
        <c:axId val="210739600"/>
        <c:scaling>
          <c:orientation val="minMax"/>
        </c:scaling>
        <c:delete val="0"/>
        <c:axPos val="b"/>
        <c:majorGridlines/>
        <c:numFmt formatCode="General" sourceLinked="0"/>
        <c:majorTickMark val="none"/>
        <c:minorTickMark val="none"/>
        <c:tickLblPos val="nextTo"/>
        <c:crossAx val="210743520"/>
        <c:crosses val="autoZero"/>
        <c:auto val="1"/>
        <c:lblAlgn val="ctr"/>
        <c:lblOffset val="100"/>
        <c:noMultiLvlLbl val="0"/>
      </c:catAx>
      <c:valAx>
        <c:axId val="210743520"/>
        <c:scaling>
          <c:orientation val="minMax"/>
        </c:scaling>
        <c:delete val="0"/>
        <c:axPos val="l"/>
        <c:majorGridlines/>
        <c:title>
          <c:tx>
            <c:rich>
              <a:bodyPr rot="-5400000" vert="horz"/>
              <a:lstStyle/>
              <a:p>
                <a:pPr>
                  <a:defRPr/>
                </a:pPr>
                <a:r>
                  <a:rPr lang="en-US"/>
                  <a:t>Darba meklētāji, % ekonomiski aktīvo iedzīvotāju</a:t>
                </a:r>
              </a:p>
            </c:rich>
          </c:tx>
          <c:layout>
            <c:manualLayout>
              <c:xMode val="edge"/>
              <c:yMode val="edge"/>
              <c:x val="1.01163378856854E-2"/>
              <c:y val="0.11850829650155"/>
            </c:manualLayout>
          </c:layout>
          <c:overlay val="0"/>
        </c:title>
        <c:numFmt formatCode="#,##0.0" sourceLinked="0"/>
        <c:majorTickMark val="none"/>
        <c:minorTickMark val="none"/>
        <c:tickLblPos val="nextTo"/>
        <c:crossAx val="210739600"/>
        <c:crosses val="autoZero"/>
        <c:crossBetween val="midCat"/>
        <c:majorUnit val="2.5"/>
      </c:valAx>
    </c:plotArea>
    <c:legend>
      <c:legendPos val="b"/>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'@382'!$A$4</c:f>
              <c:strCache>
                <c:ptCount val="1"/>
                <c:pt idx="0">
                  <c:v>IIN uz vienu iedzīvotāju</c:v>
                </c:pt>
              </c:strCache>
            </c:strRef>
          </c:tx>
          <c:invertIfNegative val="0"/>
          <c:cat>
            <c:numRef>
              <c:f>'@382'!$B$3:$N$3</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2">
                  <c:v>2020</c:v>
                </c:pt>
              </c:numCache>
            </c:numRef>
          </c:cat>
          <c:val>
            <c:numRef>
              <c:f>'@382'!$B$4:$N$4</c:f>
              <c:numCache>
                <c:formatCode>General</c:formatCode>
                <c:ptCount val="13"/>
                <c:pt idx="0">
                  <c:v>522.70000000000005</c:v>
                </c:pt>
                <c:pt idx="1">
                  <c:v>378.4</c:v>
                </c:pt>
                <c:pt idx="2">
                  <c:v>405.7</c:v>
                </c:pt>
                <c:pt idx="3">
                  <c:v>416.8</c:v>
                </c:pt>
                <c:pt idx="4">
                  <c:v>450.7</c:v>
                </c:pt>
                <c:pt idx="5">
                  <c:v>489</c:v>
                </c:pt>
                <c:pt idx="6">
                  <c:v>508.2</c:v>
                </c:pt>
                <c:pt idx="7">
                  <c:v>531.5</c:v>
                </c:pt>
                <c:pt idx="8">
                  <c:v>575</c:v>
                </c:pt>
              </c:numCache>
            </c:numRef>
          </c:val>
          <c:extLst xmlns:c16r2="http://schemas.microsoft.com/office/drawing/2015/06/chart">
            <c:ext xmlns:c16="http://schemas.microsoft.com/office/drawing/2014/chart" uri="{C3380CC4-5D6E-409C-BE32-E72D297353CC}">
              <c16:uniqueId val="{00000000-6A3A-4066-ACBB-2C88071F810A}"/>
            </c:ext>
          </c:extLst>
        </c:ser>
        <c:dLbls>
          <c:showLegendKey val="0"/>
          <c:showVal val="0"/>
          <c:showCatName val="0"/>
          <c:showSerName val="0"/>
          <c:showPercent val="0"/>
          <c:showBubbleSize val="0"/>
        </c:dLbls>
        <c:gapWidth val="150"/>
        <c:axId val="210747048"/>
        <c:axId val="210748616"/>
      </c:barChart>
      <c:lineChart>
        <c:grouping val="standard"/>
        <c:varyColors val="0"/>
        <c:ser>
          <c:idx val="1"/>
          <c:order val="1"/>
          <c:tx>
            <c:strRef>
              <c:f>'@382'!$A$5</c:f>
              <c:strCache>
                <c:ptCount val="1"/>
                <c:pt idx="0">
                  <c:v>Mērķa vērtības</c:v>
                </c:pt>
              </c:strCache>
            </c:strRef>
          </c:tx>
          <c:spPr>
            <a:ln>
              <a:noFill/>
            </a:ln>
          </c:spPr>
          <c:dLbls>
            <c:spPr>
              <a:noFill/>
              <a:ln>
                <a:noFill/>
              </a:ln>
              <a:effectLst/>
            </c:spPr>
            <c:txPr>
              <a:bodyPr/>
              <a:lstStyle/>
              <a:p>
                <a:pPr>
                  <a:defRPr sz="900" b="1"/>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'@382'!$B$3:$N$3</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2">
                  <c:v>2020</c:v>
                </c:pt>
              </c:numCache>
            </c:numRef>
          </c:cat>
          <c:val>
            <c:numRef>
              <c:f>'@382'!$B$5:$N$5</c:f>
              <c:numCache>
                <c:formatCode>General</c:formatCode>
                <c:ptCount val="13"/>
                <c:pt idx="6">
                  <c:v>421</c:v>
                </c:pt>
                <c:pt idx="9">
                  <c:v>434</c:v>
                </c:pt>
                <c:pt idx="12">
                  <c:v>447</c:v>
                </c:pt>
              </c:numCache>
            </c:numRef>
          </c:val>
          <c:smooth val="0"/>
          <c:extLst xmlns:c16r2="http://schemas.microsoft.com/office/drawing/2015/06/chart">
            <c:ext xmlns:c16="http://schemas.microsoft.com/office/drawing/2014/chart" uri="{C3380CC4-5D6E-409C-BE32-E72D297353CC}">
              <c16:uniqueId val="{00000001-6A3A-4066-ACBB-2C88071F810A}"/>
            </c:ext>
          </c:extLst>
        </c:ser>
        <c:dLbls>
          <c:showLegendKey val="0"/>
          <c:showVal val="0"/>
          <c:showCatName val="0"/>
          <c:showSerName val="0"/>
          <c:showPercent val="0"/>
          <c:showBubbleSize val="0"/>
        </c:dLbls>
        <c:marker val="1"/>
        <c:smooth val="0"/>
        <c:axId val="210747048"/>
        <c:axId val="210748616"/>
      </c:lineChart>
      <c:catAx>
        <c:axId val="210747048"/>
        <c:scaling>
          <c:orientation val="minMax"/>
        </c:scaling>
        <c:delete val="0"/>
        <c:axPos val="b"/>
        <c:numFmt formatCode="General" sourceLinked="1"/>
        <c:majorTickMark val="out"/>
        <c:minorTickMark val="none"/>
        <c:tickLblPos val="nextTo"/>
        <c:txPr>
          <a:bodyPr/>
          <a:lstStyle/>
          <a:p>
            <a:pPr>
              <a:defRPr sz="900"/>
            </a:pPr>
            <a:endParaRPr lang="lv-LV"/>
          </a:p>
        </c:txPr>
        <c:crossAx val="210748616"/>
        <c:crosses val="autoZero"/>
        <c:auto val="1"/>
        <c:lblAlgn val="ctr"/>
        <c:lblOffset val="100"/>
        <c:noMultiLvlLbl val="0"/>
      </c:catAx>
      <c:valAx>
        <c:axId val="210748616"/>
        <c:scaling>
          <c:orientation val="minMax"/>
        </c:scaling>
        <c:delete val="0"/>
        <c:axPos val="l"/>
        <c:majorGridlines/>
        <c:title>
          <c:tx>
            <c:rich>
              <a:bodyPr rot="-5400000" vert="horz"/>
              <a:lstStyle/>
              <a:p>
                <a:pPr>
                  <a:defRPr sz="1000"/>
                </a:pPr>
                <a:r>
                  <a:rPr lang="lv-LV" sz="1000"/>
                  <a:t>IIN ieņēmumi uz viebu iedzīvotāju, EUR</a:t>
                </a:r>
              </a:p>
            </c:rich>
          </c:tx>
          <c:overlay val="0"/>
        </c:title>
        <c:numFmt formatCode="General" sourceLinked="1"/>
        <c:majorTickMark val="none"/>
        <c:minorTickMark val="none"/>
        <c:tickLblPos val="nextTo"/>
        <c:crossAx val="2107470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12923002945"/>
          <c:y val="4.7930283224400898E-2"/>
          <c:w val="0.84699725511410295"/>
          <c:h val="0.69074777417528699"/>
        </c:manualLayout>
      </c:layout>
      <c:lineChart>
        <c:grouping val="standard"/>
        <c:varyColors val="0"/>
        <c:ser>
          <c:idx val="0"/>
          <c:order val="0"/>
          <c:tx>
            <c:strRef>
              <c:f>'[2]S-V'!$A$5</c:f>
              <c:strCache>
                <c:ptCount val="1"/>
                <c:pt idx="0">
                  <c:v>Pieeja internetam, % mājsaimniecību</c:v>
                </c:pt>
              </c:strCache>
            </c:strRef>
          </c:tx>
          <c:spPr>
            <a:ln>
              <a:solidFill>
                <a:srgbClr val="C00000"/>
              </a:solidFill>
            </a:ln>
          </c:spPr>
          <c:marker>
            <c:spPr>
              <a:solidFill>
                <a:schemeClr val="bg1"/>
              </a:solidFill>
              <a:ln>
                <a:solidFill>
                  <a:srgbClr val="C00000"/>
                </a:solidFill>
              </a:ln>
            </c:spPr>
          </c:marker>
          <c:cat>
            <c:numRef>
              <c:f>'@405'!$B$4:$AB$4</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'@405'!$B$5:$AB$5</c:f>
              <c:numCache>
                <c:formatCode>General</c:formatCode>
                <c:ptCount val="27"/>
                <c:pt idx="0">
                  <c:v>14.7</c:v>
                </c:pt>
                <c:pt idx="1">
                  <c:v>30.5</c:v>
                </c:pt>
                <c:pt idx="2">
                  <c:v>42.2</c:v>
                </c:pt>
                <c:pt idx="3">
                  <c:v>50.5</c:v>
                </c:pt>
                <c:pt idx="4">
                  <c:v>52.8</c:v>
                </c:pt>
                <c:pt idx="5">
                  <c:v>58</c:v>
                </c:pt>
                <c:pt idx="6">
                  <c:v>59.8</c:v>
                </c:pt>
                <c:pt idx="7">
                  <c:v>63.6</c:v>
                </c:pt>
                <c:pt idx="8">
                  <c:v>68.7</c:v>
                </c:pt>
                <c:pt idx="9">
                  <c:v>71.599999999999994</c:v>
                </c:pt>
                <c:pt idx="10">
                  <c:v>73.400000000000006</c:v>
                </c:pt>
                <c:pt idx="11">
                  <c:v>76</c:v>
                </c:pt>
                <c:pt idx="12">
                  <c:v>77.3</c:v>
                </c:pt>
              </c:numCache>
            </c:numRef>
          </c:val>
          <c:smooth val="0"/>
          <c:extLst xmlns:c16r2="http://schemas.microsoft.com/office/drawing/2015/06/chart">
            <c:ext xmlns:c16="http://schemas.microsoft.com/office/drawing/2014/chart" uri="{C3380CC4-5D6E-409C-BE32-E72D297353CC}">
              <c16:uniqueId val="{00000000-05B1-453D-8435-31EFB59E17F4}"/>
            </c:ext>
          </c:extLst>
        </c:ser>
        <c:ser>
          <c:idx val="1"/>
          <c:order val="1"/>
          <c:tx>
            <c:strRef>
              <c:f>'[2]S-V'!$A$6</c:f>
              <c:strCache>
                <c:ptCount val="1"/>
                <c:pt idx="0">
                  <c:v>Platjoslas pieslēgums, % visu pieslēgumu</c:v>
                </c:pt>
              </c:strCache>
            </c:strRef>
          </c:tx>
          <c:spPr>
            <a:ln w="19050">
              <a:solidFill>
                <a:srgbClr val="0000FF"/>
              </a:solidFill>
            </a:ln>
          </c:spPr>
          <c:marker>
            <c:symbol val="none"/>
          </c:marker>
          <c:cat>
            <c:numRef>
              <c:f>'@405'!$B$4:$AB$4</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'@405'!$B$6:$AB$6</c:f>
              <c:numCache>
                <c:formatCode>General</c:formatCode>
                <c:ptCount val="27"/>
                <c:pt idx="0">
                  <c:v>36.6</c:v>
                </c:pt>
                <c:pt idx="1">
                  <c:v>45.7</c:v>
                </c:pt>
                <c:pt idx="2">
                  <c:v>53.3</c:v>
                </c:pt>
                <c:pt idx="3">
                  <c:v>63.2</c:v>
                </c:pt>
                <c:pt idx="4">
                  <c:v>75.099999999999994</c:v>
                </c:pt>
                <c:pt idx="5">
                  <c:v>86.6</c:v>
                </c:pt>
                <c:pt idx="6">
                  <c:v>87.9</c:v>
                </c:pt>
                <c:pt idx="7">
                  <c:v>93.3</c:v>
                </c:pt>
                <c:pt idx="8">
                  <c:v>98</c:v>
                </c:pt>
                <c:pt idx="9">
                  <c:v>97.9</c:v>
                </c:pt>
                <c:pt idx="10">
                  <c:v>99.6</c:v>
                </c:pt>
                <c:pt idx="11">
                  <c:v>97.9</c:v>
                </c:pt>
                <c:pt idx="12">
                  <c:v>97.1</c:v>
                </c:pt>
              </c:numCache>
            </c:numRef>
          </c:val>
          <c:smooth val="0"/>
          <c:extLst xmlns:c16r2="http://schemas.microsoft.com/office/drawing/2015/06/chart">
            <c:ext xmlns:c16="http://schemas.microsoft.com/office/drawing/2014/chart" uri="{C3380CC4-5D6E-409C-BE32-E72D297353CC}">
              <c16:uniqueId val="{00000001-05B1-453D-8435-31EFB59E17F4}"/>
            </c:ext>
          </c:extLst>
        </c:ser>
        <c:ser>
          <c:idx val="2"/>
          <c:order val="2"/>
          <c:tx>
            <c:strRef>
              <c:f>'[2]S-V'!$A$7</c:f>
              <c:strCache>
                <c:ptCount val="1"/>
                <c:pt idx="0">
                  <c:v>Mērķa vērtības, NAP</c:v>
                </c:pt>
              </c:strCache>
            </c:strRef>
          </c:tx>
          <c:spPr>
            <a:ln>
              <a:noFill/>
            </a:ln>
          </c:spPr>
          <c:marker>
            <c:symbol val="square"/>
            <c:size val="7"/>
            <c:spPr>
              <a:solidFill>
                <a:srgbClr val="C00000"/>
              </a:solidFill>
              <a:ln>
                <a:solidFill>
                  <a:srgbClr val="C00000"/>
                </a:solidFill>
              </a:ln>
            </c:spPr>
          </c:marker>
          <c:dLbls>
            <c:dLbl>
              <c:idx val="26"/>
              <c:layout>
                <c:manualLayout>
                  <c:x val="-3.1698860822189201E-2"/>
                  <c:y val="1.3087932874362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B1-453D-8435-31EFB59E17F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'@405'!$B$4:$AB$4</c:f>
              <c:numCache>
                <c:formatCode>General</c:formatCode>
                <c:ptCount val="2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6">
                  <c:v>2020</c:v>
                </c:pt>
                <c:pt idx="26">
                  <c:v>2030</c:v>
                </c:pt>
              </c:numCache>
            </c:numRef>
          </c:cat>
          <c:val>
            <c:numRef>
              <c:f>'[2]S-V'!$B$7:$AB$7</c:f>
              <c:numCache>
                <c:formatCode>General</c:formatCode>
                <c:ptCount val="27"/>
                <c:pt idx="10">
                  <c:v>70</c:v>
                </c:pt>
                <c:pt idx="13">
                  <c:v>75</c:v>
                </c:pt>
                <c:pt idx="16">
                  <c:v>80</c:v>
                </c:pt>
                <c:pt idx="26">
                  <c:v>95</c:v>
                </c:pt>
              </c:numCache>
            </c:numRef>
          </c:val>
          <c:smooth val="0"/>
          <c:extLst xmlns:c16r2="http://schemas.microsoft.com/office/drawing/2015/06/chart">
            <c:ext xmlns:c16="http://schemas.microsoft.com/office/drawing/2014/chart" uri="{C3380CC4-5D6E-409C-BE32-E72D297353CC}">
              <c16:uniqueId val="{00000003-05B1-453D-8435-31EFB59E17F4}"/>
            </c:ext>
          </c:extLst>
        </c:ser>
        <c:dLbls>
          <c:showLegendKey val="0"/>
          <c:showVal val="0"/>
          <c:showCatName val="0"/>
          <c:showSerName val="0"/>
          <c:showPercent val="0"/>
          <c:showBubbleSize val="0"/>
        </c:dLbls>
        <c:marker val="1"/>
        <c:smooth val="0"/>
        <c:axId val="210742344"/>
        <c:axId val="210747832"/>
      </c:lineChart>
      <c:catAx>
        <c:axId val="210742344"/>
        <c:scaling>
          <c:orientation val="minMax"/>
        </c:scaling>
        <c:delete val="0"/>
        <c:axPos val="b"/>
        <c:majorGridlines/>
        <c:numFmt formatCode="General" sourceLinked="1"/>
        <c:majorTickMark val="none"/>
        <c:minorTickMark val="none"/>
        <c:tickLblPos val="nextTo"/>
        <c:txPr>
          <a:bodyPr rot="-5400000" vert="horz"/>
          <a:lstStyle/>
          <a:p>
            <a:pPr>
              <a:defRPr/>
            </a:pPr>
            <a:endParaRPr lang="lv-LV"/>
          </a:p>
        </c:txPr>
        <c:crossAx val="210747832"/>
        <c:crosses val="autoZero"/>
        <c:auto val="1"/>
        <c:lblAlgn val="ctr"/>
        <c:lblOffset val="100"/>
        <c:noMultiLvlLbl val="0"/>
      </c:catAx>
      <c:valAx>
        <c:axId val="210747832"/>
        <c:scaling>
          <c:orientation val="minMax"/>
          <c:max val="100"/>
        </c:scaling>
        <c:delete val="0"/>
        <c:axPos val="l"/>
        <c:majorGridlines/>
        <c:title>
          <c:tx>
            <c:rich>
              <a:bodyPr rot="-5400000" vert="horz"/>
              <a:lstStyle/>
              <a:p>
                <a:pPr>
                  <a:defRPr/>
                </a:pPr>
                <a:r>
                  <a:rPr lang="en-US"/>
                  <a:t>Mājsaimniecību pieeja internetam</a:t>
                </a:r>
                <a:r>
                  <a:rPr lang="lv-LV"/>
                  <a:t>, %</a:t>
                </a:r>
              </a:p>
            </c:rich>
          </c:tx>
          <c:layout>
            <c:manualLayout>
              <c:xMode val="edge"/>
              <c:yMode val="edge"/>
              <c:x val="1.9529762978100999E-2"/>
              <c:y val="7.6512102653834901E-2"/>
            </c:manualLayout>
          </c:layout>
          <c:overlay val="0"/>
        </c:title>
        <c:numFmt formatCode="General" sourceLinked="1"/>
        <c:majorTickMark val="none"/>
        <c:minorTickMark val="none"/>
        <c:tickLblPos val="nextTo"/>
        <c:crossAx val="210742344"/>
        <c:crosses val="autoZero"/>
        <c:crossBetween val="midCat"/>
        <c:majorUnit val="10"/>
      </c:valAx>
    </c:plotArea>
    <c:legend>
      <c:legendPos val="b"/>
      <c:layout>
        <c:manualLayout>
          <c:xMode val="edge"/>
          <c:yMode val="edge"/>
          <c:x val="0"/>
          <c:y val="0.87321477246319501"/>
          <c:w val="0.99911080951433795"/>
          <c:h val="0.107153328225261"/>
        </c:manualLayout>
      </c:layout>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dirty="0"/>
              <a:t>IKP dinamika, %</a:t>
            </a:r>
          </a:p>
        </c:rich>
      </c:tx>
      <c:layout>
        <c:manualLayout>
          <c:xMode val="edge"/>
          <c:yMode val="edge"/>
          <c:x val="0.29655773797298224"/>
          <c:y val="0"/>
        </c:manualLayout>
      </c:layout>
      <c:overlay val="0"/>
    </c:title>
    <c:autoTitleDeleted val="0"/>
    <c:plotArea>
      <c:layout>
        <c:manualLayout>
          <c:layoutTarget val="inner"/>
          <c:xMode val="edge"/>
          <c:yMode val="edge"/>
          <c:x val="5.7732117569481219E-2"/>
          <c:y val="4.0999075784612704E-2"/>
          <c:w val="0.89390847899798576"/>
          <c:h val="0.86146560348677126"/>
        </c:manualLayout>
      </c:layout>
      <c:barChart>
        <c:barDir val="col"/>
        <c:grouping val="clustered"/>
        <c:varyColors val="0"/>
        <c:ser>
          <c:idx val="0"/>
          <c:order val="0"/>
          <c:tx>
            <c:strRef>
              <c:f>Sheet1!$B$1</c:f>
              <c:strCache>
                <c:ptCount val="1"/>
                <c:pt idx="0">
                  <c:v>2016</c:v>
                </c:pt>
              </c:strCache>
            </c:strRef>
          </c:tx>
          <c:spPr>
            <a:solidFill>
              <a:srgbClr val="0070C0"/>
            </a:solidFill>
            <a:ln>
              <a:noFill/>
            </a:ln>
          </c:spPr>
          <c:invertIfNegative val="0"/>
          <c:dPt>
            <c:idx val="5"/>
            <c:invertIfNegative val="0"/>
            <c:bubble3D val="0"/>
            <c:extLst xmlns:c16r2="http://schemas.microsoft.com/office/drawing/2015/06/chart">
              <c:ext xmlns:c16="http://schemas.microsoft.com/office/drawing/2014/chart" uri="{C3380CC4-5D6E-409C-BE32-E72D297353CC}">
                <c16:uniqueId val="{00000000-2FF4-4FDB-A840-D33AC80EF673}"/>
              </c:ext>
            </c:extLst>
          </c:dPt>
          <c:dPt>
            <c:idx val="7"/>
            <c:invertIfNegative val="0"/>
            <c:bubble3D val="0"/>
            <c:extLst xmlns:c16r2="http://schemas.microsoft.com/office/drawing/2015/06/chart">
              <c:ext xmlns:c16="http://schemas.microsoft.com/office/drawing/2014/chart" uri="{C3380CC4-5D6E-409C-BE32-E72D297353CC}">
                <c16:uniqueId val="{00000001-2FF4-4FDB-A840-D33AC80EF673}"/>
              </c:ext>
            </c:extLst>
          </c:dPt>
          <c:dLbls>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F4-4FDB-A840-D33AC80EF673}"/>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F4-4FDB-A840-D33AC80EF673}"/>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F4-4FDB-A840-D33AC80EF673}"/>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F4-4FDB-A840-D33AC80EF67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Sheet1!$A$2:$A$9</c:f>
              <c:strCache>
                <c:ptCount val="7"/>
                <c:pt idx="0">
                  <c:v>2007</c:v>
                </c:pt>
                <c:pt idx="1">
                  <c:v>2012</c:v>
                </c:pt>
                <c:pt idx="2">
                  <c:v>2013</c:v>
                </c:pt>
                <c:pt idx="3">
                  <c:v>2014</c:v>
                </c:pt>
                <c:pt idx="4">
                  <c:v>2015</c:v>
                </c:pt>
                <c:pt idx="5">
                  <c:v>2016</c:v>
                </c:pt>
                <c:pt idx="6">
                  <c:v>2017*</c:v>
                </c:pt>
              </c:strCache>
            </c:strRef>
          </c:cat>
          <c:val>
            <c:numRef>
              <c:f>Sheet1!$B$2:$B$9</c:f>
              <c:numCache>
                <c:formatCode>0.0</c:formatCode>
                <c:ptCount val="7"/>
                <c:pt idx="0">
                  <c:v>10</c:v>
                </c:pt>
                <c:pt idx="1">
                  <c:v>4</c:v>
                </c:pt>
                <c:pt idx="2">
                  <c:v>2.4</c:v>
                </c:pt>
                <c:pt idx="3">
                  <c:v>1.9</c:v>
                </c:pt>
                <c:pt idx="4">
                  <c:v>2.8</c:v>
                </c:pt>
                <c:pt idx="5">
                  <c:v>2.2000000000000002</c:v>
                </c:pt>
                <c:pt idx="6">
                  <c:v>4</c:v>
                </c:pt>
              </c:numCache>
            </c:numRef>
          </c:val>
          <c:extLst xmlns:c16r2="http://schemas.microsoft.com/office/drawing/2015/06/chart">
            <c:ext xmlns:c16="http://schemas.microsoft.com/office/drawing/2014/chart" uri="{C3380CC4-5D6E-409C-BE32-E72D297353CC}">
              <c16:uniqueId val="{00000005-2FF4-4FDB-A840-D33AC80EF673}"/>
            </c:ext>
          </c:extLst>
        </c:ser>
        <c:dLbls>
          <c:dLblPos val="outEnd"/>
          <c:showLegendKey val="0"/>
          <c:showVal val="1"/>
          <c:showCatName val="0"/>
          <c:showSerName val="0"/>
          <c:showPercent val="0"/>
          <c:showBubbleSize val="0"/>
        </c:dLbls>
        <c:gapWidth val="30"/>
        <c:axId val="210742736"/>
        <c:axId val="210749008"/>
      </c:barChart>
      <c:catAx>
        <c:axId val="210742736"/>
        <c:scaling>
          <c:orientation val="minMax"/>
        </c:scaling>
        <c:delete val="0"/>
        <c:axPos val="b"/>
        <c:numFmt formatCode="General" sourceLinked="1"/>
        <c:majorTickMark val="out"/>
        <c:minorTickMark val="none"/>
        <c:tickLblPos val="nextTo"/>
        <c:txPr>
          <a:bodyPr rot="0" vert="horz"/>
          <a:lstStyle/>
          <a:p>
            <a:pPr>
              <a:defRPr sz="600"/>
            </a:pPr>
            <a:endParaRPr lang="lv-LV"/>
          </a:p>
        </c:txPr>
        <c:crossAx val="210749008"/>
        <c:crosses val="autoZero"/>
        <c:auto val="1"/>
        <c:lblAlgn val="ctr"/>
        <c:lblOffset val="100"/>
        <c:noMultiLvlLbl val="0"/>
      </c:catAx>
      <c:valAx>
        <c:axId val="210749008"/>
        <c:scaling>
          <c:orientation val="minMax"/>
        </c:scaling>
        <c:delete val="1"/>
        <c:axPos val="l"/>
        <c:numFmt formatCode="0" sourceLinked="0"/>
        <c:majorTickMark val="out"/>
        <c:minorTickMark val="none"/>
        <c:tickLblPos val="nextTo"/>
        <c:crossAx val="210742736"/>
        <c:crosses val="autoZero"/>
        <c:crossBetween val="between"/>
        <c:majorUnit val="2"/>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10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a:t>Apstrādes rūpniecības ražošanas apjomu dinamika, %</a:t>
            </a:r>
          </a:p>
        </c:rich>
      </c:tx>
      <c:layout>
        <c:manualLayout>
          <c:xMode val="edge"/>
          <c:yMode val="edge"/>
          <c:x val="2.2594111669188982E-2"/>
          <c:y val="3.4426083131880664E-3"/>
        </c:manualLayout>
      </c:layout>
      <c:overlay val="0"/>
    </c:title>
    <c:autoTitleDeleted val="0"/>
    <c:plotArea>
      <c:layout>
        <c:manualLayout>
          <c:layoutTarget val="inner"/>
          <c:xMode val="edge"/>
          <c:yMode val="edge"/>
          <c:x val="5.2011829735407418E-2"/>
          <c:y val="0.11902573330822867"/>
          <c:w val="0.8996287668320595"/>
          <c:h val="0.76738472175493944"/>
        </c:manualLayout>
      </c:layout>
      <c:barChart>
        <c:barDir val="col"/>
        <c:grouping val="clustered"/>
        <c:varyColors val="0"/>
        <c:ser>
          <c:idx val="0"/>
          <c:order val="0"/>
          <c:tx>
            <c:strRef>
              <c:f>Sheet1!$A$3</c:f>
              <c:strCache>
                <c:ptCount val="1"/>
                <c:pt idx="0">
                  <c:v>Apstrādes rūpniecība</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1C28-4652-A3D2-52B8C56F6668}"/>
              </c:ext>
            </c:extLst>
          </c:dPt>
          <c:dLbls>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2007</c:v>
                </c:pt>
                <c:pt idx="1">
                  <c:v>2012</c:v>
                </c:pt>
                <c:pt idx="2">
                  <c:v>2013</c:v>
                </c:pt>
                <c:pt idx="3">
                  <c:v>2014</c:v>
                </c:pt>
                <c:pt idx="4">
                  <c:v>2015</c:v>
                </c:pt>
                <c:pt idx="5">
                  <c:v>2016</c:v>
                </c:pt>
                <c:pt idx="6">
                  <c:v>2017*</c:v>
                </c:pt>
              </c:strCache>
            </c:strRef>
          </c:cat>
          <c:val>
            <c:numRef>
              <c:f>Sheet1!$B$3:$H$3</c:f>
              <c:numCache>
                <c:formatCode>0.0</c:formatCode>
                <c:ptCount val="7"/>
                <c:pt idx="0" formatCode="General">
                  <c:v>-0.6</c:v>
                </c:pt>
                <c:pt idx="1">
                  <c:v>4.3254751295106075</c:v>
                </c:pt>
                <c:pt idx="2">
                  <c:v>-1.951030360026607</c:v>
                </c:pt>
                <c:pt idx="3">
                  <c:v>0.40194694127863784</c:v>
                </c:pt>
                <c:pt idx="4">
                  <c:v>0.39630005403701318</c:v>
                </c:pt>
                <c:pt idx="5">
                  <c:v>5.5642504471047403</c:v>
                </c:pt>
                <c:pt idx="6" formatCode="General">
                  <c:v>8.5</c:v>
                </c:pt>
              </c:numCache>
            </c:numRef>
          </c:val>
          <c:extLst xmlns:c16r2="http://schemas.microsoft.com/office/drawing/2015/06/chart">
            <c:ext xmlns:c16="http://schemas.microsoft.com/office/drawing/2014/chart" uri="{C3380CC4-5D6E-409C-BE32-E72D297353CC}">
              <c16:uniqueId val="{00000001-1C28-4652-A3D2-52B8C56F6668}"/>
            </c:ext>
          </c:extLst>
        </c:ser>
        <c:dLbls>
          <c:dLblPos val="outEnd"/>
          <c:showLegendKey val="0"/>
          <c:showVal val="1"/>
          <c:showCatName val="0"/>
          <c:showSerName val="0"/>
          <c:showPercent val="0"/>
          <c:showBubbleSize val="0"/>
        </c:dLbls>
        <c:gapWidth val="30"/>
        <c:axId val="210745872"/>
        <c:axId val="210749400"/>
      </c:barChart>
      <c:catAx>
        <c:axId val="210745872"/>
        <c:scaling>
          <c:orientation val="minMax"/>
        </c:scaling>
        <c:delete val="0"/>
        <c:axPos val="b"/>
        <c:numFmt formatCode="#,##0" sourceLinked="0"/>
        <c:majorTickMark val="out"/>
        <c:minorTickMark val="none"/>
        <c:tickLblPos val="low"/>
        <c:txPr>
          <a:bodyPr rot="0" vert="horz"/>
          <a:lstStyle/>
          <a:p>
            <a:pPr>
              <a:defRPr sz="600"/>
            </a:pPr>
            <a:endParaRPr lang="lv-LV"/>
          </a:p>
        </c:txPr>
        <c:crossAx val="210749400"/>
        <c:crosses val="autoZero"/>
        <c:auto val="1"/>
        <c:lblAlgn val="ctr"/>
        <c:lblOffset val="100"/>
        <c:noMultiLvlLbl val="0"/>
      </c:catAx>
      <c:valAx>
        <c:axId val="210749400"/>
        <c:scaling>
          <c:orientation val="minMax"/>
        </c:scaling>
        <c:delete val="1"/>
        <c:axPos val="l"/>
        <c:numFmt formatCode="0" sourceLinked="0"/>
        <c:majorTickMark val="out"/>
        <c:minorTickMark val="none"/>
        <c:tickLblPos val="nextTo"/>
        <c:crossAx val="210745872"/>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10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a:t>Preču un pakalpojumu eksporta izmaiņas, %</a:t>
            </a:r>
          </a:p>
        </c:rich>
      </c:tx>
      <c:layout>
        <c:manualLayout>
          <c:xMode val="edge"/>
          <c:yMode val="edge"/>
          <c:x val="0.32841444958655941"/>
          <c:y val="3.3599328013439733E-2"/>
        </c:manualLayout>
      </c:layout>
      <c:overlay val="0"/>
    </c:title>
    <c:autoTitleDeleted val="0"/>
    <c:plotArea>
      <c:layout>
        <c:manualLayout>
          <c:layoutTarget val="inner"/>
          <c:xMode val="edge"/>
          <c:yMode val="edge"/>
          <c:x val="7.4892981071702683E-2"/>
          <c:y val="0.11205468875303526"/>
          <c:w val="0.87674761549576419"/>
          <c:h val="0.79040997914949329"/>
        </c:manualLayout>
      </c:layout>
      <c:barChart>
        <c:barDir val="col"/>
        <c:grouping val="clustered"/>
        <c:varyColors val="0"/>
        <c:ser>
          <c:idx val="0"/>
          <c:order val="0"/>
          <c:tx>
            <c:strRef>
              <c:f>Sheet1!$A$3</c:f>
              <c:strCache>
                <c:ptCount val="1"/>
                <c:pt idx="0">
                  <c:v>Eksports</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7FA5-4260-BF7B-2448E0CB08C0}"/>
              </c:ext>
            </c:extLst>
          </c:dPt>
          <c:dLbls>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2012</c:v>
                </c:pt>
                <c:pt idx="1">
                  <c:v>2012</c:v>
                </c:pt>
                <c:pt idx="2">
                  <c:v>2013</c:v>
                </c:pt>
                <c:pt idx="3">
                  <c:v>2014</c:v>
                </c:pt>
                <c:pt idx="4">
                  <c:v>2015</c:v>
                </c:pt>
                <c:pt idx="5">
                  <c:v>2016</c:v>
                </c:pt>
                <c:pt idx="6">
                  <c:v>2017*</c:v>
                </c:pt>
              </c:strCache>
            </c:strRef>
          </c:cat>
          <c:val>
            <c:numRef>
              <c:f>Sheet1!$B$3:$H$3</c:f>
              <c:numCache>
                <c:formatCode>0.0</c:formatCode>
                <c:ptCount val="7"/>
                <c:pt idx="0">
                  <c:v>13.8</c:v>
                </c:pt>
                <c:pt idx="1">
                  <c:v>9.7791186462429494</c:v>
                </c:pt>
                <c:pt idx="2">
                  <c:v>1.0777172574891267</c:v>
                </c:pt>
                <c:pt idx="3">
                  <c:v>5.9809823946592786</c:v>
                </c:pt>
                <c:pt idx="4">
                  <c:v>2.9804098872792508</c:v>
                </c:pt>
                <c:pt idx="5">
                  <c:v>4.0782980422886084</c:v>
                </c:pt>
                <c:pt idx="6">
                  <c:v>5</c:v>
                </c:pt>
              </c:numCache>
            </c:numRef>
          </c:val>
          <c:extLst xmlns:c16r2="http://schemas.microsoft.com/office/drawing/2015/06/chart">
            <c:ext xmlns:c16="http://schemas.microsoft.com/office/drawing/2014/chart" uri="{C3380CC4-5D6E-409C-BE32-E72D297353CC}">
              <c16:uniqueId val="{00000001-7FA5-4260-BF7B-2448E0CB08C0}"/>
            </c:ext>
          </c:extLst>
        </c:ser>
        <c:dLbls>
          <c:dLblPos val="outEnd"/>
          <c:showLegendKey val="0"/>
          <c:showVal val="1"/>
          <c:showCatName val="0"/>
          <c:showSerName val="0"/>
          <c:showPercent val="0"/>
          <c:showBubbleSize val="0"/>
        </c:dLbls>
        <c:gapWidth val="30"/>
        <c:axId val="210740776"/>
        <c:axId val="210741168"/>
      </c:barChart>
      <c:catAx>
        <c:axId val="210740776"/>
        <c:scaling>
          <c:orientation val="minMax"/>
        </c:scaling>
        <c:delete val="0"/>
        <c:axPos val="b"/>
        <c:numFmt formatCode="#,##0" sourceLinked="0"/>
        <c:majorTickMark val="out"/>
        <c:minorTickMark val="none"/>
        <c:tickLblPos val="low"/>
        <c:txPr>
          <a:bodyPr rot="0" vert="horz"/>
          <a:lstStyle/>
          <a:p>
            <a:pPr>
              <a:defRPr sz="600"/>
            </a:pPr>
            <a:endParaRPr lang="lv-LV"/>
          </a:p>
        </c:txPr>
        <c:crossAx val="210741168"/>
        <c:crosses val="autoZero"/>
        <c:auto val="1"/>
        <c:lblAlgn val="ctr"/>
        <c:lblOffset val="100"/>
        <c:noMultiLvlLbl val="0"/>
      </c:catAx>
      <c:valAx>
        <c:axId val="210741168"/>
        <c:scaling>
          <c:orientation val="minMax"/>
        </c:scaling>
        <c:delete val="1"/>
        <c:axPos val="l"/>
        <c:numFmt formatCode="0" sourceLinked="0"/>
        <c:majorTickMark val="out"/>
        <c:minorTickMark val="none"/>
        <c:tickLblPos val="nextTo"/>
        <c:crossAx val="210740776"/>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10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invertIfNegative val="0"/>
          <c:cat>
            <c:strRef>
              <c:f>Graph!$B$65:$B$67</c:f>
              <c:strCache>
                <c:ptCount val="3"/>
                <c:pt idx="0">
                  <c:v>Pozīcija, pret NAP\Neitrāls</c:v>
                </c:pt>
                <c:pt idx="1">
                  <c:v>Pozīcija, pret NAP\Negatīvs</c:v>
                </c:pt>
                <c:pt idx="2">
                  <c:v>Pozīcija, pret NAP\Pozitīvs</c:v>
                </c:pt>
              </c:strCache>
            </c:strRef>
          </c:cat>
          <c:val>
            <c:numRef>
              <c:f>Graph!$C$65:$C$67</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9F0E-476C-88C1-16ACF9D25B08}"/>
            </c:ext>
          </c:extLst>
        </c:ser>
        <c:ser>
          <c:idx val="0"/>
          <c:order val="0"/>
          <c:invertIfNegative val="0"/>
          <c:cat>
            <c:strRef>
              <c:f>Graph!$B$69:$B$71</c:f>
              <c:strCache>
                <c:ptCount val="3"/>
                <c:pt idx="0">
                  <c:v>Pozitīva</c:v>
                </c:pt>
                <c:pt idx="1">
                  <c:v>Neitrāla</c:v>
                </c:pt>
                <c:pt idx="2">
                  <c:v>Negatīva</c:v>
                </c:pt>
              </c:strCache>
            </c:strRef>
          </c:cat>
          <c:val>
            <c:numRef>
              <c:f>Graph!$C$69:$C$71</c:f>
              <c:numCache>
                <c:formatCode>General</c:formatCode>
                <c:ptCount val="3"/>
                <c:pt idx="0">
                  <c:v>38</c:v>
                </c:pt>
                <c:pt idx="1">
                  <c:v>23</c:v>
                </c:pt>
                <c:pt idx="2">
                  <c:v>9</c:v>
                </c:pt>
              </c:numCache>
            </c:numRef>
          </c:val>
          <c:extLst xmlns:c16r2="http://schemas.microsoft.com/office/drawing/2015/06/chart">
            <c:ext xmlns:c16="http://schemas.microsoft.com/office/drawing/2014/chart" uri="{C3380CC4-5D6E-409C-BE32-E72D297353CC}">
              <c16:uniqueId val="{00000001-9F0E-476C-88C1-16ACF9D25B08}"/>
            </c:ext>
          </c:extLst>
        </c:ser>
        <c:dLbls>
          <c:showLegendKey val="0"/>
          <c:showVal val="0"/>
          <c:showCatName val="0"/>
          <c:showSerName val="0"/>
          <c:showPercent val="0"/>
          <c:showBubbleSize val="0"/>
        </c:dLbls>
        <c:gapWidth val="150"/>
        <c:axId val="216882240"/>
        <c:axId val="216885768"/>
      </c:barChart>
      <c:catAx>
        <c:axId val="216882240"/>
        <c:scaling>
          <c:orientation val="minMax"/>
        </c:scaling>
        <c:delete val="0"/>
        <c:axPos val="b"/>
        <c:numFmt formatCode="General" sourceLinked="0"/>
        <c:majorTickMark val="out"/>
        <c:minorTickMark val="none"/>
        <c:tickLblPos val="nextTo"/>
        <c:crossAx val="216885768"/>
        <c:crosses val="autoZero"/>
        <c:auto val="1"/>
        <c:lblAlgn val="ctr"/>
        <c:lblOffset val="100"/>
        <c:noMultiLvlLbl val="0"/>
      </c:catAx>
      <c:valAx>
        <c:axId val="216885768"/>
        <c:scaling>
          <c:orientation val="minMax"/>
        </c:scaling>
        <c:delete val="0"/>
        <c:axPos val="l"/>
        <c:majorGridlines/>
        <c:numFmt formatCode="General" sourceLinked="1"/>
        <c:majorTickMark val="out"/>
        <c:minorTickMark val="none"/>
        <c:tickLblPos val="nextTo"/>
        <c:crossAx val="216882240"/>
        <c:crosses val="autoZero"/>
        <c:crossBetween val="between"/>
      </c:valAx>
    </c:plotArea>
    <c:plotVisOnly val="1"/>
    <c:dispBlanksAs val="gap"/>
    <c:showDLblsOverMax val="0"/>
  </c:chart>
  <c:spPr>
    <a:ln>
      <a:noFill/>
    </a:ln>
  </c:spPr>
  <c:txPr>
    <a:bodyPr/>
    <a:lstStyle/>
    <a:p>
      <a:pPr>
        <a:defRPr sz="800"/>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dirty="0"/>
              <a:t>Bruto pamatkapitāla veidošana,</a:t>
            </a:r>
            <a:r>
              <a:rPr lang="lv-LV" sz="700" baseline="0" dirty="0"/>
              <a:t> </a:t>
            </a:r>
            <a:r>
              <a:rPr lang="lv-LV" sz="700" dirty="0"/>
              <a:t>dinamika, %</a:t>
            </a:r>
          </a:p>
        </c:rich>
      </c:tx>
      <c:layout>
        <c:manualLayout>
          <c:xMode val="edge"/>
          <c:yMode val="edge"/>
          <c:x val="0.30951351429261215"/>
          <c:y val="0"/>
        </c:manualLayout>
      </c:layout>
      <c:overlay val="0"/>
    </c:title>
    <c:autoTitleDeleted val="0"/>
    <c:plotArea>
      <c:layout>
        <c:manualLayout>
          <c:layoutTarget val="inner"/>
          <c:xMode val="edge"/>
          <c:yMode val="edge"/>
          <c:x val="7.4892981071702683E-2"/>
          <c:y val="4.0999075784612704E-2"/>
          <c:w val="0.87674761549576419"/>
          <c:h val="0.86146560348677126"/>
        </c:manualLayout>
      </c:layout>
      <c:barChart>
        <c:barDir val="col"/>
        <c:grouping val="clustered"/>
        <c:varyColors val="0"/>
        <c:ser>
          <c:idx val="0"/>
          <c:order val="0"/>
          <c:tx>
            <c:strRef>
              <c:f>Sheet1!$A$3</c:f>
              <c:strCache>
                <c:ptCount val="1"/>
                <c:pt idx="0">
                  <c:v>Eksports</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CB75-4740-B249-552936831464}"/>
              </c:ext>
            </c:extLst>
          </c:dPt>
          <c:dLbls>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2007</c:v>
                </c:pt>
                <c:pt idx="1">
                  <c:v>2012</c:v>
                </c:pt>
                <c:pt idx="2">
                  <c:v>2013</c:v>
                </c:pt>
                <c:pt idx="3">
                  <c:v>2014</c:v>
                </c:pt>
                <c:pt idx="4">
                  <c:v>2015</c:v>
                </c:pt>
                <c:pt idx="5">
                  <c:v>2016</c:v>
                </c:pt>
                <c:pt idx="6">
                  <c:v>2017*</c:v>
                </c:pt>
              </c:strCache>
            </c:strRef>
          </c:cat>
          <c:val>
            <c:numRef>
              <c:f>Sheet1!$B$3:$H$3</c:f>
              <c:numCache>
                <c:formatCode>0.0</c:formatCode>
                <c:ptCount val="7"/>
                <c:pt idx="0">
                  <c:v>22.5</c:v>
                </c:pt>
                <c:pt idx="1">
                  <c:v>14.380201954270518</c:v>
                </c:pt>
                <c:pt idx="2">
                  <c:v>-6.031563390325644</c:v>
                </c:pt>
                <c:pt idx="3">
                  <c:v>5.8313501926349431E-2</c:v>
                </c:pt>
                <c:pt idx="4">
                  <c:v>-0.48475022894754716</c:v>
                </c:pt>
                <c:pt idx="5">
                  <c:v>-14.968212460403635</c:v>
                </c:pt>
                <c:pt idx="6" formatCode="General">
                  <c:v>17.5</c:v>
                </c:pt>
              </c:numCache>
            </c:numRef>
          </c:val>
          <c:extLst xmlns:c16r2="http://schemas.microsoft.com/office/drawing/2015/06/chart">
            <c:ext xmlns:c16="http://schemas.microsoft.com/office/drawing/2014/chart" uri="{C3380CC4-5D6E-409C-BE32-E72D297353CC}">
              <c16:uniqueId val="{00000001-CB75-4740-B249-552936831464}"/>
            </c:ext>
          </c:extLst>
        </c:ser>
        <c:dLbls>
          <c:dLblPos val="outEnd"/>
          <c:showLegendKey val="0"/>
          <c:showVal val="1"/>
          <c:showCatName val="0"/>
          <c:showSerName val="0"/>
          <c:showPercent val="0"/>
          <c:showBubbleSize val="0"/>
        </c:dLbls>
        <c:gapWidth val="30"/>
        <c:axId val="210753712"/>
        <c:axId val="210752536"/>
      </c:barChart>
      <c:catAx>
        <c:axId val="210753712"/>
        <c:scaling>
          <c:orientation val="minMax"/>
        </c:scaling>
        <c:delete val="0"/>
        <c:axPos val="b"/>
        <c:numFmt formatCode="#,##0" sourceLinked="0"/>
        <c:majorTickMark val="out"/>
        <c:minorTickMark val="none"/>
        <c:tickLblPos val="low"/>
        <c:txPr>
          <a:bodyPr rot="0" vert="horz"/>
          <a:lstStyle/>
          <a:p>
            <a:pPr>
              <a:defRPr sz="600"/>
            </a:pPr>
            <a:endParaRPr lang="lv-LV"/>
          </a:p>
        </c:txPr>
        <c:crossAx val="210752536"/>
        <c:crosses val="autoZero"/>
        <c:auto val="1"/>
        <c:lblAlgn val="ctr"/>
        <c:lblOffset val="100"/>
        <c:noMultiLvlLbl val="0"/>
      </c:catAx>
      <c:valAx>
        <c:axId val="210752536"/>
        <c:scaling>
          <c:orientation val="minMax"/>
        </c:scaling>
        <c:delete val="1"/>
        <c:axPos val="l"/>
        <c:numFmt formatCode="0" sourceLinked="0"/>
        <c:majorTickMark val="out"/>
        <c:minorTickMark val="none"/>
        <c:tickLblPos val="nextTo"/>
        <c:crossAx val="210753712"/>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10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dirty="0"/>
              <a:t>Privātā patēriņa</a:t>
            </a:r>
            <a:r>
              <a:rPr lang="lv-LV" sz="700" baseline="0" dirty="0"/>
              <a:t> izmaiņas, %</a:t>
            </a:r>
            <a:endParaRPr lang="lv-LV" sz="700" dirty="0"/>
          </a:p>
        </c:rich>
      </c:tx>
      <c:layout>
        <c:manualLayout>
          <c:xMode val="edge"/>
          <c:yMode val="edge"/>
          <c:x val="0.10129990714948932"/>
          <c:y val="3.8640550023645193E-2"/>
        </c:manualLayout>
      </c:layout>
      <c:overlay val="0"/>
    </c:title>
    <c:autoTitleDeleted val="0"/>
    <c:plotArea>
      <c:layout>
        <c:manualLayout>
          <c:layoutTarget val="inner"/>
          <c:xMode val="edge"/>
          <c:yMode val="edge"/>
          <c:x val="7.4892981071702683E-2"/>
          <c:y val="0.15350392951857336"/>
          <c:w val="0.87674761549576419"/>
          <c:h val="0.74896073838395527"/>
        </c:manualLayout>
      </c:layout>
      <c:barChart>
        <c:barDir val="col"/>
        <c:grouping val="clustered"/>
        <c:varyColors val="0"/>
        <c:ser>
          <c:idx val="0"/>
          <c:order val="0"/>
          <c:tx>
            <c:strRef>
              <c:f>Sheet1!$A$3</c:f>
              <c:strCache>
                <c:ptCount val="1"/>
                <c:pt idx="0">
                  <c:v>Eksports</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D518-4D57-BDDF-1BF958D109F6}"/>
              </c:ext>
            </c:extLst>
          </c:dPt>
          <c:dLbls>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2007</c:v>
                </c:pt>
                <c:pt idx="1">
                  <c:v>2012</c:v>
                </c:pt>
                <c:pt idx="2">
                  <c:v>2013</c:v>
                </c:pt>
                <c:pt idx="3">
                  <c:v>2014</c:v>
                </c:pt>
                <c:pt idx="4">
                  <c:v>2015</c:v>
                </c:pt>
                <c:pt idx="5">
                  <c:v>2016</c:v>
                </c:pt>
                <c:pt idx="6">
                  <c:v>2017*</c:v>
                </c:pt>
              </c:strCache>
            </c:strRef>
          </c:cat>
          <c:val>
            <c:numRef>
              <c:f>Sheet1!$B$3:$H$3</c:f>
              <c:numCache>
                <c:formatCode>0.0</c:formatCode>
                <c:ptCount val="7"/>
                <c:pt idx="0">
                  <c:v>10.199999999999999</c:v>
                </c:pt>
                <c:pt idx="1">
                  <c:v>3.1470725291626707</c:v>
                </c:pt>
                <c:pt idx="2">
                  <c:v>5.0524530869034265</c:v>
                </c:pt>
                <c:pt idx="3">
                  <c:v>1.3788418618219112</c:v>
                </c:pt>
                <c:pt idx="4">
                  <c:v>2.5031254587740932</c:v>
                </c:pt>
                <c:pt idx="5">
                  <c:v>3.2896360991061471</c:v>
                </c:pt>
                <c:pt idx="6" formatCode="General">
                  <c:v>4.4000000000000004</c:v>
                </c:pt>
              </c:numCache>
            </c:numRef>
          </c:val>
          <c:extLst xmlns:c16r2="http://schemas.microsoft.com/office/drawing/2015/06/chart">
            <c:ext xmlns:c16="http://schemas.microsoft.com/office/drawing/2014/chart" uri="{C3380CC4-5D6E-409C-BE32-E72D297353CC}">
              <c16:uniqueId val="{00000002-D518-4D57-BDDF-1BF958D109F6}"/>
            </c:ext>
          </c:extLst>
        </c:ser>
        <c:dLbls>
          <c:dLblPos val="outEnd"/>
          <c:showLegendKey val="0"/>
          <c:showVal val="1"/>
          <c:showCatName val="0"/>
          <c:showSerName val="0"/>
          <c:showPercent val="0"/>
          <c:showBubbleSize val="0"/>
        </c:dLbls>
        <c:gapWidth val="30"/>
        <c:axId val="210754104"/>
        <c:axId val="210750968"/>
      </c:barChart>
      <c:catAx>
        <c:axId val="210754104"/>
        <c:scaling>
          <c:orientation val="minMax"/>
        </c:scaling>
        <c:delete val="0"/>
        <c:axPos val="b"/>
        <c:numFmt formatCode="#,##0" sourceLinked="0"/>
        <c:majorTickMark val="out"/>
        <c:minorTickMark val="none"/>
        <c:tickLblPos val="low"/>
        <c:txPr>
          <a:bodyPr rot="0" vert="horz"/>
          <a:lstStyle/>
          <a:p>
            <a:pPr>
              <a:defRPr sz="600"/>
            </a:pPr>
            <a:endParaRPr lang="lv-LV"/>
          </a:p>
        </c:txPr>
        <c:crossAx val="210750968"/>
        <c:crosses val="autoZero"/>
        <c:auto val="1"/>
        <c:lblAlgn val="ctr"/>
        <c:lblOffset val="100"/>
        <c:noMultiLvlLbl val="0"/>
      </c:catAx>
      <c:valAx>
        <c:axId val="210750968"/>
        <c:scaling>
          <c:orientation val="minMax"/>
        </c:scaling>
        <c:delete val="1"/>
        <c:axPos val="l"/>
        <c:numFmt formatCode="0" sourceLinked="0"/>
        <c:majorTickMark val="out"/>
        <c:minorTickMark val="none"/>
        <c:tickLblPos val="nextTo"/>
        <c:crossAx val="210754104"/>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10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a:t>Inflācija, </a:t>
            </a:r>
            <a:br>
              <a:rPr lang="lv-LV" sz="700"/>
            </a:br>
            <a:r>
              <a:rPr lang="lv-LV" sz="700"/>
              <a:t>vidēji gadā, %</a:t>
            </a:r>
          </a:p>
        </c:rich>
      </c:tx>
      <c:layout>
        <c:manualLayout>
          <c:xMode val="edge"/>
          <c:yMode val="edge"/>
          <c:x val="0.33469299020014098"/>
          <c:y val="0"/>
        </c:manualLayout>
      </c:layout>
      <c:overlay val="0"/>
    </c:title>
    <c:autoTitleDeleted val="0"/>
    <c:plotArea>
      <c:layout>
        <c:manualLayout>
          <c:layoutTarget val="inner"/>
          <c:xMode val="edge"/>
          <c:yMode val="edge"/>
          <c:x val="5.7732117569481219E-2"/>
          <c:y val="4.0999075784612704E-2"/>
          <c:w val="0.89390847899798576"/>
          <c:h val="0.86146560348677126"/>
        </c:manualLayout>
      </c:layout>
      <c:barChart>
        <c:barDir val="col"/>
        <c:grouping val="clustered"/>
        <c:varyColors val="0"/>
        <c:ser>
          <c:idx val="0"/>
          <c:order val="0"/>
          <c:tx>
            <c:strRef>
              <c:f>Sheet1!$B$1</c:f>
              <c:strCache>
                <c:ptCount val="1"/>
                <c:pt idx="0">
                  <c:v>2016</c:v>
                </c:pt>
              </c:strCache>
            </c:strRef>
          </c:tx>
          <c:spPr>
            <a:solidFill>
              <a:srgbClr val="0070C0"/>
            </a:solidFill>
            <a:ln>
              <a:noFill/>
            </a:ln>
          </c:spPr>
          <c:invertIfNegative val="0"/>
          <c:dPt>
            <c:idx val="5"/>
            <c:invertIfNegative val="0"/>
            <c:bubble3D val="0"/>
            <c:extLst xmlns:c16r2="http://schemas.microsoft.com/office/drawing/2015/06/chart">
              <c:ext xmlns:c16="http://schemas.microsoft.com/office/drawing/2014/chart" uri="{C3380CC4-5D6E-409C-BE32-E72D297353CC}">
                <c16:uniqueId val="{00000000-B359-42D5-B454-D2746D316AFF}"/>
              </c:ext>
            </c:extLst>
          </c:dPt>
          <c:dPt>
            <c:idx val="7"/>
            <c:invertIfNegative val="0"/>
            <c:bubble3D val="0"/>
            <c:extLst xmlns:c16r2="http://schemas.microsoft.com/office/drawing/2015/06/chart">
              <c:ext xmlns:c16="http://schemas.microsoft.com/office/drawing/2014/chart" uri="{C3380CC4-5D6E-409C-BE32-E72D297353CC}">
                <c16:uniqueId val="{00000001-B359-42D5-B454-D2746D316AFF}"/>
              </c:ext>
            </c:extLst>
          </c:dPt>
          <c:dLbls>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59-42D5-B454-D2746D316AFF}"/>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59-42D5-B454-D2746D316AFF}"/>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359-42D5-B454-D2746D316AFF}"/>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59-42D5-B454-D2746D316AF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Sheet1!$A$2:$A$9</c:f>
              <c:strCache>
                <c:ptCount val="7"/>
                <c:pt idx="0">
                  <c:v>2007</c:v>
                </c:pt>
                <c:pt idx="1">
                  <c:v>2012</c:v>
                </c:pt>
                <c:pt idx="2">
                  <c:v>2013</c:v>
                </c:pt>
                <c:pt idx="3">
                  <c:v>2014</c:v>
                </c:pt>
                <c:pt idx="4">
                  <c:v>2015</c:v>
                </c:pt>
                <c:pt idx="5">
                  <c:v>2016</c:v>
                </c:pt>
                <c:pt idx="6">
                  <c:v>2017*</c:v>
                </c:pt>
              </c:strCache>
            </c:strRef>
          </c:cat>
          <c:val>
            <c:numRef>
              <c:f>Sheet1!$B$2:$B$9</c:f>
              <c:numCache>
                <c:formatCode>0.0</c:formatCode>
                <c:ptCount val="7"/>
                <c:pt idx="0">
                  <c:v>10.1</c:v>
                </c:pt>
                <c:pt idx="1">
                  <c:v>2.2999999999999998</c:v>
                </c:pt>
                <c:pt idx="2">
                  <c:v>0</c:v>
                </c:pt>
                <c:pt idx="3">
                  <c:v>0.6</c:v>
                </c:pt>
                <c:pt idx="4">
                  <c:v>0.2</c:v>
                </c:pt>
                <c:pt idx="5">
                  <c:v>0.1</c:v>
                </c:pt>
                <c:pt idx="6">
                  <c:v>2.5</c:v>
                </c:pt>
              </c:numCache>
            </c:numRef>
          </c:val>
          <c:extLst xmlns:c16r2="http://schemas.microsoft.com/office/drawing/2015/06/chart">
            <c:ext xmlns:c16="http://schemas.microsoft.com/office/drawing/2014/chart" uri="{C3380CC4-5D6E-409C-BE32-E72D297353CC}">
              <c16:uniqueId val="{00000005-B359-42D5-B454-D2746D316AFF}"/>
            </c:ext>
          </c:extLst>
        </c:ser>
        <c:dLbls>
          <c:dLblPos val="outEnd"/>
          <c:showLegendKey val="0"/>
          <c:showVal val="1"/>
          <c:showCatName val="0"/>
          <c:showSerName val="0"/>
          <c:showPercent val="0"/>
          <c:showBubbleSize val="0"/>
        </c:dLbls>
        <c:gapWidth val="30"/>
        <c:axId val="210751360"/>
        <c:axId val="210751752"/>
      </c:barChart>
      <c:catAx>
        <c:axId val="210751360"/>
        <c:scaling>
          <c:orientation val="minMax"/>
        </c:scaling>
        <c:delete val="0"/>
        <c:axPos val="b"/>
        <c:numFmt formatCode="General" sourceLinked="1"/>
        <c:majorTickMark val="out"/>
        <c:minorTickMark val="none"/>
        <c:tickLblPos val="low"/>
        <c:txPr>
          <a:bodyPr rot="0" vert="horz"/>
          <a:lstStyle/>
          <a:p>
            <a:pPr>
              <a:defRPr sz="600"/>
            </a:pPr>
            <a:endParaRPr lang="lv-LV"/>
          </a:p>
        </c:txPr>
        <c:crossAx val="210751752"/>
        <c:crosses val="autoZero"/>
        <c:auto val="1"/>
        <c:lblAlgn val="ctr"/>
        <c:lblOffset val="100"/>
        <c:noMultiLvlLbl val="0"/>
      </c:catAx>
      <c:valAx>
        <c:axId val="210751752"/>
        <c:scaling>
          <c:orientation val="minMax"/>
        </c:scaling>
        <c:delete val="1"/>
        <c:axPos val="l"/>
        <c:numFmt formatCode="0" sourceLinked="0"/>
        <c:majorTickMark val="out"/>
        <c:minorTickMark val="none"/>
        <c:tickLblPos val="nextTo"/>
        <c:crossAx val="210751360"/>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a:t>Rezidentiem izsniegto kredītu apjomu dinamika, perioda beigās, %</a:t>
            </a:r>
          </a:p>
        </c:rich>
      </c:tx>
      <c:layout>
        <c:manualLayout>
          <c:xMode val="edge"/>
          <c:yMode val="edge"/>
          <c:x val="0.23875352490809892"/>
          <c:y val="5.9214080011852693E-3"/>
        </c:manualLayout>
      </c:layout>
      <c:overlay val="0"/>
    </c:title>
    <c:autoTitleDeleted val="0"/>
    <c:plotArea>
      <c:layout>
        <c:manualLayout>
          <c:layoutTarget val="inner"/>
          <c:xMode val="edge"/>
          <c:yMode val="edge"/>
          <c:x val="5.2011829735407418E-2"/>
          <c:y val="0.11205468875303526"/>
          <c:w val="0.8996287668320595"/>
          <c:h val="0.79040997914949318"/>
        </c:manualLayout>
      </c:layout>
      <c:barChart>
        <c:barDir val="col"/>
        <c:grouping val="clustered"/>
        <c:varyColors val="0"/>
        <c:ser>
          <c:idx val="0"/>
          <c:order val="0"/>
          <c:tx>
            <c:strRef>
              <c:f>Sheet1!$A$3</c:f>
              <c:strCache>
                <c:ptCount val="1"/>
                <c:pt idx="0">
                  <c:v>Apstrādes rūpniecība</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B6FA-4603-8ED1-54A1AC8E1D73}"/>
              </c:ext>
            </c:extLst>
          </c:dPt>
          <c:dLbls>
            <c:numFmt formatCode="#,##0.0" sourceLinked="0"/>
            <c:spPr>
              <a:noFill/>
              <a:ln>
                <a:noFill/>
              </a:ln>
              <a:effectLst/>
            </c:spPr>
            <c:txPr>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2007</c:v>
                </c:pt>
                <c:pt idx="1">
                  <c:v>2012</c:v>
                </c:pt>
                <c:pt idx="2">
                  <c:v>2013</c:v>
                </c:pt>
                <c:pt idx="3">
                  <c:v>2014</c:v>
                </c:pt>
                <c:pt idx="4">
                  <c:v>2015</c:v>
                </c:pt>
                <c:pt idx="5">
                  <c:v>2016</c:v>
                </c:pt>
                <c:pt idx="6">
                  <c:v>2017*</c:v>
                </c:pt>
              </c:strCache>
            </c:strRef>
          </c:cat>
          <c:val>
            <c:numRef>
              <c:f>Sheet1!$B$3:$H$3</c:f>
              <c:numCache>
                <c:formatCode>0.0</c:formatCode>
                <c:ptCount val="7"/>
                <c:pt idx="0">
                  <c:v>33.96818938502733</c:v>
                </c:pt>
                <c:pt idx="1">
                  <c:v>-10.491931048673464</c:v>
                </c:pt>
                <c:pt idx="2">
                  <c:v>-6.2398067172115219</c:v>
                </c:pt>
                <c:pt idx="3">
                  <c:v>-7.5707611127682668</c:v>
                </c:pt>
                <c:pt idx="4">
                  <c:v>-1.5338492964990849</c:v>
                </c:pt>
                <c:pt idx="5">
                  <c:v>3.072182905553646</c:v>
                </c:pt>
                <c:pt idx="6">
                  <c:v>1.1946581862571861</c:v>
                </c:pt>
              </c:numCache>
            </c:numRef>
          </c:val>
          <c:extLst xmlns:c16r2="http://schemas.microsoft.com/office/drawing/2015/06/chart">
            <c:ext xmlns:c16="http://schemas.microsoft.com/office/drawing/2014/chart" uri="{C3380CC4-5D6E-409C-BE32-E72D297353CC}">
              <c16:uniqueId val="{00000001-B6FA-4603-8ED1-54A1AC8E1D73}"/>
            </c:ext>
          </c:extLst>
        </c:ser>
        <c:dLbls>
          <c:dLblPos val="outEnd"/>
          <c:showLegendKey val="0"/>
          <c:showVal val="1"/>
          <c:showCatName val="0"/>
          <c:showSerName val="0"/>
          <c:showPercent val="0"/>
          <c:showBubbleSize val="0"/>
        </c:dLbls>
        <c:gapWidth val="30"/>
        <c:axId val="208749432"/>
        <c:axId val="492503816"/>
      </c:barChart>
      <c:catAx>
        <c:axId val="208749432"/>
        <c:scaling>
          <c:orientation val="minMax"/>
        </c:scaling>
        <c:delete val="0"/>
        <c:axPos val="b"/>
        <c:numFmt formatCode="#,##0" sourceLinked="0"/>
        <c:majorTickMark val="out"/>
        <c:minorTickMark val="none"/>
        <c:tickLblPos val="low"/>
        <c:txPr>
          <a:bodyPr rot="0" vert="horz"/>
          <a:lstStyle/>
          <a:p>
            <a:pPr>
              <a:defRPr sz="600"/>
            </a:pPr>
            <a:endParaRPr lang="lv-LV"/>
          </a:p>
        </c:txPr>
        <c:crossAx val="492503816"/>
        <c:crosses val="autoZero"/>
        <c:auto val="1"/>
        <c:lblAlgn val="ctr"/>
        <c:lblOffset val="100"/>
        <c:noMultiLvlLbl val="0"/>
      </c:catAx>
      <c:valAx>
        <c:axId val="492503816"/>
        <c:scaling>
          <c:orientation val="minMax"/>
        </c:scaling>
        <c:delete val="1"/>
        <c:axPos val="l"/>
        <c:numFmt formatCode="0" sourceLinked="0"/>
        <c:majorTickMark val="out"/>
        <c:minorTickMark val="none"/>
        <c:tickLblPos val="nextTo"/>
        <c:crossAx val="208749432"/>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a:t>Budžeta bilance, </a:t>
            </a:r>
          </a:p>
          <a:p>
            <a:pPr>
              <a:defRPr sz="700"/>
            </a:pPr>
            <a:r>
              <a:rPr lang="lv-LV" sz="700"/>
              <a:t>% no IKP</a:t>
            </a:r>
          </a:p>
        </c:rich>
      </c:tx>
      <c:layout>
        <c:manualLayout>
          <c:xMode val="edge"/>
          <c:yMode val="edge"/>
          <c:x val="0.17985350658148391"/>
          <c:y val="0"/>
        </c:manualLayout>
      </c:layout>
      <c:overlay val="0"/>
    </c:title>
    <c:autoTitleDeleted val="0"/>
    <c:plotArea>
      <c:layout>
        <c:manualLayout>
          <c:layoutTarget val="inner"/>
          <c:xMode val="edge"/>
          <c:yMode val="edge"/>
          <c:x val="7.4892981071702683E-2"/>
          <c:y val="0.18903185017474888"/>
          <c:w val="0.87674761549576419"/>
          <c:h val="0.71343281772777956"/>
        </c:manualLayout>
      </c:layout>
      <c:barChart>
        <c:barDir val="col"/>
        <c:grouping val="clustered"/>
        <c:varyColors val="0"/>
        <c:ser>
          <c:idx val="0"/>
          <c:order val="0"/>
          <c:tx>
            <c:strRef>
              <c:f>Sheet1!$A$3</c:f>
              <c:strCache>
                <c:ptCount val="1"/>
                <c:pt idx="0">
                  <c:v>Eksports</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09D6-4B5D-BA32-A61107A9E415}"/>
              </c:ext>
            </c:extLst>
          </c:dPt>
          <c:dLbls>
            <c:dLbl>
              <c:idx val="0"/>
              <c:layout>
                <c:manualLayout>
                  <c:x val="-1.8570102135561744E-2"/>
                  <c:y val="3.35993280134398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D6-4B5D-BA32-A61107A9E415}"/>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Sheet1!$B$2:$G$2</c:f>
              <c:numCache>
                <c:formatCode>0</c:formatCode>
                <c:ptCount val="6"/>
                <c:pt idx="0" formatCode="General">
                  <c:v>2009</c:v>
                </c:pt>
                <c:pt idx="1">
                  <c:v>2012</c:v>
                </c:pt>
                <c:pt idx="2">
                  <c:v>2013</c:v>
                </c:pt>
                <c:pt idx="3">
                  <c:v>2014</c:v>
                </c:pt>
                <c:pt idx="4">
                  <c:v>2015</c:v>
                </c:pt>
                <c:pt idx="5">
                  <c:v>2016</c:v>
                </c:pt>
              </c:numCache>
            </c:numRef>
          </c:cat>
          <c:val>
            <c:numRef>
              <c:f>Sheet1!$B$3:$G$3</c:f>
              <c:numCache>
                <c:formatCode>0.0</c:formatCode>
                <c:ptCount val="6"/>
                <c:pt idx="0" formatCode="General">
                  <c:v>-9.1</c:v>
                </c:pt>
                <c:pt idx="1">
                  <c:v>-1</c:v>
                </c:pt>
                <c:pt idx="2">
                  <c:v>-1</c:v>
                </c:pt>
                <c:pt idx="3">
                  <c:v>-1.6</c:v>
                </c:pt>
                <c:pt idx="4">
                  <c:v>-1.3</c:v>
                </c:pt>
                <c:pt idx="5">
                  <c:v>0</c:v>
                </c:pt>
              </c:numCache>
            </c:numRef>
          </c:val>
          <c:extLst xmlns:c16r2="http://schemas.microsoft.com/office/drawing/2015/06/chart">
            <c:ext xmlns:c16="http://schemas.microsoft.com/office/drawing/2014/chart" uri="{C3380CC4-5D6E-409C-BE32-E72D297353CC}">
              <c16:uniqueId val="{00000001-09D6-4B5D-BA32-A61107A9E415}"/>
            </c:ext>
          </c:extLst>
        </c:ser>
        <c:dLbls>
          <c:dLblPos val="outEnd"/>
          <c:showLegendKey val="0"/>
          <c:showVal val="1"/>
          <c:showCatName val="0"/>
          <c:showSerName val="0"/>
          <c:showPercent val="0"/>
          <c:showBubbleSize val="0"/>
        </c:dLbls>
        <c:gapWidth val="30"/>
        <c:axId val="492504208"/>
        <c:axId val="492500288"/>
      </c:barChart>
      <c:catAx>
        <c:axId val="492504208"/>
        <c:scaling>
          <c:orientation val="minMax"/>
        </c:scaling>
        <c:delete val="0"/>
        <c:axPos val="b"/>
        <c:numFmt formatCode="###0" sourceLinked="0"/>
        <c:majorTickMark val="out"/>
        <c:minorTickMark val="none"/>
        <c:tickLblPos val="low"/>
        <c:txPr>
          <a:bodyPr rot="0" vert="horz"/>
          <a:lstStyle/>
          <a:p>
            <a:pPr>
              <a:defRPr sz="600"/>
            </a:pPr>
            <a:endParaRPr lang="lv-LV"/>
          </a:p>
        </c:txPr>
        <c:crossAx val="492500288"/>
        <c:crosses val="autoZero"/>
        <c:auto val="1"/>
        <c:lblAlgn val="ctr"/>
        <c:lblOffset val="100"/>
        <c:noMultiLvlLbl val="0"/>
      </c:catAx>
      <c:valAx>
        <c:axId val="492500288"/>
        <c:scaling>
          <c:orientation val="minMax"/>
        </c:scaling>
        <c:delete val="1"/>
        <c:axPos val="l"/>
        <c:numFmt formatCode="0" sourceLinked="0"/>
        <c:majorTickMark val="out"/>
        <c:minorTickMark val="none"/>
        <c:tickLblPos val="nextTo"/>
        <c:crossAx val="492504208"/>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a:t>Vispārējās valdības konsolidētais bruto parāds, % no IKP</a:t>
            </a:r>
          </a:p>
        </c:rich>
      </c:tx>
      <c:layout>
        <c:manualLayout>
          <c:xMode val="edge"/>
          <c:yMode val="edge"/>
          <c:x val="0.10662976855805507"/>
          <c:y val="0"/>
        </c:manualLayout>
      </c:layout>
      <c:overlay val="0"/>
    </c:title>
    <c:autoTitleDeleted val="0"/>
    <c:plotArea>
      <c:layout>
        <c:manualLayout>
          <c:layoutTarget val="inner"/>
          <c:xMode val="edge"/>
          <c:yMode val="edge"/>
          <c:x val="6.345240540355504E-2"/>
          <c:y val="0.23788274107699026"/>
          <c:w val="0.8881881911639119"/>
          <c:h val="0.66458192682553829"/>
        </c:manualLayout>
      </c:layout>
      <c:barChart>
        <c:barDir val="col"/>
        <c:grouping val="clustered"/>
        <c:varyColors val="0"/>
        <c:ser>
          <c:idx val="0"/>
          <c:order val="0"/>
          <c:tx>
            <c:strRef>
              <c:f>Sheet1!$A$3</c:f>
              <c:strCache>
                <c:ptCount val="1"/>
                <c:pt idx="0">
                  <c:v>Bruto darba alga</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CB53-4D19-A68F-F9F24D0D21B9}"/>
              </c:ext>
            </c:extLst>
          </c:dPt>
          <c:dLbls>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Sheet1!$B$2:$H$2</c:f>
              <c:numCache>
                <c:formatCode>0</c:formatCode>
                <c:ptCount val="6"/>
                <c:pt idx="0">
                  <c:v>2007</c:v>
                </c:pt>
                <c:pt idx="1">
                  <c:v>2012</c:v>
                </c:pt>
                <c:pt idx="2">
                  <c:v>2013</c:v>
                </c:pt>
                <c:pt idx="3">
                  <c:v>2014</c:v>
                </c:pt>
                <c:pt idx="4">
                  <c:v>2015</c:v>
                </c:pt>
                <c:pt idx="5">
                  <c:v>2016</c:v>
                </c:pt>
              </c:numCache>
            </c:numRef>
          </c:cat>
          <c:val>
            <c:numRef>
              <c:f>Sheet1!$B$3:$H$3</c:f>
              <c:numCache>
                <c:formatCode>0.0</c:formatCode>
                <c:ptCount val="6"/>
                <c:pt idx="0">
                  <c:v>8.4</c:v>
                </c:pt>
                <c:pt idx="1">
                  <c:v>41.2</c:v>
                </c:pt>
                <c:pt idx="2">
                  <c:v>39</c:v>
                </c:pt>
                <c:pt idx="3">
                  <c:v>40.9</c:v>
                </c:pt>
                <c:pt idx="4">
                  <c:v>36.5</c:v>
                </c:pt>
                <c:pt idx="5">
                  <c:v>40.1</c:v>
                </c:pt>
              </c:numCache>
            </c:numRef>
          </c:val>
          <c:extLst xmlns:c16r2="http://schemas.microsoft.com/office/drawing/2015/06/chart">
            <c:ext xmlns:c16="http://schemas.microsoft.com/office/drawing/2014/chart" uri="{C3380CC4-5D6E-409C-BE32-E72D297353CC}">
              <c16:uniqueId val="{00000001-CB53-4D19-A68F-F9F24D0D21B9}"/>
            </c:ext>
          </c:extLst>
        </c:ser>
        <c:dLbls>
          <c:dLblPos val="outEnd"/>
          <c:showLegendKey val="0"/>
          <c:showVal val="1"/>
          <c:showCatName val="0"/>
          <c:showSerName val="0"/>
          <c:showPercent val="0"/>
          <c:showBubbleSize val="0"/>
        </c:dLbls>
        <c:gapWidth val="30"/>
        <c:axId val="492492448"/>
        <c:axId val="492503032"/>
      </c:barChart>
      <c:catAx>
        <c:axId val="492492448"/>
        <c:scaling>
          <c:orientation val="minMax"/>
        </c:scaling>
        <c:delete val="0"/>
        <c:axPos val="b"/>
        <c:numFmt formatCode="###0" sourceLinked="0"/>
        <c:majorTickMark val="out"/>
        <c:minorTickMark val="none"/>
        <c:tickLblPos val="low"/>
        <c:txPr>
          <a:bodyPr rot="0" vert="horz"/>
          <a:lstStyle/>
          <a:p>
            <a:pPr>
              <a:defRPr sz="600"/>
            </a:pPr>
            <a:endParaRPr lang="lv-LV"/>
          </a:p>
        </c:txPr>
        <c:crossAx val="492503032"/>
        <c:crosses val="autoZero"/>
        <c:auto val="1"/>
        <c:lblAlgn val="ctr"/>
        <c:lblOffset val="100"/>
        <c:noMultiLvlLbl val="0"/>
      </c:catAx>
      <c:valAx>
        <c:axId val="492503032"/>
        <c:scaling>
          <c:orientation val="minMax"/>
        </c:scaling>
        <c:delete val="1"/>
        <c:axPos val="l"/>
        <c:numFmt formatCode="0" sourceLinked="0"/>
        <c:majorTickMark val="out"/>
        <c:minorTickMark val="none"/>
        <c:tickLblPos val="nextTo"/>
        <c:crossAx val="492492448"/>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lv-LV" sz="700"/>
              <a:t>Tekošā konta bilance, </a:t>
            </a:r>
          </a:p>
          <a:p>
            <a:pPr>
              <a:defRPr sz="700"/>
            </a:pPr>
            <a:r>
              <a:rPr lang="lv-LV" sz="700"/>
              <a:t>% no IKP</a:t>
            </a:r>
          </a:p>
        </c:rich>
      </c:tx>
      <c:layout>
        <c:manualLayout>
          <c:xMode val="edge"/>
          <c:yMode val="edge"/>
          <c:x val="3.2226438269032529E-2"/>
          <c:y val="0"/>
        </c:manualLayout>
      </c:layout>
      <c:overlay val="0"/>
    </c:title>
    <c:autoTitleDeleted val="0"/>
    <c:plotArea>
      <c:layout>
        <c:manualLayout>
          <c:layoutTarget val="inner"/>
          <c:xMode val="edge"/>
          <c:yMode val="edge"/>
          <c:x val="6.9172693237628868E-2"/>
          <c:y val="0.1416612892998482"/>
          <c:w val="0.88246790332983815"/>
          <c:h val="0.76080337860268032"/>
        </c:manualLayout>
      </c:layout>
      <c:barChart>
        <c:barDir val="col"/>
        <c:grouping val="clustered"/>
        <c:varyColors val="0"/>
        <c:ser>
          <c:idx val="0"/>
          <c:order val="0"/>
          <c:tx>
            <c:strRef>
              <c:f>Sheet1!$A$3</c:f>
              <c:strCache>
                <c:ptCount val="1"/>
                <c:pt idx="0">
                  <c:v>Bezdarba līmenis</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4F79-438A-A158-D7D0AAA6855B}"/>
              </c:ext>
            </c:extLst>
          </c:dPt>
          <c:dLbls>
            <c:numFmt formatCode="#,##0.0" sourceLinked="0"/>
            <c:spPr>
              <a:noFill/>
              <a:ln>
                <a:noFill/>
              </a:ln>
              <a:effectLst/>
            </c:spPr>
            <c:txPr>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2007</c:v>
                </c:pt>
                <c:pt idx="1">
                  <c:v>2012</c:v>
                </c:pt>
                <c:pt idx="2">
                  <c:v>2013</c:v>
                </c:pt>
                <c:pt idx="3">
                  <c:v>2014</c:v>
                </c:pt>
                <c:pt idx="4">
                  <c:v>2015</c:v>
                </c:pt>
                <c:pt idx="5">
                  <c:v>2016</c:v>
                </c:pt>
                <c:pt idx="6">
                  <c:v>2017*</c:v>
                </c:pt>
              </c:strCache>
            </c:strRef>
          </c:cat>
          <c:val>
            <c:numRef>
              <c:f>Sheet1!$B$3:$H$3</c:f>
              <c:numCache>
                <c:formatCode>General</c:formatCode>
                <c:ptCount val="7"/>
                <c:pt idx="0">
                  <c:v>-20.8</c:v>
                </c:pt>
                <c:pt idx="1">
                  <c:v>-3.6</c:v>
                </c:pt>
                <c:pt idx="2">
                  <c:v>-2.7</c:v>
                </c:pt>
                <c:pt idx="3" formatCode="0.0">
                  <c:v>-1.7</c:v>
                </c:pt>
                <c:pt idx="4">
                  <c:v>-0.5</c:v>
                </c:pt>
                <c:pt idx="5">
                  <c:v>1.4</c:v>
                </c:pt>
                <c:pt idx="6">
                  <c:v>-0.3</c:v>
                </c:pt>
              </c:numCache>
            </c:numRef>
          </c:val>
          <c:extLst xmlns:c16r2="http://schemas.microsoft.com/office/drawing/2015/06/chart">
            <c:ext xmlns:c16="http://schemas.microsoft.com/office/drawing/2014/chart" uri="{C3380CC4-5D6E-409C-BE32-E72D297353CC}">
              <c16:uniqueId val="{00000001-4F79-438A-A158-D7D0AAA6855B}"/>
            </c:ext>
          </c:extLst>
        </c:ser>
        <c:dLbls>
          <c:dLblPos val="outEnd"/>
          <c:showLegendKey val="0"/>
          <c:showVal val="1"/>
          <c:showCatName val="0"/>
          <c:showSerName val="0"/>
          <c:showPercent val="0"/>
          <c:showBubbleSize val="0"/>
        </c:dLbls>
        <c:gapWidth val="30"/>
        <c:axId val="492494016"/>
        <c:axId val="492497544"/>
      </c:barChart>
      <c:catAx>
        <c:axId val="492494016"/>
        <c:scaling>
          <c:orientation val="minMax"/>
        </c:scaling>
        <c:delete val="0"/>
        <c:axPos val="b"/>
        <c:numFmt formatCode="#,##0" sourceLinked="0"/>
        <c:majorTickMark val="out"/>
        <c:minorTickMark val="none"/>
        <c:tickLblPos val="low"/>
        <c:txPr>
          <a:bodyPr rot="0" vert="horz"/>
          <a:lstStyle/>
          <a:p>
            <a:pPr>
              <a:defRPr sz="600"/>
            </a:pPr>
            <a:endParaRPr lang="lv-LV"/>
          </a:p>
        </c:txPr>
        <c:crossAx val="492497544"/>
        <c:crosses val="autoZero"/>
        <c:auto val="1"/>
        <c:lblAlgn val="ctr"/>
        <c:lblOffset val="100"/>
        <c:noMultiLvlLbl val="0"/>
      </c:catAx>
      <c:valAx>
        <c:axId val="492497544"/>
        <c:scaling>
          <c:orientation val="minMax"/>
        </c:scaling>
        <c:delete val="1"/>
        <c:axPos val="l"/>
        <c:numFmt formatCode="0" sourceLinked="0"/>
        <c:majorTickMark val="out"/>
        <c:minorTickMark val="none"/>
        <c:tickLblPos val="nextTo"/>
        <c:crossAx val="492494016"/>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Ekonomiski aktīvo iedzīvotāju skaits, tūkst.</a:t>
            </a:r>
          </a:p>
        </c:rich>
      </c:tx>
      <c:layout>
        <c:manualLayout>
          <c:xMode val="edge"/>
          <c:yMode val="edge"/>
          <c:x val="0.22260800269047148"/>
          <c:y val="0"/>
        </c:manualLayout>
      </c:layout>
      <c:overlay val="0"/>
    </c:title>
    <c:autoTitleDeleted val="0"/>
    <c:plotArea>
      <c:layout>
        <c:manualLayout>
          <c:layoutTarget val="inner"/>
          <c:xMode val="edge"/>
          <c:yMode val="edge"/>
          <c:x val="5.7732117569481219E-2"/>
          <c:y val="0.15350392951857336"/>
          <c:w val="0.89390847899798576"/>
          <c:h val="0.74896073838395527"/>
        </c:manualLayout>
      </c:layout>
      <c:barChart>
        <c:barDir val="col"/>
        <c:grouping val="clustered"/>
        <c:varyColors val="0"/>
        <c:ser>
          <c:idx val="0"/>
          <c:order val="0"/>
          <c:tx>
            <c:strRef>
              <c:f>Sheet1!$B$1</c:f>
              <c:strCache>
                <c:ptCount val="1"/>
                <c:pt idx="0">
                  <c:v>2016</c:v>
                </c:pt>
              </c:strCache>
            </c:strRef>
          </c:tx>
          <c:spPr>
            <a:solidFill>
              <a:srgbClr val="0070C0"/>
            </a:solidFill>
            <a:ln>
              <a:noFill/>
            </a:ln>
          </c:spPr>
          <c:invertIfNegative val="0"/>
          <c:dPt>
            <c:idx val="5"/>
            <c:invertIfNegative val="0"/>
            <c:bubble3D val="0"/>
            <c:extLst xmlns:c16r2="http://schemas.microsoft.com/office/drawing/2015/06/chart">
              <c:ext xmlns:c16="http://schemas.microsoft.com/office/drawing/2014/chart" uri="{C3380CC4-5D6E-409C-BE32-E72D297353CC}">
                <c16:uniqueId val="{00000000-7C1C-4E8D-8E17-7739498031B8}"/>
              </c:ext>
            </c:extLst>
          </c:dPt>
          <c:dPt>
            <c:idx val="7"/>
            <c:invertIfNegative val="0"/>
            <c:bubble3D val="0"/>
            <c:extLst xmlns:c16r2="http://schemas.microsoft.com/office/drawing/2015/06/chart">
              <c:ext xmlns:c16="http://schemas.microsoft.com/office/drawing/2014/chart" uri="{C3380CC4-5D6E-409C-BE32-E72D297353CC}">
                <c16:uniqueId val="{00000001-7C1C-4E8D-8E17-7739498031B8}"/>
              </c:ext>
            </c:extLst>
          </c:dPt>
          <c:dLbls>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1C-4E8D-8E17-7739498031B8}"/>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1C-4E8D-8E17-7739498031B8}"/>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1C-4E8D-8E17-7739498031B8}"/>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1C-4E8D-8E17-7739498031B8}"/>
                </c:ext>
                <c:ext xmlns:c15="http://schemas.microsoft.com/office/drawing/2012/chart" uri="{CE6537A1-D6FC-4f65-9D91-7224C49458BB}"/>
              </c:extLst>
            </c:dLbl>
            <c:spPr>
              <a:noFill/>
              <a:ln>
                <a:noFill/>
              </a:ln>
              <a:effectLst/>
            </c:spPr>
            <c:txPr>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Sheet1!$A$2:$A$9</c:f>
              <c:strCache>
                <c:ptCount val="7"/>
                <c:pt idx="0">
                  <c:v>2007</c:v>
                </c:pt>
                <c:pt idx="1">
                  <c:v>2012</c:v>
                </c:pt>
                <c:pt idx="2">
                  <c:v>2013</c:v>
                </c:pt>
                <c:pt idx="3">
                  <c:v>2014</c:v>
                </c:pt>
                <c:pt idx="4">
                  <c:v>2015</c:v>
                </c:pt>
                <c:pt idx="5">
                  <c:v>2016</c:v>
                </c:pt>
                <c:pt idx="6">
                  <c:v>2017*</c:v>
                </c:pt>
              </c:strCache>
            </c:strRef>
          </c:cat>
          <c:val>
            <c:numRef>
              <c:f>Sheet1!$B$2:$B$9</c:f>
              <c:numCache>
                <c:formatCode>0</c:formatCode>
                <c:ptCount val="7"/>
                <c:pt idx="0">
                  <c:v>1125.5</c:v>
                </c:pt>
                <c:pt idx="1">
                  <c:v>1030.7</c:v>
                </c:pt>
                <c:pt idx="2">
                  <c:v>1014</c:v>
                </c:pt>
                <c:pt idx="3">
                  <c:v>992</c:v>
                </c:pt>
                <c:pt idx="4">
                  <c:v>994</c:v>
                </c:pt>
                <c:pt idx="5">
                  <c:v>989</c:v>
                </c:pt>
                <c:pt idx="6">
                  <c:v>976</c:v>
                </c:pt>
              </c:numCache>
            </c:numRef>
          </c:val>
          <c:extLst xmlns:c16r2="http://schemas.microsoft.com/office/drawing/2015/06/chart">
            <c:ext xmlns:c16="http://schemas.microsoft.com/office/drawing/2014/chart" uri="{C3380CC4-5D6E-409C-BE32-E72D297353CC}">
              <c16:uniqueId val="{00000005-7C1C-4E8D-8E17-7739498031B8}"/>
            </c:ext>
          </c:extLst>
        </c:ser>
        <c:dLbls>
          <c:dLblPos val="outEnd"/>
          <c:showLegendKey val="0"/>
          <c:showVal val="1"/>
          <c:showCatName val="0"/>
          <c:showSerName val="0"/>
          <c:showPercent val="0"/>
          <c:showBubbleSize val="0"/>
        </c:dLbls>
        <c:gapWidth val="30"/>
        <c:axId val="492492056"/>
        <c:axId val="492496760"/>
      </c:barChart>
      <c:catAx>
        <c:axId val="492492056"/>
        <c:scaling>
          <c:orientation val="minMax"/>
        </c:scaling>
        <c:delete val="0"/>
        <c:axPos val="b"/>
        <c:numFmt formatCode="General" sourceLinked="1"/>
        <c:majorTickMark val="out"/>
        <c:minorTickMark val="none"/>
        <c:tickLblPos val="low"/>
        <c:txPr>
          <a:bodyPr rot="0" vert="horz"/>
          <a:lstStyle/>
          <a:p>
            <a:pPr>
              <a:defRPr sz="600"/>
            </a:pPr>
            <a:endParaRPr lang="lv-LV"/>
          </a:p>
        </c:txPr>
        <c:crossAx val="492496760"/>
        <c:crosses val="autoZero"/>
        <c:auto val="1"/>
        <c:lblAlgn val="ctr"/>
        <c:lblOffset val="100"/>
        <c:noMultiLvlLbl val="0"/>
      </c:catAx>
      <c:valAx>
        <c:axId val="492496760"/>
        <c:scaling>
          <c:orientation val="minMax"/>
        </c:scaling>
        <c:delete val="1"/>
        <c:axPos val="l"/>
        <c:numFmt formatCode="0" sourceLinked="0"/>
        <c:majorTickMark val="out"/>
        <c:minorTickMark val="none"/>
        <c:tickLblPos val="nextTo"/>
        <c:crossAx val="492492056"/>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Nodarbināto iedzīvotāju skaits, tūkst.</a:t>
            </a:r>
          </a:p>
        </c:rich>
      </c:tx>
      <c:layout>
        <c:manualLayout>
          <c:xMode val="edge"/>
          <c:yMode val="edge"/>
          <c:x val="0.23979850708076533"/>
          <c:y val="5.9214080011852693E-3"/>
        </c:manualLayout>
      </c:layout>
      <c:overlay val="0"/>
    </c:title>
    <c:autoTitleDeleted val="0"/>
    <c:plotArea>
      <c:layout>
        <c:manualLayout>
          <c:layoutTarget val="inner"/>
          <c:xMode val="edge"/>
          <c:yMode val="edge"/>
          <c:x val="5.2011829735407418E-2"/>
          <c:y val="0.16534656973729853"/>
          <c:w val="0.8996287668320595"/>
          <c:h val="0.73711809816523"/>
        </c:manualLayout>
      </c:layout>
      <c:barChart>
        <c:barDir val="col"/>
        <c:grouping val="clustered"/>
        <c:varyColors val="0"/>
        <c:ser>
          <c:idx val="0"/>
          <c:order val="0"/>
          <c:tx>
            <c:strRef>
              <c:f>Sheet1!$A$3</c:f>
              <c:strCache>
                <c:ptCount val="1"/>
                <c:pt idx="0">
                  <c:v>Apstrādes rūpniecība</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EAF1-4871-B32F-D626BC32BCE4}"/>
              </c:ext>
            </c:extLst>
          </c:dPt>
          <c:dLbls>
            <c:numFmt formatCode="0" sourceLinked="0"/>
            <c:spPr>
              <a:noFill/>
              <a:ln>
                <a:noFill/>
              </a:ln>
              <a:effectLst/>
            </c:spPr>
            <c:txPr>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2007</c:v>
                </c:pt>
                <c:pt idx="1">
                  <c:v>2012</c:v>
                </c:pt>
                <c:pt idx="2">
                  <c:v>2013</c:v>
                </c:pt>
                <c:pt idx="3">
                  <c:v>2014</c:v>
                </c:pt>
                <c:pt idx="4">
                  <c:v>2015</c:v>
                </c:pt>
                <c:pt idx="5">
                  <c:v>2016</c:v>
                </c:pt>
                <c:pt idx="6">
                  <c:v>2017*</c:v>
                </c:pt>
              </c:strCache>
            </c:strRef>
          </c:cat>
          <c:val>
            <c:numRef>
              <c:f>Sheet1!$B$3:$H$3</c:f>
              <c:numCache>
                <c:formatCode>0</c:formatCode>
                <c:ptCount val="7"/>
                <c:pt idx="0">
                  <c:v>1057</c:v>
                </c:pt>
                <c:pt idx="1">
                  <c:v>876</c:v>
                </c:pt>
                <c:pt idx="2">
                  <c:v>894</c:v>
                </c:pt>
                <c:pt idx="3">
                  <c:v>885</c:v>
                </c:pt>
                <c:pt idx="4">
                  <c:v>896</c:v>
                </c:pt>
                <c:pt idx="5">
                  <c:v>893</c:v>
                </c:pt>
                <c:pt idx="6">
                  <c:v>887</c:v>
                </c:pt>
              </c:numCache>
            </c:numRef>
          </c:val>
          <c:extLst xmlns:c16r2="http://schemas.microsoft.com/office/drawing/2015/06/chart">
            <c:ext xmlns:c16="http://schemas.microsoft.com/office/drawing/2014/chart" uri="{C3380CC4-5D6E-409C-BE32-E72D297353CC}">
              <c16:uniqueId val="{00000001-EAF1-4871-B32F-D626BC32BCE4}"/>
            </c:ext>
          </c:extLst>
        </c:ser>
        <c:dLbls>
          <c:dLblPos val="outEnd"/>
          <c:showLegendKey val="0"/>
          <c:showVal val="1"/>
          <c:showCatName val="0"/>
          <c:showSerName val="0"/>
          <c:showPercent val="0"/>
          <c:showBubbleSize val="0"/>
        </c:dLbls>
        <c:gapWidth val="30"/>
        <c:axId val="492502248"/>
        <c:axId val="492497152"/>
      </c:barChart>
      <c:catAx>
        <c:axId val="492502248"/>
        <c:scaling>
          <c:orientation val="minMax"/>
        </c:scaling>
        <c:delete val="0"/>
        <c:axPos val="b"/>
        <c:numFmt formatCode="#,##0" sourceLinked="0"/>
        <c:majorTickMark val="out"/>
        <c:minorTickMark val="none"/>
        <c:tickLblPos val="low"/>
        <c:txPr>
          <a:bodyPr rot="0" vert="horz"/>
          <a:lstStyle/>
          <a:p>
            <a:pPr>
              <a:defRPr sz="600"/>
            </a:pPr>
            <a:endParaRPr lang="lv-LV"/>
          </a:p>
        </c:txPr>
        <c:crossAx val="492497152"/>
        <c:crosses val="autoZero"/>
        <c:auto val="1"/>
        <c:lblAlgn val="ctr"/>
        <c:lblOffset val="100"/>
        <c:noMultiLvlLbl val="0"/>
      </c:catAx>
      <c:valAx>
        <c:axId val="492497152"/>
        <c:scaling>
          <c:orientation val="minMax"/>
        </c:scaling>
        <c:delete val="1"/>
        <c:axPos val="l"/>
        <c:numFmt formatCode="0" sourceLinked="0"/>
        <c:majorTickMark val="out"/>
        <c:minorTickMark val="none"/>
        <c:tickLblPos val="nextTo"/>
        <c:crossAx val="492502248"/>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Bezdarba līmenis, %</a:t>
            </a:r>
          </a:p>
        </c:rich>
      </c:tx>
      <c:layout>
        <c:manualLayout>
          <c:xMode val="edge"/>
          <c:yMode val="edge"/>
          <c:x val="0.26435251746714661"/>
          <c:y val="4.4409895643738925E-3"/>
        </c:manualLayout>
      </c:layout>
      <c:overlay val="0"/>
    </c:title>
    <c:autoTitleDeleted val="0"/>
    <c:plotArea>
      <c:layout>
        <c:manualLayout>
          <c:layoutTarget val="inner"/>
          <c:xMode val="edge"/>
          <c:yMode val="edge"/>
          <c:x val="6.9172693237628868E-2"/>
          <c:y val="0.11205468875303526"/>
          <c:w val="0.88246790332983815"/>
          <c:h val="0.79040997914949329"/>
        </c:manualLayout>
      </c:layout>
      <c:barChart>
        <c:barDir val="col"/>
        <c:grouping val="clustered"/>
        <c:varyColors val="0"/>
        <c:ser>
          <c:idx val="0"/>
          <c:order val="0"/>
          <c:tx>
            <c:strRef>
              <c:f>Sheet1!$A$3</c:f>
              <c:strCache>
                <c:ptCount val="1"/>
                <c:pt idx="0">
                  <c:v>Bezdarba līmenis</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C132-49D4-82C5-372F7D1AD99E}"/>
              </c:ext>
            </c:extLst>
          </c:dPt>
          <c:dLbls>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2007</c:v>
                </c:pt>
                <c:pt idx="1">
                  <c:v>2012</c:v>
                </c:pt>
                <c:pt idx="2">
                  <c:v>2013</c:v>
                </c:pt>
                <c:pt idx="3">
                  <c:v>2014</c:v>
                </c:pt>
                <c:pt idx="4">
                  <c:v>2015</c:v>
                </c:pt>
                <c:pt idx="5">
                  <c:v>2016</c:v>
                </c:pt>
                <c:pt idx="6">
                  <c:v>2017*</c:v>
                </c:pt>
              </c:strCache>
            </c:strRef>
          </c:cat>
          <c:val>
            <c:numRef>
              <c:f>Sheet1!$B$3:$H$3</c:f>
              <c:numCache>
                <c:formatCode>General</c:formatCode>
                <c:ptCount val="7"/>
                <c:pt idx="0">
                  <c:v>6.1</c:v>
                </c:pt>
                <c:pt idx="1">
                  <c:v>15</c:v>
                </c:pt>
                <c:pt idx="2">
                  <c:v>11.9</c:v>
                </c:pt>
                <c:pt idx="3" formatCode="0.0">
                  <c:v>10.8</c:v>
                </c:pt>
                <c:pt idx="4">
                  <c:v>9.9</c:v>
                </c:pt>
                <c:pt idx="5">
                  <c:v>9.5</c:v>
                </c:pt>
                <c:pt idx="6">
                  <c:v>9.1</c:v>
                </c:pt>
              </c:numCache>
            </c:numRef>
          </c:val>
          <c:extLst xmlns:c16r2="http://schemas.microsoft.com/office/drawing/2015/06/chart">
            <c:ext xmlns:c16="http://schemas.microsoft.com/office/drawing/2014/chart" uri="{C3380CC4-5D6E-409C-BE32-E72D297353CC}">
              <c16:uniqueId val="{00000001-C132-49D4-82C5-372F7D1AD99E}"/>
            </c:ext>
          </c:extLst>
        </c:ser>
        <c:dLbls>
          <c:dLblPos val="outEnd"/>
          <c:showLegendKey val="0"/>
          <c:showVal val="1"/>
          <c:showCatName val="0"/>
          <c:showSerName val="0"/>
          <c:showPercent val="0"/>
          <c:showBubbleSize val="0"/>
        </c:dLbls>
        <c:gapWidth val="30"/>
        <c:axId val="492493232"/>
        <c:axId val="492502640"/>
      </c:barChart>
      <c:catAx>
        <c:axId val="492493232"/>
        <c:scaling>
          <c:orientation val="minMax"/>
        </c:scaling>
        <c:delete val="0"/>
        <c:axPos val="b"/>
        <c:numFmt formatCode="#,##0" sourceLinked="0"/>
        <c:majorTickMark val="out"/>
        <c:minorTickMark val="none"/>
        <c:tickLblPos val="low"/>
        <c:txPr>
          <a:bodyPr rot="0" vert="horz"/>
          <a:lstStyle/>
          <a:p>
            <a:pPr>
              <a:defRPr sz="600"/>
            </a:pPr>
            <a:endParaRPr lang="lv-LV"/>
          </a:p>
        </c:txPr>
        <c:crossAx val="492502640"/>
        <c:crosses val="autoZero"/>
        <c:auto val="1"/>
        <c:lblAlgn val="ctr"/>
        <c:lblOffset val="100"/>
        <c:noMultiLvlLbl val="0"/>
      </c:catAx>
      <c:valAx>
        <c:axId val="492502640"/>
        <c:scaling>
          <c:orientation val="minMax"/>
        </c:scaling>
        <c:delete val="1"/>
        <c:axPos val="l"/>
        <c:numFmt formatCode="0" sourceLinked="0"/>
        <c:majorTickMark val="out"/>
        <c:minorTickMark val="none"/>
        <c:tickLblPos val="nextTo"/>
        <c:crossAx val="492493232"/>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9358575548399"/>
          <c:y val="6.5524785676577907E-2"/>
          <c:w val="0.61941609150707999"/>
          <c:h val="0.78662551210843701"/>
        </c:manualLayout>
      </c:layout>
      <c:barChart>
        <c:barDir val="col"/>
        <c:grouping val="clustered"/>
        <c:varyColors val="0"/>
        <c:ser>
          <c:idx val="0"/>
          <c:order val="0"/>
          <c:tx>
            <c:v>Kopējie JPI piešķīrumi pa gadiem, mlj euro</c:v>
          </c:tx>
          <c:invertIfNegative val="0"/>
          <c:dLbls>
            <c:dLbl>
              <c:idx val="1"/>
              <c:layout>
                <c:manualLayout>
                  <c:x val="0"/>
                  <c:y val="-2.341276804187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37-4E9D-A226-CF0C9C494EC8}"/>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Sheet2!$A$366:$F$366</c:f>
              <c:numCache>
                <c:formatCode>General</c:formatCode>
                <c:ptCount val="6"/>
                <c:pt idx="0">
                  <c:v>2014</c:v>
                </c:pt>
                <c:pt idx="1">
                  <c:v>2015</c:v>
                </c:pt>
                <c:pt idx="2" formatCode="#,##0">
                  <c:v>2016</c:v>
                </c:pt>
                <c:pt idx="3">
                  <c:v>2017</c:v>
                </c:pt>
                <c:pt idx="4">
                  <c:v>2018</c:v>
                </c:pt>
                <c:pt idx="5">
                  <c:v>2019</c:v>
                </c:pt>
              </c:numCache>
            </c:numRef>
          </c:cat>
          <c:val>
            <c:numRef>
              <c:f>Sheet2!$A$365:$F$365</c:f>
              <c:numCache>
                <c:formatCode>#,##0.00,,</c:formatCode>
                <c:ptCount val="6"/>
                <c:pt idx="0">
                  <c:v>179642406</c:v>
                </c:pt>
                <c:pt idx="1">
                  <c:v>360203633</c:v>
                </c:pt>
                <c:pt idx="2">
                  <c:v>499457869.32319599</c:v>
                </c:pt>
                <c:pt idx="3">
                  <c:v>243970090</c:v>
                </c:pt>
                <c:pt idx="4">
                  <c:v>134989628</c:v>
                </c:pt>
                <c:pt idx="5">
                  <c:v>72505227</c:v>
                </c:pt>
              </c:numCache>
            </c:numRef>
          </c:val>
          <c:extLst xmlns:c16r2="http://schemas.microsoft.com/office/drawing/2015/06/chart">
            <c:ext xmlns:c16="http://schemas.microsoft.com/office/drawing/2014/chart" uri="{C3380CC4-5D6E-409C-BE32-E72D297353CC}">
              <c16:uniqueId val="{00000001-FD37-4E9D-A226-CF0C9C494EC8}"/>
            </c:ext>
          </c:extLst>
        </c:ser>
        <c:dLbls>
          <c:dLblPos val="outEnd"/>
          <c:showLegendKey val="0"/>
          <c:showVal val="1"/>
          <c:showCatName val="0"/>
          <c:showSerName val="0"/>
          <c:showPercent val="0"/>
          <c:showBubbleSize val="0"/>
        </c:dLbls>
        <c:gapWidth val="150"/>
        <c:axId val="216879104"/>
        <c:axId val="216886944"/>
      </c:barChart>
      <c:catAx>
        <c:axId val="216879104"/>
        <c:scaling>
          <c:orientation val="minMax"/>
        </c:scaling>
        <c:delete val="0"/>
        <c:axPos val="b"/>
        <c:numFmt formatCode="General" sourceLinked="1"/>
        <c:majorTickMark val="out"/>
        <c:minorTickMark val="none"/>
        <c:tickLblPos val="nextTo"/>
        <c:crossAx val="216886944"/>
        <c:crosses val="autoZero"/>
        <c:auto val="1"/>
        <c:lblAlgn val="ctr"/>
        <c:lblOffset val="100"/>
        <c:noMultiLvlLbl val="0"/>
      </c:catAx>
      <c:valAx>
        <c:axId val="216886944"/>
        <c:scaling>
          <c:orientation val="minMax"/>
        </c:scaling>
        <c:delete val="0"/>
        <c:axPos val="l"/>
        <c:majorGridlines/>
        <c:numFmt formatCode="#,##0.00,," sourceLinked="1"/>
        <c:majorTickMark val="out"/>
        <c:minorTickMark val="none"/>
        <c:tickLblPos val="nextTo"/>
        <c:crossAx val="216879104"/>
        <c:crosses val="autoZero"/>
        <c:crossBetween val="between"/>
      </c:valAx>
    </c:plotArea>
    <c:legend>
      <c:legendPos val="r"/>
      <c:layout>
        <c:manualLayout>
          <c:xMode val="edge"/>
          <c:yMode val="edge"/>
          <c:x val="0.757329841871618"/>
          <c:y val="0.40943889068804901"/>
          <c:w val="0.22723805936295"/>
          <c:h val="0.26964879213044501"/>
        </c:manualLayout>
      </c:layout>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Brīvo darbavietu skaita izmaiņas, %</a:t>
            </a:r>
          </a:p>
        </c:rich>
      </c:tx>
      <c:layout>
        <c:manualLayout>
          <c:xMode val="edge"/>
          <c:yMode val="edge"/>
          <c:x val="3.1292815417571423E-2"/>
          <c:y val="0"/>
        </c:manualLayout>
      </c:layout>
      <c:overlay val="0"/>
    </c:title>
    <c:autoTitleDeleted val="0"/>
    <c:plotArea>
      <c:layout>
        <c:manualLayout>
          <c:layoutTarget val="inner"/>
          <c:xMode val="edge"/>
          <c:yMode val="edge"/>
          <c:x val="7.4892981071702683E-2"/>
          <c:y val="0.10021204853431008"/>
          <c:w val="0.87674761549576419"/>
          <c:h val="0.80225261936821857"/>
        </c:manualLayout>
      </c:layout>
      <c:barChart>
        <c:barDir val="col"/>
        <c:grouping val="clustered"/>
        <c:varyColors val="0"/>
        <c:ser>
          <c:idx val="0"/>
          <c:order val="0"/>
          <c:tx>
            <c:strRef>
              <c:f>Sheet1!$A$3</c:f>
              <c:strCache>
                <c:ptCount val="1"/>
                <c:pt idx="0">
                  <c:v>Eksports</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C634-4190-92D1-CDD86DB4D396}"/>
              </c:ext>
            </c:extLst>
          </c:dPt>
          <c:dLbls>
            <c:numFmt formatCode="#,##0.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2009</c:v>
                </c:pt>
                <c:pt idx="1">
                  <c:v>2012</c:v>
                </c:pt>
                <c:pt idx="2">
                  <c:v>2013</c:v>
                </c:pt>
                <c:pt idx="3">
                  <c:v>2014</c:v>
                </c:pt>
                <c:pt idx="4">
                  <c:v>2015</c:v>
                </c:pt>
                <c:pt idx="5">
                  <c:v>2016</c:v>
                </c:pt>
                <c:pt idx="6">
                  <c:v>2017*</c:v>
                </c:pt>
              </c:strCache>
            </c:strRef>
          </c:cat>
          <c:val>
            <c:numRef>
              <c:f>Sheet1!$B$3:$H$3</c:f>
              <c:numCache>
                <c:formatCode>0.0</c:formatCode>
                <c:ptCount val="7"/>
                <c:pt idx="0">
                  <c:v>7.3</c:v>
                </c:pt>
                <c:pt idx="1">
                  <c:v>11.4</c:v>
                </c:pt>
                <c:pt idx="2">
                  <c:v>13.5</c:v>
                </c:pt>
                <c:pt idx="3">
                  <c:v>12.3</c:v>
                </c:pt>
                <c:pt idx="4">
                  <c:v>13.2</c:v>
                </c:pt>
                <c:pt idx="5">
                  <c:v>14.4</c:v>
                </c:pt>
                <c:pt idx="6">
                  <c:v>17.600000000000001</c:v>
                </c:pt>
              </c:numCache>
            </c:numRef>
          </c:val>
          <c:extLst xmlns:c16r2="http://schemas.microsoft.com/office/drawing/2015/06/chart">
            <c:ext xmlns:c16="http://schemas.microsoft.com/office/drawing/2014/chart" uri="{C3380CC4-5D6E-409C-BE32-E72D297353CC}">
              <c16:uniqueId val="{00000001-C634-4190-92D1-CDD86DB4D396}"/>
            </c:ext>
          </c:extLst>
        </c:ser>
        <c:dLbls>
          <c:dLblPos val="outEnd"/>
          <c:showLegendKey val="0"/>
          <c:showVal val="1"/>
          <c:showCatName val="0"/>
          <c:showSerName val="0"/>
          <c:showPercent val="0"/>
          <c:showBubbleSize val="0"/>
        </c:dLbls>
        <c:gapWidth val="30"/>
        <c:axId val="492494408"/>
        <c:axId val="492494800"/>
      </c:barChart>
      <c:catAx>
        <c:axId val="492494408"/>
        <c:scaling>
          <c:orientation val="minMax"/>
        </c:scaling>
        <c:delete val="0"/>
        <c:axPos val="b"/>
        <c:numFmt formatCode="#,##0" sourceLinked="0"/>
        <c:majorTickMark val="out"/>
        <c:minorTickMark val="none"/>
        <c:tickLblPos val="low"/>
        <c:txPr>
          <a:bodyPr rot="0" vert="horz"/>
          <a:lstStyle/>
          <a:p>
            <a:pPr>
              <a:defRPr sz="600"/>
            </a:pPr>
            <a:endParaRPr lang="lv-LV"/>
          </a:p>
        </c:txPr>
        <c:crossAx val="492494800"/>
        <c:crosses val="autoZero"/>
        <c:auto val="1"/>
        <c:lblAlgn val="ctr"/>
        <c:lblOffset val="100"/>
        <c:noMultiLvlLbl val="0"/>
      </c:catAx>
      <c:valAx>
        <c:axId val="492494800"/>
        <c:scaling>
          <c:orientation val="minMax"/>
        </c:scaling>
        <c:delete val="1"/>
        <c:axPos val="l"/>
        <c:numFmt formatCode="0" sourceLinked="0"/>
        <c:majorTickMark val="out"/>
        <c:minorTickMark val="none"/>
        <c:tickLblPos val="nextTo"/>
        <c:crossAx val="492494408"/>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t>Vidējā bruto darba alga EUR</a:t>
            </a:r>
          </a:p>
        </c:rich>
      </c:tx>
      <c:layout>
        <c:manualLayout>
          <c:xMode val="edge"/>
          <c:yMode val="edge"/>
          <c:x val="3.2349264141425214E-2"/>
          <c:y val="0"/>
        </c:manualLayout>
      </c:layout>
      <c:overlay val="0"/>
    </c:title>
    <c:autoTitleDeleted val="0"/>
    <c:plotArea>
      <c:layout>
        <c:manualLayout>
          <c:layoutTarget val="inner"/>
          <c:xMode val="edge"/>
          <c:yMode val="edge"/>
          <c:x val="6.345240540355504E-2"/>
          <c:y val="7.2086002735229956E-2"/>
          <c:w val="0.8881881911639119"/>
          <c:h val="0.83037867653615405"/>
        </c:manualLayout>
      </c:layout>
      <c:barChart>
        <c:barDir val="col"/>
        <c:grouping val="clustered"/>
        <c:varyColors val="0"/>
        <c:ser>
          <c:idx val="0"/>
          <c:order val="0"/>
          <c:tx>
            <c:strRef>
              <c:f>Sheet1!$A$3</c:f>
              <c:strCache>
                <c:ptCount val="1"/>
                <c:pt idx="0">
                  <c:v>Bruto darba alga</c:v>
                </c:pt>
              </c:strCache>
            </c:strRef>
          </c:tx>
          <c:spPr>
            <a:solidFill>
              <a:srgbClr val="0070C0"/>
            </a:solidFill>
          </c:spPr>
          <c:invertIfNegative val="0"/>
          <c:dPt>
            <c:idx val="7"/>
            <c:invertIfNegative val="0"/>
            <c:bubble3D val="0"/>
            <c:extLst xmlns:c16r2="http://schemas.microsoft.com/office/drawing/2015/06/chart">
              <c:ext xmlns:c16="http://schemas.microsoft.com/office/drawing/2014/chart" uri="{C3380CC4-5D6E-409C-BE32-E72D297353CC}">
                <c16:uniqueId val="{00000000-58F4-4993-BEF7-17FF956BE98C}"/>
              </c:ext>
            </c:extLst>
          </c:dPt>
          <c:dLbls>
            <c:numFmt formatCode="#,##0" sourceLinked="0"/>
            <c:spPr>
              <a:noFill/>
              <a:ln>
                <a:noFill/>
              </a:ln>
              <a:effectLst/>
            </c:spPr>
            <c:txPr>
              <a:bodyPr wrap="square" lIns="38100" tIns="19050" rIns="38100" bIns="19050" anchor="ctr">
                <a:spAutoFit/>
              </a:bodyPr>
              <a:lstStyle/>
              <a:p>
                <a:pPr>
                  <a:defRPr sz="7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Sheet1!$B$2:$H$2</c:f>
              <c:strCache>
                <c:ptCount val="7"/>
                <c:pt idx="0">
                  <c:v>2012</c:v>
                </c:pt>
                <c:pt idx="1">
                  <c:v>2012</c:v>
                </c:pt>
                <c:pt idx="2">
                  <c:v>2013</c:v>
                </c:pt>
                <c:pt idx="3">
                  <c:v>2014</c:v>
                </c:pt>
                <c:pt idx="4">
                  <c:v>2015</c:v>
                </c:pt>
                <c:pt idx="5">
                  <c:v>2016</c:v>
                </c:pt>
                <c:pt idx="6">
                  <c:v>2017*</c:v>
                </c:pt>
              </c:strCache>
            </c:strRef>
          </c:cat>
          <c:val>
            <c:numRef>
              <c:f>Sheet1!$B$3:$H$3</c:f>
              <c:numCache>
                <c:formatCode>0</c:formatCode>
                <c:ptCount val="7"/>
                <c:pt idx="0">
                  <c:v>566</c:v>
                </c:pt>
                <c:pt idx="1">
                  <c:v>685</c:v>
                </c:pt>
                <c:pt idx="2">
                  <c:v>716</c:v>
                </c:pt>
                <c:pt idx="3">
                  <c:v>765</c:v>
                </c:pt>
                <c:pt idx="4">
                  <c:v>818</c:v>
                </c:pt>
                <c:pt idx="5">
                  <c:v>859</c:v>
                </c:pt>
                <c:pt idx="6">
                  <c:v>942</c:v>
                </c:pt>
              </c:numCache>
            </c:numRef>
          </c:val>
          <c:extLst xmlns:c16r2="http://schemas.microsoft.com/office/drawing/2015/06/chart">
            <c:ext xmlns:c16="http://schemas.microsoft.com/office/drawing/2014/chart" uri="{C3380CC4-5D6E-409C-BE32-E72D297353CC}">
              <c16:uniqueId val="{00000001-58F4-4993-BEF7-17FF956BE98C}"/>
            </c:ext>
          </c:extLst>
        </c:ser>
        <c:dLbls>
          <c:dLblPos val="outEnd"/>
          <c:showLegendKey val="0"/>
          <c:showVal val="1"/>
          <c:showCatName val="0"/>
          <c:showSerName val="0"/>
          <c:showPercent val="0"/>
          <c:showBubbleSize val="0"/>
        </c:dLbls>
        <c:gapWidth val="30"/>
        <c:axId val="492495584"/>
        <c:axId val="492497936"/>
      </c:barChart>
      <c:catAx>
        <c:axId val="492495584"/>
        <c:scaling>
          <c:orientation val="minMax"/>
        </c:scaling>
        <c:delete val="0"/>
        <c:axPos val="b"/>
        <c:numFmt formatCode="#,##0" sourceLinked="0"/>
        <c:majorTickMark val="out"/>
        <c:minorTickMark val="none"/>
        <c:tickLblPos val="low"/>
        <c:txPr>
          <a:bodyPr rot="0" vert="horz"/>
          <a:lstStyle/>
          <a:p>
            <a:pPr>
              <a:defRPr sz="600"/>
            </a:pPr>
            <a:endParaRPr lang="lv-LV"/>
          </a:p>
        </c:txPr>
        <c:crossAx val="492497936"/>
        <c:crosses val="autoZero"/>
        <c:auto val="1"/>
        <c:lblAlgn val="ctr"/>
        <c:lblOffset val="100"/>
        <c:noMultiLvlLbl val="0"/>
      </c:catAx>
      <c:valAx>
        <c:axId val="492497936"/>
        <c:scaling>
          <c:orientation val="minMax"/>
          <c:min val="400"/>
        </c:scaling>
        <c:delete val="1"/>
        <c:axPos val="l"/>
        <c:numFmt formatCode="0" sourceLinked="0"/>
        <c:majorTickMark val="out"/>
        <c:minorTickMark val="none"/>
        <c:tickLblPos val="nextTo"/>
        <c:crossAx val="492495584"/>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2700">
      <a:noFill/>
    </a:ln>
  </c:spPr>
  <c:txPr>
    <a:bodyPr/>
    <a:lstStyle/>
    <a:p>
      <a:pPr>
        <a:defRPr sz="800" b="0">
          <a:solidFill>
            <a:srgbClr val="000000"/>
          </a:solidFill>
          <a:latin typeface="Calibri Light" panose="020F0302020204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733458177278445"/>
          <c:y val="1.6657106229361503E-2"/>
          <c:w val="0.67110133003037675"/>
          <c:h val="0.65073052419423716"/>
        </c:manualLayout>
      </c:layout>
      <c:barChart>
        <c:barDir val="bar"/>
        <c:grouping val="percentStacked"/>
        <c:varyColors val="0"/>
        <c:ser>
          <c:idx val="0"/>
          <c:order val="0"/>
          <c:tx>
            <c:strRef>
              <c:f>Sheet1!$B$1</c:f>
              <c:strCache>
                <c:ptCount val="1"/>
                <c:pt idx="0">
                  <c:v>Zemo tehnoloģiju nozares</c:v>
                </c:pt>
              </c:strCache>
            </c:strRef>
          </c:tx>
          <c:spPr>
            <a:solidFill>
              <a:srgbClr val="4BACC6">
                <a:lumMod val="75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solidFill>
                      <a:schemeClr val="bg1"/>
                    </a:solidFill>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Sheet1!$B$2:$B$6</c:f>
              <c:numCache>
                <c:formatCode>0%</c:formatCode>
                <c:ptCount val="3"/>
                <c:pt idx="0">
                  <c:v>0.57110033188664777</c:v>
                </c:pt>
                <c:pt idx="1">
                  <c:v>0.16</c:v>
                </c:pt>
                <c:pt idx="2">
                  <c:v>0.26</c:v>
                </c:pt>
              </c:numCache>
            </c:numRef>
          </c:val>
          <c:extLst xmlns:c16r2="http://schemas.microsoft.com/office/drawing/2015/06/chart">
            <c:ext xmlns:c16="http://schemas.microsoft.com/office/drawing/2014/chart" uri="{C3380CC4-5D6E-409C-BE32-E72D297353CC}">
              <c16:uniqueId val="{00000000-B462-4773-93BD-4A2597C308F5}"/>
            </c:ext>
          </c:extLst>
        </c:ser>
        <c:ser>
          <c:idx val="1"/>
          <c:order val="1"/>
          <c:tx>
            <c:strRef>
              <c:f>Sheet1!$C$1</c:f>
              <c:strCache>
                <c:ptCount val="1"/>
                <c:pt idx="0">
                  <c:v>Vidēji zemo tehnoloģiju nozares</c:v>
                </c:pt>
              </c:strCache>
            </c:strRef>
          </c:tx>
          <c:spPr>
            <a:solidFill>
              <a:srgbClr val="4F81BD">
                <a:lumMod val="75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solidFill>
                      <a:schemeClr val="bg1"/>
                    </a:solidFill>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Sheet1!$C$2:$C$6</c:f>
              <c:numCache>
                <c:formatCode>0%</c:formatCode>
                <c:ptCount val="3"/>
                <c:pt idx="0">
                  <c:v>0.23487362777635939</c:v>
                </c:pt>
                <c:pt idx="1">
                  <c:v>0.25</c:v>
                </c:pt>
                <c:pt idx="2">
                  <c:v>0.26</c:v>
                </c:pt>
              </c:numCache>
            </c:numRef>
          </c:val>
          <c:extLst xmlns:c16r2="http://schemas.microsoft.com/office/drawing/2015/06/chart">
            <c:ext xmlns:c16="http://schemas.microsoft.com/office/drawing/2014/chart" uri="{C3380CC4-5D6E-409C-BE32-E72D297353CC}">
              <c16:uniqueId val="{00000001-B462-4773-93BD-4A2597C308F5}"/>
            </c:ext>
          </c:extLst>
        </c:ser>
        <c:ser>
          <c:idx val="2"/>
          <c:order val="2"/>
          <c:tx>
            <c:strRef>
              <c:f>Sheet1!$D$1</c:f>
              <c:strCache>
                <c:ptCount val="1"/>
                <c:pt idx="0">
                  <c:v>Vidēji augsto tehnoloģiju nozares</c:v>
                </c:pt>
              </c:strCache>
            </c:strRef>
          </c:tx>
          <c:spPr>
            <a:solidFill>
              <a:srgbClr val="F79646">
                <a:lumMod val="60000"/>
                <a:lumOff val="40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Sheet1!$D$2:$D$6</c:f>
              <c:numCache>
                <c:formatCode>0%</c:formatCode>
                <c:ptCount val="3"/>
                <c:pt idx="0">
                  <c:v>0.12274700025529746</c:v>
                </c:pt>
                <c:pt idx="1">
                  <c:v>0.5</c:v>
                </c:pt>
                <c:pt idx="2">
                  <c:v>0.35000000000000009</c:v>
                </c:pt>
              </c:numCache>
            </c:numRef>
          </c:val>
          <c:extLst xmlns:c16r2="http://schemas.microsoft.com/office/drawing/2015/06/chart">
            <c:ext xmlns:c16="http://schemas.microsoft.com/office/drawing/2014/chart" uri="{C3380CC4-5D6E-409C-BE32-E72D297353CC}">
              <c16:uniqueId val="{00000002-B462-4773-93BD-4A2597C308F5}"/>
            </c:ext>
          </c:extLst>
        </c:ser>
        <c:ser>
          <c:idx val="3"/>
          <c:order val="3"/>
          <c:tx>
            <c:strRef>
              <c:f>Sheet1!$E$1</c:f>
              <c:strCache>
                <c:ptCount val="1"/>
                <c:pt idx="0">
                  <c:v>Augsto tehnoloģiju nozares</c:v>
                </c:pt>
              </c:strCache>
            </c:strRef>
          </c:tx>
          <c:spPr>
            <a:solidFill>
              <a:srgbClr val="F79646">
                <a:lumMod val="75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Sheet1!$E$2:$E$6</c:f>
              <c:numCache>
                <c:formatCode>0%</c:formatCode>
                <c:ptCount val="3"/>
                <c:pt idx="0">
                  <c:v>7.1279040081695139E-2</c:v>
                </c:pt>
                <c:pt idx="1">
                  <c:v>0.1</c:v>
                </c:pt>
                <c:pt idx="2">
                  <c:v>0.14000000000000001</c:v>
                </c:pt>
              </c:numCache>
            </c:numRef>
          </c:val>
          <c:extLst xmlns:c16r2="http://schemas.microsoft.com/office/drawing/2015/06/chart">
            <c:ext xmlns:c16="http://schemas.microsoft.com/office/drawing/2014/chart" uri="{C3380CC4-5D6E-409C-BE32-E72D297353CC}">
              <c16:uniqueId val="{00000003-B462-4773-93BD-4A2597C308F5}"/>
            </c:ext>
          </c:extLst>
        </c:ser>
        <c:dLbls>
          <c:showLegendKey val="0"/>
          <c:showVal val="0"/>
          <c:showCatName val="0"/>
          <c:showSerName val="0"/>
          <c:showPercent val="0"/>
          <c:showBubbleSize val="0"/>
        </c:dLbls>
        <c:gapWidth val="20"/>
        <c:overlap val="100"/>
        <c:axId val="492498328"/>
        <c:axId val="492498720"/>
      </c:barChart>
      <c:catAx>
        <c:axId val="492498328"/>
        <c:scaling>
          <c:orientation val="minMax"/>
        </c:scaling>
        <c:delete val="0"/>
        <c:axPos val="l"/>
        <c:numFmt formatCode="General" sourceLinked="0"/>
        <c:majorTickMark val="out"/>
        <c:minorTickMark val="none"/>
        <c:tickLblPos val="nextTo"/>
        <c:txPr>
          <a:bodyPr/>
          <a:lstStyle/>
          <a:p>
            <a:pPr>
              <a:defRPr sz="600"/>
            </a:pPr>
            <a:endParaRPr lang="lv-LV"/>
          </a:p>
        </c:txPr>
        <c:crossAx val="492498720"/>
        <c:crosses val="autoZero"/>
        <c:auto val="1"/>
        <c:lblAlgn val="ctr"/>
        <c:lblOffset val="100"/>
        <c:noMultiLvlLbl val="0"/>
      </c:catAx>
      <c:valAx>
        <c:axId val="492498720"/>
        <c:scaling>
          <c:orientation val="minMax"/>
        </c:scaling>
        <c:delete val="0"/>
        <c:axPos val="b"/>
        <c:numFmt formatCode="0%" sourceLinked="1"/>
        <c:majorTickMark val="out"/>
        <c:minorTickMark val="none"/>
        <c:tickLblPos val="nextTo"/>
        <c:txPr>
          <a:bodyPr/>
          <a:lstStyle/>
          <a:p>
            <a:pPr>
              <a:defRPr sz="500"/>
            </a:pPr>
            <a:endParaRPr lang="lv-LV"/>
          </a:p>
        </c:txPr>
        <c:crossAx val="492498328"/>
        <c:crosses val="autoZero"/>
        <c:crossBetween val="between"/>
      </c:valAx>
      <c:spPr>
        <a:noFill/>
        <a:ln w="25350">
          <a:noFill/>
        </a:ln>
      </c:spPr>
    </c:plotArea>
    <c:legend>
      <c:legendPos val="b"/>
      <c:layout>
        <c:manualLayout>
          <c:xMode val="edge"/>
          <c:yMode val="edge"/>
          <c:x val="1.2601458707318597E-2"/>
          <c:y val="0.76767725075580306"/>
          <c:w val="0.98652334515644691"/>
          <c:h val="0.21652962577074825"/>
        </c:manualLayout>
      </c:layout>
      <c:overlay val="0"/>
      <c:txPr>
        <a:bodyPr/>
        <a:lstStyle/>
        <a:p>
          <a:pPr>
            <a:defRPr sz="500"/>
          </a:pPr>
          <a:endParaRPr lang="lv-LV"/>
        </a:p>
      </c:txPr>
    </c:legend>
    <c:plotVisOnly val="1"/>
    <c:dispBlanksAs val="gap"/>
    <c:showDLblsOverMax val="0"/>
  </c:chart>
  <c:spPr>
    <a:noFill/>
    <a:ln>
      <a:noFill/>
    </a:ln>
  </c:spPr>
  <c:txPr>
    <a:bodyPr/>
    <a:lstStyle/>
    <a:p>
      <a:pPr>
        <a:defRPr sz="700">
          <a:latin typeface="Arial Narrow" pitchFamily="34" charset="0"/>
        </a:defRPr>
      </a:pPr>
      <a:endParaRPr lang="lv-LV"/>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355112582983346"/>
          <c:y val="2.2353356699729373E-2"/>
          <c:w val="0.49930061974192391"/>
          <c:h val="0.84898561698314401"/>
        </c:manualLayout>
      </c:layout>
      <c:barChart>
        <c:barDir val="bar"/>
        <c:grouping val="clustered"/>
        <c:varyColors val="0"/>
        <c:ser>
          <c:idx val="0"/>
          <c:order val="0"/>
          <c:tx>
            <c:strRef>
              <c:f>Sheet1!$B$1</c:f>
              <c:strCache>
                <c:ptCount val="1"/>
                <c:pt idx="0">
                  <c:v>Vācija </c:v>
                </c:pt>
              </c:strCache>
            </c:strRef>
          </c:tx>
          <c:spPr>
            <a:solidFill>
              <a:srgbClr val="4BACC6">
                <a:lumMod val="75000"/>
              </a:srgbClr>
            </a:solidFill>
            <a:ln w="3175">
              <a:solidFill>
                <a:prstClr val="black"/>
              </a:solidFill>
            </a:ln>
          </c:spPr>
          <c:invertIfNegative val="0"/>
          <c:cat>
            <c:strRef>
              <c:f>Sheet1!$A$2:$A$5</c:f>
              <c:strCache>
                <c:ptCount val="4"/>
                <c:pt idx="0">
                  <c:v>Zemo tehnoloģiju nozares</c:v>
                </c:pt>
                <c:pt idx="1">
                  <c:v>Vidēji zemo tehnoloģiju nozares</c:v>
                </c:pt>
                <c:pt idx="2">
                  <c:v>Vidēji augsto tehnoloģiju nozares</c:v>
                </c:pt>
                <c:pt idx="3">
                  <c:v>Augsto tehnoloģiju nozares</c:v>
                </c:pt>
              </c:strCache>
            </c:strRef>
          </c:cat>
          <c:val>
            <c:numRef>
              <c:f>Sheet1!$B$2:$B$5</c:f>
              <c:numCache>
                <c:formatCode>General</c:formatCode>
                <c:ptCount val="4"/>
                <c:pt idx="0">
                  <c:v>48</c:v>
                </c:pt>
                <c:pt idx="1">
                  <c:v>60.5</c:v>
                </c:pt>
                <c:pt idx="2">
                  <c:v>87.5</c:v>
                </c:pt>
                <c:pt idx="3">
                  <c:v>97.3</c:v>
                </c:pt>
              </c:numCache>
            </c:numRef>
          </c:val>
          <c:extLst xmlns:c16r2="http://schemas.microsoft.com/office/drawing/2015/06/chart">
            <c:ext xmlns:c16="http://schemas.microsoft.com/office/drawing/2014/chart" uri="{C3380CC4-5D6E-409C-BE32-E72D297353CC}">
              <c16:uniqueId val="{00000000-F8D6-4726-BD83-E9BF6120CA08}"/>
            </c:ext>
          </c:extLst>
        </c:ser>
        <c:ser>
          <c:idx val="1"/>
          <c:order val="1"/>
          <c:tx>
            <c:strRef>
              <c:f>Sheet1!$C$1</c:f>
              <c:strCache>
                <c:ptCount val="1"/>
                <c:pt idx="0">
                  <c:v>Latvija</c:v>
                </c:pt>
              </c:strCache>
            </c:strRef>
          </c:tx>
          <c:spPr>
            <a:solidFill>
              <a:srgbClr val="C00000"/>
            </a:solidFill>
            <a:ln w="3175">
              <a:solidFill>
                <a:schemeClr val="tx1"/>
              </a:solidFill>
            </a:ln>
          </c:spPr>
          <c:invertIfNegative val="0"/>
          <c:cat>
            <c:strRef>
              <c:f>Sheet1!$A$2:$A$5</c:f>
              <c:strCache>
                <c:ptCount val="4"/>
                <c:pt idx="0">
                  <c:v>Zemo tehnoloģiju nozares</c:v>
                </c:pt>
                <c:pt idx="1">
                  <c:v>Vidēji zemo tehnoloģiju nozares</c:v>
                </c:pt>
                <c:pt idx="2">
                  <c:v>Vidēji augsto tehnoloģiju nozares</c:v>
                </c:pt>
                <c:pt idx="3">
                  <c:v>Augsto tehnoloģiju nozares</c:v>
                </c:pt>
              </c:strCache>
            </c:strRef>
          </c:cat>
          <c:val>
            <c:numRef>
              <c:f>Sheet1!$C$2:$C$5</c:f>
              <c:numCache>
                <c:formatCode>General</c:formatCode>
                <c:ptCount val="4"/>
                <c:pt idx="0">
                  <c:v>14.3</c:v>
                </c:pt>
                <c:pt idx="1">
                  <c:v>17</c:v>
                </c:pt>
                <c:pt idx="2">
                  <c:v>18.8</c:v>
                </c:pt>
                <c:pt idx="3">
                  <c:v>37</c:v>
                </c:pt>
              </c:numCache>
            </c:numRef>
          </c:val>
          <c:extLst xmlns:c16r2="http://schemas.microsoft.com/office/drawing/2015/06/chart">
            <c:ext xmlns:c16="http://schemas.microsoft.com/office/drawing/2014/chart" uri="{C3380CC4-5D6E-409C-BE32-E72D297353CC}">
              <c16:uniqueId val="{00000001-F8D6-4726-BD83-E9BF6120CA08}"/>
            </c:ext>
          </c:extLst>
        </c:ser>
        <c:dLbls>
          <c:showLegendKey val="0"/>
          <c:showVal val="0"/>
          <c:showCatName val="0"/>
          <c:showSerName val="0"/>
          <c:showPercent val="0"/>
          <c:showBubbleSize val="0"/>
        </c:dLbls>
        <c:gapWidth val="50"/>
        <c:axId val="492501072"/>
        <c:axId val="492499504"/>
      </c:barChart>
      <c:catAx>
        <c:axId val="492501072"/>
        <c:scaling>
          <c:orientation val="minMax"/>
        </c:scaling>
        <c:delete val="0"/>
        <c:axPos val="l"/>
        <c:numFmt formatCode="General" sourceLinked="0"/>
        <c:majorTickMark val="out"/>
        <c:minorTickMark val="none"/>
        <c:tickLblPos val="nextTo"/>
        <c:crossAx val="492499504"/>
        <c:crosses val="autoZero"/>
        <c:auto val="1"/>
        <c:lblAlgn val="ctr"/>
        <c:lblOffset val="100"/>
        <c:noMultiLvlLbl val="0"/>
      </c:catAx>
      <c:valAx>
        <c:axId val="492499504"/>
        <c:scaling>
          <c:orientation val="minMax"/>
        </c:scaling>
        <c:delete val="0"/>
        <c:axPos val="b"/>
        <c:numFmt formatCode="General" sourceLinked="1"/>
        <c:majorTickMark val="out"/>
        <c:minorTickMark val="none"/>
        <c:tickLblPos val="nextTo"/>
        <c:crossAx val="492501072"/>
        <c:crosses val="autoZero"/>
        <c:crossBetween val="between"/>
        <c:majorUnit val="25"/>
      </c:valAx>
      <c:spPr>
        <a:noFill/>
        <a:ln w="25348">
          <a:noFill/>
        </a:ln>
      </c:spPr>
    </c:plotArea>
    <c:legend>
      <c:legendPos val="r"/>
      <c:layout>
        <c:manualLayout>
          <c:xMode val="edge"/>
          <c:yMode val="edge"/>
          <c:x val="0.70447476323524072"/>
          <c:y val="0.65307773836199179"/>
          <c:w val="0.18192929411639017"/>
          <c:h val="0.16812257717938917"/>
        </c:manualLayout>
      </c:layout>
      <c:overlay val="0"/>
      <c:spPr>
        <a:noFill/>
      </c:spPr>
    </c:legend>
    <c:plotVisOnly val="1"/>
    <c:dispBlanksAs val="gap"/>
    <c:showDLblsOverMax val="0"/>
  </c:chart>
  <c:spPr>
    <a:noFill/>
    <a:ln>
      <a:noFill/>
    </a:ln>
  </c:spPr>
  <c:txPr>
    <a:bodyPr/>
    <a:lstStyle/>
    <a:p>
      <a:pPr>
        <a:defRPr sz="500">
          <a:latin typeface="Arial Narrow" pitchFamily="34" charset="0"/>
        </a:defRPr>
      </a:pPr>
      <a:endParaRPr lang="lv-LV"/>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9332583427074"/>
          <c:y val="2.2933549432739061E-2"/>
          <c:w val="0.83939578981198781"/>
          <c:h val="0.78698362664148347"/>
        </c:manualLayout>
      </c:layout>
      <c:barChart>
        <c:barDir val="col"/>
        <c:grouping val="stacked"/>
        <c:varyColors val="0"/>
        <c:ser>
          <c:idx val="0"/>
          <c:order val="0"/>
          <c:tx>
            <c:strRef>
              <c:f>Sheet1!$A$2</c:f>
              <c:strCache>
                <c:ptCount val="1"/>
                <c:pt idx="0">
                  <c:v>Preču eksports</c:v>
                </c:pt>
              </c:strCache>
            </c:strRef>
          </c:tx>
          <c:spPr>
            <a:solidFill>
              <a:srgbClr val="C0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Sheet1!$B$2:$D$2</c:f>
              <c:numCache>
                <c:formatCode>General</c:formatCode>
                <c:ptCount val="3"/>
                <c:pt idx="0">
                  <c:v>42.389776144406532</c:v>
                </c:pt>
                <c:pt idx="1">
                  <c:v>62.322038492816489</c:v>
                </c:pt>
                <c:pt idx="2">
                  <c:v>55.372260121654051</c:v>
                </c:pt>
              </c:numCache>
            </c:numRef>
          </c:val>
          <c:extLst xmlns:c16r2="http://schemas.microsoft.com/office/drawing/2015/06/chart">
            <c:ext xmlns:c16="http://schemas.microsoft.com/office/drawing/2014/chart" uri="{C3380CC4-5D6E-409C-BE32-E72D297353CC}">
              <c16:uniqueId val="{00000000-E196-4464-8F4D-AB722EB6D0E6}"/>
            </c:ext>
          </c:extLst>
        </c:ser>
        <c:ser>
          <c:idx val="1"/>
          <c:order val="1"/>
          <c:tx>
            <c:strRef>
              <c:f>Sheet1!$A$3</c:f>
              <c:strCache>
                <c:ptCount val="1"/>
                <c:pt idx="0">
                  <c:v>Pakalpojumu eksports</c:v>
                </c:pt>
              </c:strCache>
            </c:strRef>
          </c:tx>
          <c:spPr>
            <a:solidFill>
              <a:schemeClr val="accent6">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Sheet1!$B$3:$D$3</c:f>
              <c:numCache>
                <c:formatCode>General</c:formatCode>
                <c:ptCount val="3"/>
                <c:pt idx="0">
                  <c:v>16.770329609539147</c:v>
                </c:pt>
                <c:pt idx="1">
                  <c:v>16.312008674437518</c:v>
                </c:pt>
                <c:pt idx="2">
                  <c:v>26.221395325527929</c:v>
                </c:pt>
              </c:numCache>
            </c:numRef>
          </c:val>
          <c:extLst xmlns:c16r2="http://schemas.microsoft.com/office/drawing/2015/06/chart">
            <c:ext xmlns:c16="http://schemas.microsoft.com/office/drawing/2014/chart" uri="{C3380CC4-5D6E-409C-BE32-E72D297353CC}">
              <c16:uniqueId val="{00000001-E196-4464-8F4D-AB722EB6D0E6}"/>
            </c:ext>
          </c:extLst>
        </c:ser>
        <c:dLbls>
          <c:showLegendKey val="0"/>
          <c:showVal val="1"/>
          <c:showCatName val="0"/>
          <c:showSerName val="0"/>
          <c:showPercent val="0"/>
          <c:showBubbleSize val="0"/>
        </c:dLbls>
        <c:gapWidth val="50"/>
        <c:overlap val="100"/>
        <c:axId val="492504600"/>
        <c:axId val="492507344"/>
      </c:barChart>
      <c:catAx>
        <c:axId val="49250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92507344"/>
        <c:crosses val="autoZero"/>
        <c:auto val="1"/>
        <c:lblAlgn val="ctr"/>
        <c:lblOffset val="100"/>
        <c:noMultiLvlLbl val="0"/>
      </c:catAx>
      <c:valAx>
        <c:axId val="492507344"/>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92504600"/>
        <c:crosses val="autoZero"/>
        <c:crossBetween val="between"/>
        <c:majorUnit val="20"/>
      </c:valAx>
      <c:spPr>
        <a:noFill/>
        <a:ln>
          <a:noFill/>
        </a:ln>
        <a:effectLst/>
      </c:spPr>
    </c:plotArea>
    <c:legend>
      <c:legendPos val="b"/>
      <c:layout>
        <c:manualLayout>
          <c:xMode val="edge"/>
          <c:yMode val="edge"/>
          <c:x val="7.6227614405342189E-2"/>
          <c:y val="0.91860603121530393"/>
          <c:w val="0.84754405699287594"/>
          <c:h val="7.7476103574573435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2342071813077E-2"/>
          <c:y val="7.3206541490006063E-2"/>
          <c:w val="0.89200740481654306"/>
          <c:h val="0.71178679588128402"/>
        </c:manualLayout>
      </c:layout>
      <c:barChart>
        <c:barDir val="col"/>
        <c:grouping val="clustered"/>
        <c:varyColors val="0"/>
        <c:ser>
          <c:idx val="1"/>
          <c:order val="0"/>
          <c:tx>
            <c:strRef>
              <c:f>Sheet1!$A$3</c:f>
              <c:strCache>
                <c:ptCount val="1"/>
                <c:pt idx="0">
                  <c:v>IKT pakalpojumu eksports</c:v>
                </c:pt>
              </c:strCache>
            </c:strRef>
          </c:tx>
          <c:spPr>
            <a:solidFill>
              <a:srgbClr val="00B05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AAF7-40CF-9CCA-3D8ECAD4AC9C}"/>
              </c:ext>
            </c:extLst>
          </c:dPt>
          <c:dPt>
            <c:idx val="1"/>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3-AAF7-40CF-9CCA-3D8ECAD4AC9C}"/>
              </c:ext>
            </c:extLst>
          </c:dPt>
          <c:dPt>
            <c:idx val="2"/>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5-AAF7-40CF-9CCA-3D8ECAD4AC9C}"/>
              </c:ext>
            </c:extLst>
          </c:dPt>
          <c:dLbls>
            <c:numFmt formatCode="#,##0.0" sourceLinked="0"/>
            <c:spPr>
              <a:noFill/>
              <a:ln>
                <a:noFill/>
              </a:ln>
              <a:effectLst/>
            </c:spPr>
            <c:txPr>
              <a:bodyPr rot="0" vert="horz"/>
              <a:lstStyle/>
              <a:p>
                <a:pPr>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Sheet1!$B$3:$D$3</c:f>
              <c:numCache>
                <c:formatCode>General</c:formatCode>
                <c:ptCount val="3"/>
                <c:pt idx="0">
                  <c:v>1.5</c:v>
                </c:pt>
                <c:pt idx="1">
                  <c:v>0.6</c:v>
                </c:pt>
                <c:pt idx="2">
                  <c:v>2.2999999999999998</c:v>
                </c:pt>
              </c:numCache>
            </c:numRef>
          </c:val>
          <c:extLst xmlns:c16r2="http://schemas.microsoft.com/office/drawing/2015/06/chart">
            <c:ext xmlns:c16="http://schemas.microsoft.com/office/drawing/2014/chart" uri="{C3380CC4-5D6E-409C-BE32-E72D297353CC}">
              <c16:uniqueId val="{00000006-AAF7-40CF-9CCA-3D8ECAD4AC9C}"/>
            </c:ext>
          </c:extLst>
        </c:ser>
        <c:dLbls>
          <c:showLegendKey val="0"/>
          <c:showVal val="1"/>
          <c:showCatName val="0"/>
          <c:showSerName val="0"/>
          <c:showPercent val="0"/>
          <c:showBubbleSize val="0"/>
        </c:dLbls>
        <c:gapWidth val="75"/>
        <c:axId val="492514008"/>
        <c:axId val="492515184"/>
      </c:barChart>
      <c:catAx>
        <c:axId val="49251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492515184"/>
        <c:crosses val="autoZero"/>
        <c:auto val="1"/>
        <c:lblAlgn val="ctr"/>
        <c:lblOffset val="100"/>
        <c:noMultiLvlLbl val="0"/>
      </c:catAx>
      <c:valAx>
        <c:axId val="492515184"/>
        <c:scaling>
          <c:orientation val="minMax"/>
          <c:min val="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492514008"/>
        <c:crosses val="autoZero"/>
        <c:crossBetween val="between"/>
      </c:valAx>
      <c:spPr>
        <a:noFill/>
        <a:ln>
          <a:noFill/>
        </a:ln>
        <a:effectLst/>
      </c:spPr>
    </c:plotArea>
    <c:plotVisOnly val="1"/>
    <c:dispBlanksAs val="gap"/>
    <c:showDLblsOverMax val="0"/>
  </c:chart>
  <c:spPr>
    <a:noFill/>
    <a:ln>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2684644066709"/>
          <c:y val="0.11215381482487105"/>
          <c:w val="0.8570790279122088"/>
          <c:h val="0.66864139288623403"/>
        </c:manualLayout>
      </c:layout>
      <c:barChart>
        <c:barDir val="col"/>
        <c:grouping val="clustered"/>
        <c:varyColors val="0"/>
        <c:ser>
          <c:idx val="1"/>
          <c:order val="0"/>
          <c:tx>
            <c:strRef>
              <c:f>Sheet1!$A$3</c:f>
              <c:strCache>
                <c:ptCount val="1"/>
                <c:pt idx="0">
                  <c:v>Augsto tehnoloģiju produktu eksports</c:v>
                </c:pt>
              </c:strCache>
            </c:strRef>
          </c:tx>
          <c:spPr>
            <a:solidFill>
              <a:srgbClr val="00B0F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C982-49BD-B6AD-8157B00AC05A}"/>
              </c:ext>
            </c:extLst>
          </c:dPt>
          <c:dPt>
            <c:idx val="1"/>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3-C982-49BD-B6AD-8157B00AC05A}"/>
              </c:ext>
            </c:extLst>
          </c:dPt>
          <c:dPt>
            <c:idx val="2"/>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5-C982-49BD-B6AD-8157B00AC05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Sheet1!$B$3:$D$3</c:f>
              <c:numCache>
                <c:formatCode>General</c:formatCode>
                <c:ptCount val="3"/>
                <c:pt idx="0">
                  <c:v>4.2</c:v>
                </c:pt>
                <c:pt idx="1">
                  <c:v>4.4000000000000004</c:v>
                </c:pt>
                <c:pt idx="2">
                  <c:v>8.6999999999999993</c:v>
                </c:pt>
              </c:numCache>
            </c:numRef>
          </c:val>
          <c:extLst xmlns:c16r2="http://schemas.microsoft.com/office/drawing/2015/06/chart">
            <c:ext xmlns:c16="http://schemas.microsoft.com/office/drawing/2014/chart" uri="{C3380CC4-5D6E-409C-BE32-E72D297353CC}">
              <c16:uniqueId val="{00000006-C982-49BD-B6AD-8157B00AC05A}"/>
            </c:ext>
          </c:extLst>
        </c:ser>
        <c:dLbls>
          <c:showLegendKey val="0"/>
          <c:showVal val="1"/>
          <c:showCatName val="0"/>
          <c:showSerName val="0"/>
          <c:showPercent val="0"/>
          <c:showBubbleSize val="0"/>
        </c:dLbls>
        <c:gapWidth val="75"/>
        <c:axId val="492511264"/>
        <c:axId val="492508128"/>
      </c:barChart>
      <c:catAx>
        <c:axId val="492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92508128"/>
        <c:crosses val="autoZero"/>
        <c:auto val="1"/>
        <c:lblAlgn val="ctr"/>
        <c:lblOffset val="100"/>
        <c:noMultiLvlLbl val="0"/>
      </c:catAx>
      <c:valAx>
        <c:axId val="492508128"/>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92511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B2AD-4F57-BB29-4C4D1F4FA85B}"/>
              </c:ext>
            </c:extLst>
          </c:dPt>
          <c:dPt>
            <c:idx val="1"/>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B2AD-4F57-BB29-4C4D1F4FA85B}"/>
              </c:ext>
            </c:extLst>
          </c:dPt>
          <c:dPt>
            <c:idx val="2"/>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5-B2AD-4F57-BB29-4C4D1F4FA85B}"/>
              </c:ext>
            </c:extLst>
          </c:dPt>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0.0</c:formatCode>
                <c:ptCount val="4"/>
                <c:pt idx="0">
                  <c:v>21.3</c:v>
                </c:pt>
                <c:pt idx="1">
                  <c:v>18.742126389541244</c:v>
                </c:pt>
                <c:pt idx="2">
                  <c:v>24.3</c:v>
                </c:pt>
                <c:pt idx="3">
                  <c:v>19.3</c:v>
                </c:pt>
              </c:numCache>
            </c:numRef>
          </c:val>
          <c:extLst xmlns:c16r2="http://schemas.microsoft.com/office/drawing/2015/06/chart">
            <c:ext xmlns:c16="http://schemas.microsoft.com/office/drawing/2014/chart" uri="{C3380CC4-5D6E-409C-BE32-E72D297353CC}">
              <c16:uniqueId val="{00000006-B2AD-4F57-BB29-4C4D1F4FA85B}"/>
            </c:ext>
          </c:extLst>
        </c:ser>
        <c:dLbls>
          <c:showLegendKey val="0"/>
          <c:showVal val="1"/>
          <c:showCatName val="0"/>
          <c:showSerName val="0"/>
          <c:showPercent val="0"/>
          <c:showBubbleSize val="0"/>
        </c:dLbls>
        <c:gapWidth val="50"/>
        <c:axId val="492508520"/>
        <c:axId val="492507736"/>
      </c:barChart>
      <c:catAx>
        <c:axId val="49250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492507736"/>
        <c:crosses val="autoZero"/>
        <c:auto val="1"/>
        <c:lblAlgn val="ctr"/>
        <c:lblOffset val="100"/>
        <c:noMultiLvlLbl val="0"/>
      </c:catAx>
      <c:valAx>
        <c:axId val="492507736"/>
        <c:scaling>
          <c:orientation val="minMax"/>
          <c:min val="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492508520"/>
        <c:crosses val="autoZero"/>
        <c:crossBetween val="between"/>
      </c:valAx>
      <c:spPr>
        <a:noFill/>
        <a:ln>
          <a:noFill/>
        </a:ln>
        <a:effectLst/>
      </c:spPr>
    </c:plotArea>
    <c:plotVisOnly val="1"/>
    <c:dispBlanksAs val="gap"/>
    <c:showDLblsOverMax val="0"/>
  </c:chart>
  <c:spPr>
    <a:solidFill>
      <a:schemeClr val="bg2"/>
    </a:solidFill>
    <a:ln>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9716959178073"/>
          <c:y val="0.11226944667201283"/>
          <c:w val="0.76685827813649454"/>
          <c:h val="0.64341253654439956"/>
        </c:manualLayout>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7C35-422B-8CA8-D57E46248C61}"/>
              </c:ext>
            </c:extLst>
          </c:dPt>
          <c:dPt>
            <c:idx val="1"/>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7C35-422B-8CA8-D57E46248C61}"/>
              </c:ext>
            </c:extLst>
          </c:dPt>
          <c:dPt>
            <c:idx val="2"/>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5-7C35-422B-8CA8-D57E46248C61}"/>
              </c:ext>
            </c:extLst>
          </c:dPt>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General</c:formatCode>
                <c:ptCount val="4"/>
                <c:pt idx="0">
                  <c:v>10.6</c:v>
                </c:pt>
                <c:pt idx="1">
                  <c:v>10.7</c:v>
                </c:pt>
                <c:pt idx="2">
                  <c:v>10.8</c:v>
                </c:pt>
                <c:pt idx="3" formatCode="0.0">
                  <c:v>19</c:v>
                </c:pt>
              </c:numCache>
            </c:numRef>
          </c:val>
          <c:extLst xmlns:c16r2="http://schemas.microsoft.com/office/drawing/2015/06/chart">
            <c:ext xmlns:c16="http://schemas.microsoft.com/office/drawing/2014/chart" uri="{C3380CC4-5D6E-409C-BE32-E72D297353CC}">
              <c16:uniqueId val="{00000006-7C35-422B-8CA8-D57E46248C61}"/>
            </c:ext>
          </c:extLst>
        </c:ser>
        <c:dLbls>
          <c:showLegendKey val="0"/>
          <c:showVal val="1"/>
          <c:showCatName val="0"/>
          <c:showSerName val="0"/>
          <c:showPercent val="0"/>
          <c:showBubbleSize val="0"/>
        </c:dLbls>
        <c:gapWidth val="50"/>
        <c:axId val="492510088"/>
        <c:axId val="492506168"/>
      </c:barChart>
      <c:catAx>
        <c:axId val="49251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492506168"/>
        <c:crosses val="autoZero"/>
        <c:auto val="1"/>
        <c:lblAlgn val="ctr"/>
        <c:lblOffset val="100"/>
        <c:noMultiLvlLbl val="0"/>
      </c:catAx>
      <c:valAx>
        <c:axId val="492506168"/>
        <c:scaling>
          <c:orientation val="minMax"/>
          <c:min val="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492510088"/>
        <c:crosses val="autoZero"/>
        <c:crossBetween val="between"/>
      </c:valAx>
      <c:spPr>
        <a:noFill/>
        <a:ln>
          <a:noFill/>
        </a:ln>
        <a:effectLst/>
      </c:spPr>
    </c:plotArea>
    <c:plotVisOnly val="1"/>
    <c:dispBlanksAs val="gap"/>
    <c:showDLblsOverMax val="0"/>
  </c:chart>
  <c:spPr>
    <a:noFill/>
    <a:ln>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9716959178073"/>
          <c:y val="0.10744435917114352"/>
          <c:w val="0.76685827813649454"/>
          <c:h val="0.65873786114417965"/>
        </c:manualLayout>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9A10-437E-9A90-79CF1B98417F}"/>
              </c:ext>
            </c:extLst>
          </c:dPt>
          <c:dPt>
            <c:idx val="1"/>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9A10-437E-9A90-79CF1B98417F}"/>
              </c:ext>
            </c:extLst>
          </c:dPt>
          <c:dPt>
            <c:idx val="2"/>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5-9A10-437E-9A90-79CF1B98417F}"/>
              </c:ext>
            </c:extLst>
          </c:dPt>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0.0</c:formatCode>
                <c:ptCount val="4"/>
                <c:pt idx="0">
                  <c:v>7.9</c:v>
                </c:pt>
                <c:pt idx="1">
                  <c:v>8.8000000000000007</c:v>
                </c:pt>
                <c:pt idx="2">
                  <c:v>9.3000000000000007</c:v>
                </c:pt>
                <c:pt idx="3">
                  <c:v>20.6</c:v>
                </c:pt>
              </c:numCache>
            </c:numRef>
          </c:val>
          <c:extLst xmlns:c16r2="http://schemas.microsoft.com/office/drawing/2015/06/chart">
            <c:ext xmlns:c16="http://schemas.microsoft.com/office/drawing/2014/chart" uri="{C3380CC4-5D6E-409C-BE32-E72D297353CC}">
              <c16:uniqueId val="{00000006-9A10-437E-9A90-79CF1B98417F}"/>
            </c:ext>
          </c:extLst>
        </c:ser>
        <c:dLbls>
          <c:showLegendKey val="0"/>
          <c:showVal val="1"/>
          <c:showCatName val="0"/>
          <c:showSerName val="0"/>
          <c:showPercent val="0"/>
          <c:showBubbleSize val="0"/>
        </c:dLbls>
        <c:gapWidth val="50"/>
        <c:axId val="492511656"/>
        <c:axId val="492508912"/>
      </c:barChart>
      <c:catAx>
        <c:axId val="49251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492508912"/>
        <c:crosses val="autoZero"/>
        <c:auto val="1"/>
        <c:lblAlgn val="ctr"/>
        <c:lblOffset val="100"/>
        <c:noMultiLvlLbl val="0"/>
      </c:catAx>
      <c:valAx>
        <c:axId val="492508912"/>
        <c:scaling>
          <c:orientation val="minMax"/>
          <c:min val="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492511656"/>
        <c:crosses val="autoZero"/>
        <c:crossBetween val="between"/>
      </c:valAx>
      <c:spPr>
        <a:noFill/>
        <a:ln>
          <a:noFill/>
        </a:ln>
        <a:effectLst/>
      </c:spPr>
    </c:plotArea>
    <c:plotVisOnly val="1"/>
    <c:dispBlanksAs val="gap"/>
    <c:showDLblsOverMax val="0"/>
  </c:chart>
  <c:spPr>
    <a:noFill/>
    <a:ln>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Sheet3!$A$2</c:f>
              <c:strCache>
                <c:ptCount val="1"/>
                <c:pt idx="0">
                  <c:v>Pieprasījumi</c:v>
                </c:pt>
              </c:strCache>
            </c:strRef>
          </c:tx>
          <c:invertIfNegative val="0"/>
          <c:dLbls>
            <c:dLbl>
              <c:idx val="0"/>
              <c:layout>
                <c:manualLayout>
                  <c:x val="2.7155465037338798E-3"/>
                  <c:y val="-2.77777777777778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29-4880-BB90-C20CD5346AD5}"/>
                </c:ext>
                <c:ext xmlns:c15="http://schemas.microsoft.com/office/drawing/2012/chart" uri="{CE6537A1-D6FC-4f65-9D91-7224C49458BB}"/>
              </c:extLst>
            </c:dLbl>
            <c:dLbl>
              <c:idx val="1"/>
              <c:layout>
                <c:manualLayout>
                  <c:x val="5.0684237202229697E-3"/>
                  <c:y val="-4.33034333436436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29-4880-BB90-C20CD5346AD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Sheet3!$B$1:$D$1</c:f>
              <c:strCache>
                <c:ptCount val="3"/>
                <c:pt idx="0">
                  <c:v>JPI 2014-2016</c:v>
                </c:pt>
                <c:pt idx="1">
                  <c:v>JPI 2015-2017</c:v>
                </c:pt>
                <c:pt idx="2">
                  <c:v>JPI 2017-2019</c:v>
                </c:pt>
              </c:strCache>
            </c:strRef>
          </c:cat>
          <c:val>
            <c:numRef>
              <c:f>Sheet3!$B$2:$D$2</c:f>
              <c:numCache>
                <c:formatCode>#,##0.0,,</c:formatCode>
                <c:ptCount val="3"/>
                <c:pt idx="0">
                  <c:v>2289000000</c:v>
                </c:pt>
                <c:pt idx="1">
                  <c:v>2709200000</c:v>
                </c:pt>
                <c:pt idx="2">
                  <c:v>2943300000</c:v>
                </c:pt>
              </c:numCache>
            </c:numRef>
          </c:val>
          <c:extLst xmlns:c16r2="http://schemas.microsoft.com/office/drawing/2015/06/chart">
            <c:ext xmlns:c16="http://schemas.microsoft.com/office/drawing/2014/chart" uri="{C3380CC4-5D6E-409C-BE32-E72D297353CC}">
              <c16:uniqueId val="{00000002-B829-4880-BB90-C20CD5346AD5}"/>
            </c:ext>
          </c:extLst>
        </c:ser>
        <c:ser>
          <c:idx val="1"/>
          <c:order val="1"/>
          <c:tx>
            <c:strRef>
              <c:f>Sheet3!$A$3</c:f>
              <c:strCache>
                <c:ptCount val="1"/>
                <c:pt idx="0">
                  <c:v>Piešķīrums</c:v>
                </c:pt>
              </c:strCache>
            </c:strRef>
          </c:tx>
          <c:invertIfNegative val="0"/>
          <c:dLbls>
            <c:dLbl>
              <c:idx val="1"/>
              <c:layout>
                <c:manualLayout>
                  <c:x val="0"/>
                  <c:y val="-3.09310238168883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29-4880-BB90-C20CD5346AD5}"/>
                </c:ext>
                <c:ext xmlns:c15="http://schemas.microsoft.com/office/drawing/2012/chart" uri="{CE6537A1-D6FC-4f65-9D91-7224C49458BB}"/>
              </c:extLst>
            </c:dLbl>
            <c:dLbl>
              <c:idx val="2"/>
              <c:layout>
                <c:manualLayout>
                  <c:x val="5.0684237202230104E-3"/>
                  <c:y val="-2.47448190535107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29-4880-BB90-C20CD5346AD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Sheet3!$B$1:$D$1</c:f>
              <c:strCache>
                <c:ptCount val="3"/>
                <c:pt idx="0">
                  <c:v>JPI 2014-2016</c:v>
                </c:pt>
                <c:pt idx="1">
                  <c:v>JPI 2015-2017</c:v>
                </c:pt>
                <c:pt idx="2">
                  <c:v>JPI 2017-2019</c:v>
                </c:pt>
              </c:strCache>
            </c:strRef>
          </c:cat>
          <c:val>
            <c:numRef>
              <c:f>Sheet3!$B$3:$D$3</c:f>
              <c:numCache>
                <c:formatCode>#,##0.0,,</c:formatCode>
                <c:ptCount val="3"/>
                <c:pt idx="0">
                  <c:v>810144223</c:v>
                </c:pt>
                <c:pt idx="1">
                  <c:v>272396821.94</c:v>
                </c:pt>
                <c:pt idx="2">
                  <c:v>222587992</c:v>
                </c:pt>
              </c:numCache>
            </c:numRef>
          </c:val>
          <c:extLst xmlns:c16r2="http://schemas.microsoft.com/office/drawing/2015/06/chart">
            <c:ext xmlns:c16="http://schemas.microsoft.com/office/drawing/2014/chart" uri="{C3380CC4-5D6E-409C-BE32-E72D297353CC}">
              <c16:uniqueId val="{00000005-B829-4880-BB90-C20CD5346AD5}"/>
            </c:ext>
          </c:extLst>
        </c:ser>
        <c:dLbls>
          <c:dLblPos val="outEnd"/>
          <c:showLegendKey val="0"/>
          <c:showVal val="1"/>
          <c:showCatName val="0"/>
          <c:showSerName val="0"/>
          <c:showPercent val="0"/>
          <c:showBubbleSize val="0"/>
        </c:dLbls>
        <c:gapWidth val="150"/>
        <c:axId val="216887336"/>
        <c:axId val="216881064"/>
      </c:barChart>
      <c:catAx>
        <c:axId val="216887336"/>
        <c:scaling>
          <c:orientation val="minMax"/>
        </c:scaling>
        <c:delete val="0"/>
        <c:axPos val="b"/>
        <c:numFmt formatCode="General" sourceLinked="0"/>
        <c:majorTickMark val="out"/>
        <c:minorTickMark val="none"/>
        <c:tickLblPos val="nextTo"/>
        <c:crossAx val="216881064"/>
        <c:crosses val="autoZero"/>
        <c:auto val="1"/>
        <c:lblAlgn val="ctr"/>
        <c:lblOffset val="100"/>
        <c:noMultiLvlLbl val="0"/>
      </c:catAx>
      <c:valAx>
        <c:axId val="216881064"/>
        <c:scaling>
          <c:orientation val="minMax"/>
        </c:scaling>
        <c:delete val="0"/>
        <c:axPos val="l"/>
        <c:majorGridlines/>
        <c:numFmt formatCode="#,##0.0,," sourceLinked="1"/>
        <c:majorTickMark val="out"/>
        <c:minorTickMark val="none"/>
        <c:tickLblPos val="nextTo"/>
        <c:crossAx val="216887336"/>
        <c:crosses val="autoZero"/>
        <c:crossBetween val="between"/>
      </c:valAx>
    </c:plotArea>
    <c:legend>
      <c:legendPos val="r"/>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15451409994129"/>
          <c:y val="7.6745970836531077E-2"/>
          <c:w val="0.756800933628334"/>
          <c:h val="0.68943624947879212"/>
        </c:manualLayout>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A3A7-483C-92CE-D9CC10354311}"/>
              </c:ext>
            </c:extLst>
          </c:dPt>
          <c:dPt>
            <c:idx val="1"/>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A3A7-483C-92CE-D9CC10354311}"/>
              </c:ext>
            </c:extLst>
          </c:dPt>
          <c:dPt>
            <c:idx val="2"/>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5-A3A7-483C-92CE-D9CC10354311}"/>
              </c:ext>
            </c:extLst>
          </c:dPt>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General</c:formatCode>
                <c:ptCount val="4"/>
                <c:pt idx="0">
                  <c:v>0.6000000000000002</c:v>
                </c:pt>
                <c:pt idx="1">
                  <c:v>1</c:v>
                </c:pt>
                <c:pt idx="2">
                  <c:v>1.6</c:v>
                </c:pt>
                <c:pt idx="3" formatCode="0.0">
                  <c:v>2.9</c:v>
                </c:pt>
              </c:numCache>
            </c:numRef>
          </c:val>
          <c:extLst xmlns:c16r2="http://schemas.microsoft.com/office/drawing/2015/06/chart">
            <c:ext xmlns:c16="http://schemas.microsoft.com/office/drawing/2014/chart" uri="{C3380CC4-5D6E-409C-BE32-E72D297353CC}">
              <c16:uniqueId val="{00000006-A3A7-483C-92CE-D9CC10354311}"/>
            </c:ext>
          </c:extLst>
        </c:ser>
        <c:dLbls>
          <c:showLegendKey val="0"/>
          <c:showVal val="1"/>
          <c:showCatName val="0"/>
          <c:showSerName val="0"/>
          <c:showPercent val="0"/>
          <c:showBubbleSize val="0"/>
        </c:dLbls>
        <c:gapWidth val="50"/>
        <c:axId val="492510480"/>
        <c:axId val="492515968"/>
      </c:barChart>
      <c:catAx>
        <c:axId val="49251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492515968"/>
        <c:crosses val="autoZero"/>
        <c:auto val="1"/>
        <c:lblAlgn val="ctr"/>
        <c:lblOffset val="100"/>
        <c:noMultiLvlLbl val="0"/>
      </c:catAx>
      <c:valAx>
        <c:axId val="492515968"/>
        <c:scaling>
          <c:orientation val="minMax"/>
        </c:scaling>
        <c:delete val="0"/>
        <c:axPos val="l"/>
        <c:numFmt formatCode="#,##0.0" sourceLinked="0"/>
        <c:majorTickMark val="none"/>
        <c:minorTickMark val="none"/>
        <c:tickLblPos val="nextTo"/>
        <c:spPr>
          <a:noFill/>
          <a:ln>
            <a:noFill/>
          </a:ln>
          <a:effectLst/>
        </c:spPr>
        <c:txPr>
          <a:bodyPr rot="-60000000" vert="horz"/>
          <a:lstStyle/>
          <a:p>
            <a:pPr>
              <a:defRPr/>
            </a:pPr>
            <a:endParaRPr lang="lv-LV"/>
          </a:p>
        </c:txPr>
        <c:crossAx val="492510480"/>
        <c:crosses val="autoZero"/>
        <c:crossBetween val="between"/>
      </c:valAx>
      <c:spPr>
        <a:noFill/>
        <a:ln>
          <a:noFill/>
        </a:ln>
        <a:effectLst/>
      </c:spPr>
    </c:plotArea>
    <c:plotVisOnly val="1"/>
    <c:dispBlanksAs val="gap"/>
    <c:showDLblsOverMax val="0"/>
  </c:chart>
  <c:spPr>
    <a:noFill/>
    <a:ln>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37151123614039E-2"/>
          <c:y val="0.21205357142857142"/>
          <c:w val="0.88131450355061092"/>
          <c:h val="0.64173446600776107"/>
        </c:manualLayout>
      </c:layout>
      <c:barChart>
        <c:barDir val="col"/>
        <c:grouping val="clustered"/>
        <c:varyColors val="0"/>
        <c:ser>
          <c:idx val="0"/>
          <c:order val="0"/>
          <c:tx>
            <c:strRef>
              <c:f>Sheet1!$A$2</c:f>
              <c:strCache>
                <c:ptCount val="1"/>
                <c:pt idx="0">
                  <c:v>Produktivitāte (tūkst.eiro un vienu nodarbināto)</c:v>
                </c:pt>
              </c:strCache>
            </c:strRef>
          </c:tx>
          <c:spPr>
            <a:solidFill>
              <a:schemeClr val="accent1"/>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Narrow" panose="020B0606020202030204" pitchFamily="34" charset="0"/>
                    <a:ea typeface="+mn-ea"/>
                    <a:cs typeface="+mn-cs"/>
                  </a:defRPr>
                </a:pPr>
                <a:endParaRPr lang="lv-L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ES-28</c:v>
                </c:pt>
                <c:pt idx="1">
                  <c:v>DE</c:v>
                </c:pt>
                <c:pt idx="2">
                  <c:v>EE</c:v>
                </c:pt>
                <c:pt idx="3">
                  <c:v>LV</c:v>
                </c:pt>
                <c:pt idx="4">
                  <c:v>LT</c:v>
                </c:pt>
              </c:strCache>
            </c:strRef>
          </c:cat>
          <c:val>
            <c:numRef>
              <c:f>Sheet1!$B$2:$F$2</c:f>
              <c:numCache>
                <c:formatCode>#,##0</c:formatCode>
                <c:ptCount val="5"/>
                <c:pt idx="0">
                  <c:v>44</c:v>
                </c:pt>
                <c:pt idx="1">
                  <c:v>39.9</c:v>
                </c:pt>
                <c:pt idx="2">
                  <c:v>23.2</c:v>
                </c:pt>
                <c:pt idx="3">
                  <c:v>13.8</c:v>
                </c:pt>
                <c:pt idx="4">
                  <c:v>14.7</c:v>
                </c:pt>
              </c:numCache>
            </c:numRef>
          </c:val>
          <c:extLst xmlns:c16r2="http://schemas.microsoft.com/office/drawing/2015/06/chart">
            <c:ext xmlns:c16="http://schemas.microsoft.com/office/drawing/2014/chart" uri="{C3380CC4-5D6E-409C-BE32-E72D297353CC}">
              <c16:uniqueId val="{00000000-5007-4C00-ACDC-CFEF099A0A49}"/>
            </c:ext>
          </c:extLst>
        </c:ser>
        <c:ser>
          <c:idx val="1"/>
          <c:order val="1"/>
          <c:tx>
            <c:strRef>
              <c:f>Sheet1!$A$3</c:f>
              <c:strCache>
                <c:ptCount val="1"/>
                <c:pt idx="0">
                  <c:v>Darbaspēka izmaksas (tūkst.eiro un vienu nodarbināto)</c:v>
                </c:pt>
              </c:strCache>
            </c:strRef>
          </c:tx>
          <c:spPr>
            <a:solidFill>
              <a:schemeClr val="accent2"/>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lv-LV"/>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ES-28</c:v>
                </c:pt>
                <c:pt idx="1">
                  <c:v>DE</c:v>
                </c:pt>
                <c:pt idx="2">
                  <c:v>EE</c:v>
                </c:pt>
                <c:pt idx="3">
                  <c:v>LV</c:v>
                </c:pt>
                <c:pt idx="4">
                  <c:v>LT</c:v>
                </c:pt>
              </c:strCache>
            </c:strRef>
          </c:cat>
          <c:val>
            <c:numRef>
              <c:f>Sheet1!$B$3:$F$3</c:f>
              <c:numCache>
                <c:formatCode>#,##0</c:formatCode>
                <c:ptCount val="5"/>
                <c:pt idx="0">
                  <c:v>28.1</c:v>
                </c:pt>
                <c:pt idx="1">
                  <c:v>28.9</c:v>
                </c:pt>
                <c:pt idx="2">
                  <c:v>13.7</c:v>
                </c:pt>
                <c:pt idx="3">
                  <c:v>8</c:v>
                </c:pt>
                <c:pt idx="4">
                  <c:v>8.8000000000000007</c:v>
                </c:pt>
              </c:numCache>
            </c:numRef>
          </c:val>
          <c:extLst xmlns:c16r2="http://schemas.microsoft.com/office/drawing/2015/06/chart">
            <c:ext xmlns:c16="http://schemas.microsoft.com/office/drawing/2014/chart" uri="{C3380CC4-5D6E-409C-BE32-E72D297353CC}">
              <c16:uniqueId val="{00000001-5007-4C00-ACDC-CFEF099A0A49}"/>
            </c:ext>
          </c:extLst>
        </c:ser>
        <c:dLbls>
          <c:showLegendKey val="0"/>
          <c:showVal val="0"/>
          <c:showCatName val="0"/>
          <c:showSerName val="0"/>
          <c:showPercent val="0"/>
          <c:showBubbleSize val="0"/>
        </c:dLbls>
        <c:gapWidth val="150"/>
        <c:axId val="492509304"/>
        <c:axId val="492515576"/>
      </c:barChart>
      <c:lineChart>
        <c:grouping val="stacked"/>
        <c:varyColors val="0"/>
        <c:ser>
          <c:idx val="2"/>
          <c:order val="2"/>
          <c:tx>
            <c:strRef>
              <c:f>Sheet1!$A$4</c:f>
              <c:strCache>
                <c:ptCount val="1"/>
                <c:pt idx="0">
                  <c:v>Rentabilitāte (procenti)  </c:v>
                </c:pt>
              </c:strCache>
            </c:strRef>
          </c:tx>
          <c:spPr>
            <a:ln w="6350" cap="rnd">
              <a:noFill/>
              <a:round/>
            </a:ln>
            <a:effectLst/>
          </c:spPr>
          <c:marker>
            <c:symbol val="triangle"/>
            <c:size val="22"/>
            <c:spPr>
              <a:solidFill>
                <a:srgbClr val="FFFF00">
                  <a:alpha val="71000"/>
                </a:srgbClr>
              </a:solidFill>
              <a:ln w="3175">
                <a:solidFill>
                  <a:schemeClr val="tx1"/>
                </a:solidFill>
              </a:ln>
              <a:effectLst/>
            </c:spPr>
          </c:marker>
          <c:dLbls>
            <c:dLbl>
              <c:idx val="0"/>
              <c:layout>
                <c:manualLayout>
                  <c:x val="-7.448690919623073E-2"/>
                  <c:y val="3.65531328152470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007-4C00-ACDC-CFEF099A0A49}"/>
                </c:ext>
                <c:ext xmlns:c15="http://schemas.microsoft.com/office/drawing/2012/chart" uri="{CE6537A1-D6FC-4f65-9D91-7224C49458BB}"/>
              </c:extLst>
            </c:dLbl>
            <c:dLbl>
              <c:idx val="1"/>
              <c:layout>
                <c:manualLayout>
                  <c:x val="-8.4602897691680751E-2"/>
                  <c:y val="3.53568197352149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007-4C00-ACDC-CFEF099A0A49}"/>
                </c:ext>
                <c:ext xmlns:c15="http://schemas.microsoft.com/office/drawing/2012/chart" uri="{CE6537A1-D6FC-4f65-9D91-7224C49458BB}"/>
              </c:extLst>
            </c:dLbl>
            <c:dLbl>
              <c:idx val="2"/>
              <c:layout>
                <c:manualLayout>
                  <c:x val="-8.8880057657463471E-2"/>
                  <c:y val="3.97762246603268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007-4C00-ACDC-CFEF099A0A49}"/>
                </c:ext>
                <c:ext xmlns:c15="http://schemas.microsoft.com/office/drawing/2012/chart" uri="{CE6537A1-D6FC-4f65-9D91-7224C49458BB}"/>
              </c:extLst>
            </c:dLbl>
            <c:dLbl>
              <c:idx val="3"/>
              <c:layout>
                <c:manualLayout>
                  <c:x val="-9.0441726221347996E-2"/>
                  <c:y val="3.53568197352149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007-4C00-ACDC-CFEF099A0A49}"/>
                </c:ext>
                <c:ext xmlns:c15="http://schemas.microsoft.com/office/drawing/2012/chart" uri="{CE6537A1-D6FC-4f65-9D91-7224C49458BB}"/>
              </c:extLst>
            </c:dLbl>
            <c:dLbl>
              <c:idx val="4"/>
              <c:layout>
                <c:manualLayout>
                  <c:x val="-8.6164566255565359E-2"/>
                  <c:y val="4.09725377403589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007-4C00-ACDC-CFEF099A0A4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Arial Narrow" panose="020B0606020202030204" pitchFamily="34" charset="0"/>
                    <a:ea typeface="+mn-ea"/>
                    <a:cs typeface="+mn-cs"/>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ES-28</c:v>
                </c:pt>
                <c:pt idx="1">
                  <c:v>DE</c:v>
                </c:pt>
                <c:pt idx="2">
                  <c:v>EE</c:v>
                </c:pt>
                <c:pt idx="3">
                  <c:v>LV</c:v>
                </c:pt>
                <c:pt idx="4">
                  <c:v>LT</c:v>
                </c:pt>
              </c:strCache>
            </c:strRef>
          </c:cat>
          <c:val>
            <c:numRef>
              <c:f>Sheet1!$B$4:$F$4</c:f>
              <c:numCache>
                <c:formatCode>#\ ##0.0</c:formatCode>
                <c:ptCount val="5"/>
                <c:pt idx="0">
                  <c:v>7.7</c:v>
                </c:pt>
                <c:pt idx="1">
                  <c:v>5.6</c:v>
                </c:pt>
                <c:pt idx="2">
                  <c:v>8.1</c:v>
                </c:pt>
                <c:pt idx="3">
                  <c:v>8.6</c:v>
                </c:pt>
                <c:pt idx="4">
                  <c:v>6.4</c:v>
                </c:pt>
              </c:numCache>
            </c:numRef>
          </c:val>
          <c:smooth val="0"/>
          <c:extLst xmlns:c16r2="http://schemas.microsoft.com/office/drawing/2015/06/chart">
            <c:ext xmlns:c16="http://schemas.microsoft.com/office/drawing/2014/chart" uri="{C3380CC4-5D6E-409C-BE32-E72D297353CC}">
              <c16:uniqueId val="{00000007-5007-4C00-ACDC-CFEF099A0A49}"/>
            </c:ext>
          </c:extLst>
        </c:ser>
        <c:dLbls>
          <c:showLegendKey val="0"/>
          <c:showVal val="0"/>
          <c:showCatName val="0"/>
          <c:showSerName val="0"/>
          <c:showPercent val="0"/>
          <c:showBubbleSize val="0"/>
        </c:dLbls>
        <c:marker val="1"/>
        <c:smooth val="0"/>
        <c:axId val="492512440"/>
        <c:axId val="492516360"/>
      </c:lineChart>
      <c:catAx>
        <c:axId val="492509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crossAx val="492515576"/>
        <c:crosses val="autoZero"/>
        <c:auto val="1"/>
        <c:lblAlgn val="ctr"/>
        <c:lblOffset val="100"/>
        <c:noMultiLvlLbl val="0"/>
      </c:catAx>
      <c:valAx>
        <c:axId val="492515576"/>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crossAx val="492509304"/>
        <c:crosses val="autoZero"/>
        <c:crossBetween val="between"/>
        <c:majorUnit val="10"/>
      </c:valAx>
      <c:valAx>
        <c:axId val="492516360"/>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crossAx val="492512440"/>
        <c:crosses val="max"/>
        <c:crossBetween val="between"/>
        <c:majorUnit val="2.5"/>
      </c:valAx>
      <c:catAx>
        <c:axId val="492512440"/>
        <c:scaling>
          <c:orientation val="minMax"/>
        </c:scaling>
        <c:delete val="1"/>
        <c:axPos val="b"/>
        <c:numFmt formatCode="General" sourceLinked="1"/>
        <c:majorTickMark val="out"/>
        <c:minorTickMark val="none"/>
        <c:tickLblPos val="nextTo"/>
        <c:crossAx val="492516360"/>
        <c:crosses val="autoZero"/>
        <c:auto val="1"/>
        <c:lblAlgn val="ctr"/>
        <c:lblOffset val="100"/>
        <c:noMultiLvlLbl val="0"/>
      </c:catAx>
      <c:spPr>
        <a:noFill/>
        <a:ln>
          <a:noFill/>
        </a:ln>
        <a:effectLst/>
      </c:spPr>
    </c:plotArea>
    <c:legend>
      <c:legendPos val="r"/>
      <c:layout>
        <c:manualLayout>
          <c:xMode val="edge"/>
          <c:yMode val="edge"/>
          <c:x val="3.104982386183763E-2"/>
          <c:y val="4.0709412076124704E-2"/>
          <c:w val="0.78383059648073172"/>
          <c:h val="0.21178376285503198"/>
        </c:manualLayout>
      </c:layout>
      <c:overlay val="0"/>
      <c:spPr>
        <a:noFill/>
        <a:ln>
          <a:noFill/>
        </a:ln>
        <a:effectLst/>
      </c:spPr>
      <c:txPr>
        <a:bodyPr rot="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550">
          <a:solidFill>
            <a:schemeClr val="tx1"/>
          </a:solidFill>
          <a:latin typeface="Arial Narrow" panose="020B0606020202030204" pitchFamily="34" charset="0"/>
        </a:defRPr>
      </a:pPr>
      <a:endParaRPr lang="lv-LV"/>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94792966774976"/>
          <c:y val="3.9784976127763369E-2"/>
          <c:w val="0.85813385416666665"/>
          <c:h val="0.85626527777777772"/>
        </c:manualLayout>
      </c:layout>
      <c:lineChart>
        <c:grouping val="standard"/>
        <c:varyColors val="0"/>
        <c:ser>
          <c:idx val="0"/>
          <c:order val="0"/>
          <c:tx>
            <c:strRef>
              <c:f>Sheet1!$A$2</c:f>
              <c:strCache>
                <c:ptCount val="1"/>
                <c:pt idx="0">
                  <c:v>Produktivitāte</c:v>
                </c:pt>
              </c:strCache>
            </c:strRef>
          </c:tx>
          <c:spPr>
            <a:ln w="28565" cap="rnd">
              <a:solidFill>
                <a:srgbClr val="C00000"/>
              </a:solidFill>
              <a:round/>
            </a:ln>
            <a:effectLst/>
          </c:spPr>
          <c:marker>
            <c:symbol val="none"/>
          </c:marker>
          <c:cat>
            <c:strRef>
              <c:f>Sheet1!$B$1:$H$1</c:f>
              <c:strCache>
                <c:ptCount val="7"/>
                <c:pt idx="0">
                  <c:v>2010</c:v>
                </c:pt>
                <c:pt idx="1">
                  <c:v>2011</c:v>
                </c:pt>
                <c:pt idx="2">
                  <c:v>2012</c:v>
                </c:pt>
                <c:pt idx="3">
                  <c:v>2013</c:v>
                </c:pt>
                <c:pt idx="4">
                  <c:v>2014</c:v>
                </c:pt>
                <c:pt idx="5">
                  <c:v>2015</c:v>
                </c:pt>
                <c:pt idx="6">
                  <c:v>2016</c:v>
                </c:pt>
              </c:strCache>
            </c:strRef>
          </c:cat>
          <c:val>
            <c:numRef>
              <c:f>Sheet1!$B$2:$H$2</c:f>
              <c:numCache>
                <c:formatCode>0.0</c:formatCode>
                <c:ptCount val="7"/>
                <c:pt idx="0">
                  <c:v>100</c:v>
                </c:pt>
                <c:pt idx="1">
                  <c:v>106.38146048311117</c:v>
                </c:pt>
                <c:pt idx="2">
                  <c:v>110.64227139185748</c:v>
                </c:pt>
                <c:pt idx="3">
                  <c:v>113.54840867660096</c:v>
                </c:pt>
                <c:pt idx="4">
                  <c:v>115.95560238377961</c:v>
                </c:pt>
                <c:pt idx="5">
                  <c:v>119.10034061958201</c:v>
                </c:pt>
                <c:pt idx="6">
                  <c:v>121.42335501926091</c:v>
                </c:pt>
              </c:numCache>
            </c:numRef>
          </c:val>
          <c:smooth val="0"/>
          <c:extLst xmlns:c16r2="http://schemas.microsoft.com/office/drawing/2015/06/chart">
            <c:ext xmlns:c16="http://schemas.microsoft.com/office/drawing/2014/chart" uri="{C3380CC4-5D6E-409C-BE32-E72D297353CC}">
              <c16:uniqueId val="{00000000-AA2D-4F21-A10E-DBCECCABEAA2}"/>
            </c:ext>
          </c:extLst>
        </c:ser>
        <c:ser>
          <c:idx val="1"/>
          <c:order val="1"/>
          <c:tx>
            <c:strRef>
              <c:f>Sheet1!$A$3</c:f>
              <c:strCache>
                <c:ptCount val="1"/>
                <c:pt idx="0">
                  <c:v>Darbaspēka izmaksas</c:v>
                </c:pt>
              </c:strCache>
            </c:strRef>
          </c:tx>
          <c:spPr>
            <a:ln w="28565" cap="rnd">
              <a:solidFill>
                <a:schemeClr val="accent1">
                  <a:lumMod val="75000"/>
                </a:schemeClr>
              </a:solidFill>
              <a:round/>
            </a:ln>
            <a:effectLst/>
          </c:spPr>
          <c:marker>
            <c:symbol val="none"/>
          </c:marker>
          <c:cat>
            <c:strRef>
              <c:f>Sheet1!$B$1:$H$1</c:f>
              <c:strCache>
                <c:ptCount val="7"/>
                <c:pt idx="0">
                  <c:v>2010</c:v>
                </c:pt>
                <c:pt idx="1">
                  <c:v>2011</c:v>
                </c:pt>
                <c:pt idx="2">
                  <c:v>2012</c:v>
                </c:pt>
                <c:pt idx="3">
                  <c:v>2013</c:v>
                </c:pt>
                <c:pt idx="4">
                  <c:v>2014</c:v>
                </c:pt>
                <c:pt idx="5">
                  <c:v>2015</c:v>
                </c:pt>
                <c:pt idx="6">
                  <c:v>2016</c:v>
                </c:pt>
              </c:strCache>
            </c:strRef>
          </c:cat>
          <c:val>
            <c:numRef>
              <c:f>Sheet1!$B$3:$H$3</c:f>
              <c:numCache>
                <c:formatCode>0.0</c:formatCode>
                <c:ptCount val="7"/>
                <c:pt idx="0">
                  <c:v>100</c:v>
                </c:pt>
                <c:pt idx="1">
                  <c:v>102.40785214787425</c:v>
                </c:pt>
                <c:pt idx="2">
                  <c:v>110.28140773643678</c:v>
                </c:pt>
                <c:pt idx="3">
                  <c:v>116.320144227564</c:v>
                </c:pt>
                <c:pt idx="4">
                  <c:v>126.30856765356782</c:v>
                </c:pt>
                <c:pt idx="5">
                  <c:v>135.04836457090224</c:v>
                </c:pt>
                <c:pt idx="6">
                  <c:v>144.34743280487061</c:v>
                </c:pt>
              </c:numCache>
            </c:numRef>
          </c:val>
          <c:smooth val="0"/>
          <c:extLst xmlns:c16r2="http://schemas.microsoft.com/office/drawing/2015/06/chart">
            <c:ext xmlns:c16="http://schemas.microsoft.com/office/drawing/2014/chart" uri="{C3380CC4-5D6E-409C-BE32-E72D297353CC}">
              <c16:uniqueId val="{00000001-AA2D-4F21-A10E-DBCECCABEAA2}"/>
            </c:ext>
          </c:extLst>
        </c:ser>
        <c:dLbls>
          <c:showLegendKey val="0"/>
          <c:showVal val="0"/>
          <c:showCatName val="0"/>
          <c:showSerName val="0"/>
          <c:showPercent val="0"/>
          <c:showBubbleSize val="0"/>
        </c:dLbls>
        <c:smooth val="0"/>
        <c:axId val="492513224"/>
        <c:axId val="492513616"/>
      </c:lineChart>
      <c:catAx>
        <c:axId val="492513224"/>
        <c:scaling>
          <c:orientation val="minMax"/>
        </c:scaling>
        <c:delete val="0"/>
        <c:axPos val="b"/>
        <c:numFmt formatCode="General" sourceLinked="1"/>
        <c:majorTickMark val="out"/>
        <c:minorTickMark val="none"/>
        <c:tickLblPos val="nextTo"/>
        <c:spPr>
          <a:noFill/>
          <a:ln w="3174" cap="flat" cmpd="sng" algn="ctr">
            <a:solidFill>
              <a:schemeClr val="bg1">
                <a:lumMod val="50000"/>
              </a:schemeClr>
            </a:solidFill>
            <a:round/>
          </a:ln>
          <a:effectLst/>
        </c:spPr>
        <c:txPr>
          <a:bodyPr rot="0"/>
          <a:lstStyle/>
          <a:p>
            <a:pPr>
              <a:defRPr sz="600"/>
            </a:pPr>
            <a:endParaRPr lang="lv-LV"/>
          </a:p>
        </c:txPr>
        <c:crossAx val="492513616"/>
        <c:crosses val="autoZero"/>
        <c:auto val="1"/>
        <c:lblAlgn val="ctr"/>
        <c:lblOffset val="100"/>
        <c:noMultiLvlLbl val="0"/>
      </c:catAx>
      <c:valAx>
        <c:axId val="492513616"/>
        <c:scaling>
          <c:orientation val="minMax"/>
          <c:min val="100"/>
        </c:scaling>
        <c:delete val="0"/>
        <c:axPos val="l"/>
        <c:numFmt formatCode="0" sourceLinked="0"/>
        <c:majorTickMark val="out"/>
        <c:minorTickMark val="none"/>
        <c:tickLblPos val="nextTo"/>
        <c:spPr>
          <a:noFill/>
          <a:ln w="3174">
            <a:solidFill>
              <a:schemeClr val="tx1">
                <a:tint val="75000"/>
              </a:schemeClr>
            </a:solidFill>
          </a:ln>
          <a:effectLst/>
        </c:spPr>
        <c:txPr>
          <a:bodyPr rot="-60000000" vert="horz"/>
          <a:lstStyle/>
          <a:p>
            <a:pPr>
              <a:defRPr/>
            </a:pPr>
            <a:endParaRPr lang="lv-LV"/>
          </a:p>
        </c:txPr>
        <c:crossAx val="492513224"/>
        <c:crosses val="autoZero"/>
        <c:crossBetween val="between"/>
        <c:majorUnit val="20"/>
      </c:valAx>
      <c:spPr>
        <a:noFill/>
        <a:ln w="25391">
          <a:noFill/>
        </a:ln>
      </c:spPr>
    </c:plotArea>
    <c:legend>
      <c:legendPos val="b"/>
      <c:layout>
        <c:manualLayout>
          <c:xMode val="edge"/>
          <c:yMode val="edge"/>
          <c:x val="0.15930332462371255"/>
          <c:y val="4.1247194056612292E-2"/>
          <c:w val="0.79732983534220325"/>
          <c:h val="0.15623770770930773"/>
        </c:manualLayout>
      </c:layout>
      <c:overlay val="0"/>
      <c:spPr>
        <a:noFill/>
        <a:ln>
          <a:noFill/>
        </a:ln>
        <a:effectLst/>
      </c:spPr>
      <c:txPr>
        <a:bodyPr rot="0" vert="horz"/>
        <a:lstStyle/>
        <a:p>
          <a:pPr>
            <a:defRPr/>
          </a:pPr>
          <a:endParaRPr lang="lv-LV"/>
        </a:p>
      </c:txPr>
    </c:legend>
    <c:plotVisOnly val="1"/>
    <c:dispBlanksAs val="gap"/>
    <c:showDLblsOverMax val="0"/>
  </c:chart>
  <c:spPr>
    <a:solidFill>
      <a:schemeClr val="bg1"/>
    </a:solidFill>
    <a:ln>
      <a:noFill/>
    </a:ln>
    <a:effectLst/>
  </c:spPr>
  <c:txPr>
    <a:bodyPr/>
    <a:lstStyle/>
    <a:p>
      <a:pPr>
        <a:defRPr sz="700">
          <a:latin typeface="Arial Narrow" panose="020B0606020202030204" pitchFamily="34" charset="0"/>
        </a:defRPr>
      </a:pPr>
      <a:endParaRPr lang="lv-LV"/>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17749092105175"/>
          <c:y val="5.7971014492753624E-2"/>
          <c:w val="0.68054117915567458"/>
          <c:h val="0.76381669682594022"/>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xmlns:c16r2="http://schemas.microsoft.com/office/drawing/2015/06/chart">
              <c:ext xmlns:c16="http://schemas.microsoft.com/office/drawing/2014/chart" uri="{C3380CC4-5D6E-409C-BE32-E72D297353CC}">
                <c16:uniqueId val="{00000000-D248-47EB-84B0-2BDD55125F99}"/>
              </c:ext>
            </c:extLst>
          </c:dPt>
          <c:dPt>
            <c:idx val="5"/>
            <c:bubble3D val="0"/>
            <c:extLst xmlns:c16r2="http://schemas.microsoft.com/office/drawing/2015/06/chart">
              <c:ext xmlns:c16="http://schemas.microsoft.com/office/drawing/2014/chart" uri="{C3380CC4-5D6E-409C-BE32-E72D297353CC}">
                <c16:uniqueId val="{00000001-D248-47EB-84B0-2BDD55125F99}"/>
              </c:ext>
            </c:extLst>
          </c:dPt>
          <c:dPt>
            <c:idx val="11"/>
            <c:bubble3D val="0"/>
            <c:extLst xmlns:c16r2="http://schemas.microsoft.com/office/drawing/2015/06/chart">
              <c:ext xmlns:c16="http://schemas.microsoft.com/office/drawing/2014/chart" uri="{C3380CC4-5D6E-409C-BE32-E72D297353CC}">
                <c16:uniqueId val="{00000002-D248-47EB-84B0-2BDD55125F99}"/>
              </c:ext>
            </c:extLst>
          </c:dPt>
          <c:dPt>
            <c:idx val="12"/>
            <c:bubble3D val="0"/>
            <c:extLst xmlns:c16r2="http://schemas.microsoft.com/office/drawing/2015/06/chart">
              <c:ext xmlns:c16="http://schemas.microsoft.com/office/drawing/2014/chart" uri="{C3380CC4-5D6E-409C-BE32-E72D297353CC}">
                <c16:uniqueId val="{00000003-D248-47EB-84B0-2BDD55125F99}"/>
              </c:ext>
            </c:extLst>
          </c:dPt>
          <c:dPt>
            <c:idx val="13"/>
            <c:marker>
              <c:symbol val="triangle"/>
              <c:size val="8"/>
              <c:spPr>
                <a:solidFill>
                  <a:srgbClr val="C00000"/>
                </a:solidFill>
                <a:ln w="6350">
                  <a:solidFill>
                    <a:sysClr val="windowText" lastClr="000000"/>
                  </a:solidFill>
                </a:ln>
              </c:spPr>
            </c:marker>
            <c:bubble3D val="0"/>
            <c:extLst xmlns:c16r2="http://schemas.microsoft.com/office/drawing/2015/06/chart">
              <c:ext xmlns:c16="http://schemas.microsoft.com/office/drawing/2014/chart" uri="{C3380CC4-5D6E-409C-BE32-E72D297353CC}">
                <c16:uniqueId val="{00000004-D248-47EB-84B0-2BDD55125F99}"/>
              </c:ext>
            </c:extLst>
          </c:dPt>
          <c:dPt>
            <c:idx val="14"/>
            <c:bubble3D val="0"/>
            <c:extLst xmlns:c16r2="http://schemas.microsoft.com/office/drawing/2015/06/chart">
              <c:ext xmlns:c16="http://schemas.microsoft.com/office/drawing/2014/chart" uri="{C3380CC4-5D6E-409C-BE32-E72D297353CC}">
                <c16:uniqueId val="{00000005-D248-47EB-84B0-2BDD55125F99}"/>
              </c:ext>
            </c:extLst>
          </c:dPt>
          <c:dLbls>
            <c:dLbl>
              <c:idx val="0"/>
              <c:layout>
                <c:manualLayout>
                  <c:x val="-5.3997923156801658E-2"/>
                  <c:y val="7.6190476190476197E-2"/>
                </c:manualLayout>
              </c:layout>
              <c:tx>
                <c:rich>
                  <a:bodyPr/>
                  <a:lstStyle/>
                  <a:p>
                    <a:r>
                      <a:rPr lang="en-US"/>
                      <a:t>ES-28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48-47EB-84B0-2BDD55125F99}"/>
                </c:ext>
                <c:ext xmlns:c15="http://schemas.microsoft.com/office/drawing/2012/chart" uri="{CE6537A1-D6FC-4f65-9D91-7224C49458BB}"/>
              </c:extLst>
            </c:dLbl>
            <c:dLbl>
              <c:idx val="1"/>
              <c:layout>
                <c:manualLayout>
                  <c:x val="-5.3997923156801658E-2"/>
                  <c:y val="-9.5238095238095233E-2"/>
                </c:manualLayout>
              </c:layout>
              <c:tx>
                <c:rich>
                  <a:bodyPr/>
                  <a:lstStyle/>
                  <a:p>
                    <a:r>
                      <a:rPr lang="en-US"/>
                      <a:t>BE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248-47EB-84B0-2BDD55125F99}"/>
                </c:ext>
                <c:ext xmlns:c15="http://schemas.microsoft.com/office/drawing/2012/chart" uri="{CE6537A1-D6FC-4f65-9D91-7224C49458BB}"/>
              </c:extLst>
            </c:dLbl>
            <c:dLbl>
              <c:idx val="3"/>
              <c:layout>
                <c:manualLayout>
                  <c:x val="-4.6343919286304047E-2"/>
                  <c:y val="-3.0078794107571086E-2"/>
                </c:manualLayout>
              </c:layout>
              <c:tx>
                <c:rich>
                  <a:bodyPr/>
                  <a:lstStyle/>
                  <a:p>
                    <a:r>
                      <a:rPr lang="en-US"/>
                      <a:t>CZ</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248-47EB-84B0-2BDD55125F99}"/>
                </c:ext>
                <c:ext xmlns:c15="http://schemas.microsoft.com/office/drawing/2012/chart" uri="{CE6537A1-D6FC-4f65-9D91-7224C49458BB}"/>
              </c:extLst>
            </c:dLbl>
            <c:dLbl>
              <c:idx val="4"/>
              <c:layout>
                <c:manualLayout>
                  <c:x val="-8.3073727933541015E-3"/>
                  <c:y val="9.5238095238095247E-3"/>
                </c:manualLayout>
              </c:layout>
              <c:tx>
                <c:rich>
                  <a:bodyPr/>
                  <a:lstStyle/>
                  <a:p>
                    <a:r>
                      <a:rPr lang="en-US"/>
                      <a:t>DK</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248-47EB-84B0-2BDD55125F99}"/>
                </c:ext>
                <c:ext xmlns:c15="http://schemas.microsoft.com/office/drawing/2012/chart" uri="{CE6537A1-D6FC-4f65-9D91-7224C49458BB}"/>
              </c:extLst>
            </c:dLbl>
            <c:dLbl>
              <c:idx val="5"/>
              <c:layout>
                <c:manualLayout>
                  <c:x val="-5.8587241812164785E-2"/>
                  <c:y val="-5.5636031107622337E-2"/>
                </c:manualLayout>
              </c:layout>
              <c:tx>
                <c:rich>
                  <a:bodyPr/>
                  <a:lstStyle/>
                  <a:p>
                    <a:r>
                      <a:rPr lang="en-US"/>
                      <a:t>DE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48-47EB-84B0-2BDD55125F99}"/>
                </c:ext>
                <c:ext xmlns:c15="http://schemas.microsoft.com/office/drawing/2012/chart" uri="{CE6537A1-D6FC-4f65-9D91-7224C49458BB}"/>
              </c:extLst>
            </c:dLbl>
            <c:dLbl>
              <c:idx val="6"/>
              <c:layout>
                <c:manualLayout>
                  <c:x val="-6.7112391002275618E-2"/>
                  <c:y val="-6.2487153134635147E-2"/>
                </c:manualLayout>
              </c:layout>
              <c:tx>
                <c:rich>
                  <a:bodyPr/>
                  <a:lstStyle/>
                  <a:p>
                    <a:r>
                      <a:rPr lang="en-US"/>
                      <a:t>EE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248-47EB-84B0-2BDD55125F99}"/>
                </c:ext>
                <c:ext xmlns:c15="http://schemas.microsoft.com/office/drawing/2012/chart" uri="{CE6537A1-D6FC-4f65-9D91-7224C49458BB}"/>
              </c:extLst>
            </c:dLbl>
            <c:dLbl>
              <c:idx val="8"/>
              <c:layout>
                <c:manualLayout>
                  <c:x val="-3.7165622839344568E-2"/>
                  <c:y val="-8.2219938335046251E-4"/>
                </c:manualLayout>
              </c:layout>
              <c:tx>
                <c:rich>
                  <a:bodyPr/>
                  <a:lstStyle/>
                  <a:p>
                    <a:r>
                      <a:rPr lang="en-US"/>
                      <a:t>EL</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248-47EB-84B0-2BDD55125F99}"/>
                </c:ext>
                <c:ext xmlns:c15="http://schemas.microsoft.com/office/drawing/2012/chart" uri="{CE6537A1-D6FC-4f65-9D91-7224C49458BB}"/>
              </c:extLst>
            </c:dLbl>
            <c:dLbl>
              <c:idx val="9"/>
              <c:layout>
                <c:manualLayout>
                  <c:x val="-0.12111014895516577"/>
                  <c:y val="-0.20267376649861213"/>
                </c:manualLayout>
              </c:layout>
              <c:tx>
                <c:rich>
                  <a:bodyPr/>
                  <a:lstStyle/>
                  <a:p>
                    <a:r>
                      <a:rPr lang="en-US"/>
                      <a:t>LU</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248-47EB-84B0-2BDD55125F99}"/>
                </c:ext>
                <c:ext xmlns:c15="http://schemas.microsoft.com/office/drawing/2012/chart" uri="{CE6537A1-D6FC-4f65-9D91-7224C49458BB}"/>
              </c:extLst>
            </c:dLbl>
            <c:dLbl>
              <c:idx val="10"/>
              <c:layout>
                <c:manualLayout>
                  <c:x val="0.434830268978526"/>
                  <c:y val="5.1798561151079135E-2"/>
                </c:manualLayout>
              </c:layout>
              <c:tx>
                <c:rich>
                  <a:bodyPr/>
                  <a:lstStyle/>
                  <a:p>
                    <a:r>
                      <a:rPr lang="en-US"/>
                      <a:t>FR</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248-47EB-84B0-2BDD55125F99}"/>
                </c:ext>
                <c:ext xmlns:c15="http://schemas.microsoft.com/office/drawing/2012/chart" uri="{CE6537A1-D6FC-4f65-9D91-7224C49458BB}"/>
              </c:extLst>
            </c:dLbl>
            <c:dLbl>
              <c:idx val="11"/>
              <c:layout>
                <c:manualLayout>
                  <c:x val="-0.41952232606438211"/>
                  <c:y val="2.8571428571428571E-2"/>
                </c:manualLayout>
              </c:layout>
              <c:tx>
                <c:rich>
                  <a:bodyPr/>
                  <a:lstStyle/>
                  <a:p>
                    <a:r>
                      <a:rPr lang="en-US"/>
                      <a:t>HR</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48-47EB-84B0-2BDD55125F99}"/>
                </c:ext>
                <c:ext xmlns:c15="http://schemas.microsoft.com/office/drawing/2012/chart" uri="{CE6537A1-D6FC-4f65-9D91-7224C49458BB}"/>
              </c:extLst>
            </c:dLbl>
            <c:dLbl>
              <c:idx val="12"/>
              <c:layout>
                <c:manualLayout>
                  <c:x val="-4.569055036344756E-2"/>
                  <c:y val="-7.6190476190476197E-2"/>
                </c:manualLayout>
              </c:layout>
              <c:tx>
                <c:rich>
                  <a:bodyPr/>
                  <a:lstStyle/>
                  <a:p>
                    <a:r>
                      <a:rPr lang="en-US"/>
                      <a:t>IT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48-47EB-84B0-2BDD55125F99}"/>
                </c:ext>
                <c:ext xmlns:c15="http://schemas.microsoft.com/office/drawing/2012/chart" uri="{CE6537A1-D6FC-4f65-9D91-7224C49458BB}"/>
              </c:extLst>
            </c:dLbl>
            <c:dLbl>
              <c:idx val="13"/>
              <c:layout>
                <c:manualLayout>
                  <c:x val="6.5152277960139893E-2"/>
                  <c:y val="0.20918122644741344"/>
                </c:manualLayout>
              </c:layout>
              <c:tx>
                <c:rich>
                  <a:bodyPr/>
                  <a:lstStyle/>
                  <a:p>
                    <a:r>
                      <a:rPr lang="en-US"/>
                      <a:t>SK</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48-47EB-84B0-2BDD55125F99}"/>
                </c:ext>
                <c:ext xmlns:c15="http://schemas.microsoft.com/office/drawing/2012/chart" uri="{CE6537A1-D6FC-4f65-9D91-7224C49458BB}"/>
              </c:extLst>
            </c:dLbl>
            <c:dLbl>
              <c:idx val="14"/>
              <c:layout>
                <c:manualLayout>
                  <c:x val="-0.17860858824871956"/>
                  <c:y val="-0.13449811579307983"/>
                </c:manualLayout>
              </c:layout>
              <c:tx>
                <c:rich>
                  <a:bodyPr/>
                  <a:lstStyle/>
                  <a:p>
                    <a:r>
                      <a:rPr lang="en-US"/>
                      <a:t>LV</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48-47EB-84B0-2BDD55125F99}"/>
                </c:ext>
                <c:ext xmlns:c15="http://schemas.microsoft.com/office/drawing/2012/chart" uri="{CE6537A1-D6FC-4f65-9D91-7224C49458BB}"/>
              </c:extLst>
            </c:dLbl>
            <c:dLbl>
              <c:idx val="15"/>
              <c:layout>
                <c:manualLayout>
                  <c:x val="-0.42367601246105913"/>
                  <c:y val="0.51428571428571423"/>
                </c:manualLayout>
              </c:layout>
              <c:tx>
                <c:rich>
                  <a:bodyPr/>
                  <a:lstStyle/>
                  <a:p>
                    <a:r>
                      <a:rPr lang="en-US"/>
                      <a:t>LT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248-47EB-84B0-2BDD55125F99}"/>
                </c:ext>
                <c:ext xmlns:c15="http://schemas.microsoft.com/office/drawing/2012/chart" uri="{CE6537A1-D6FC-4f65-9D91-7224C49458BB}"/>
              </c:extLst>
            </c:dLbl>
            <c:dLbl>
              <c:idx val="16"/>
              <c:layout>
                <c:manualLayout>
                  <c:x val="0.16877647327332165"/>
                  <c:y val="-0.36841384035628638"/>
                </c:manualLayout>
              </c:layout>
              <c:tx>
                <c:rich>
                  <a:bodyPr/>
                  <a:lstStyle/>
                  <a:p>
                    <a:r>
                      <a:rPr lang="en-US"/>
                      <a:t>IT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248-47EB-84B0-2BDD55125F99}"/>
                </c:ext>
                <c:ext xmlns:c15="http://schemas.microsoft.com/office/drawing/2012/chart" uri="{CE6537A1-D6FC-4f65-9D91-7224C49458BB}"/>
              </c:extLst>
            </c:dLbl>
            <c:dLbl>
              <c:idx val="17"/>
              <c:layout>
                <c:manualLayout>
                  <c:x val="-0.62327097220264349"/>
                  <c:y val="0.14436450839328538"/>
                </c:manualLayout>
              </c:layout>
              <c:tx>
                <c:rich>
                  <a:bodyPr/>
                  <a:lstStyle/>
                  <a:p>
                    <a:r>
                      <a:rPr lang="en-US"/>
                      <a:t>HU</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248-47EB-84B0-2BDD55125F99}"/>
                </c:ext>
                <c:ext xmlns:c15="http://schemas.microsoft.com/office/drawing/2012/chart" uri="{CE6537A1-D6FC-4f65-9D91-7224C49458BB}"/>
              </c:extLst>
            </c:dLbl>
            <c:dLbl>
              <c:idx val="18"/>
              <c:layout>
                <c:manualLayout>
                  <c:x val="-2.0985963711057858E-2"/>
                  <c:y val="-7.0503597122302225E-2"/>
                </c:manualLayout>
              </c:layout>
              <c:tx>
                <c:rich>
                  <a:bodyPr/>
                  <a:lstStyle/>
                  <a:p>
                    <a:r>
                      <a:rPr lang="en-US"/>
                      <a:t>NL</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248-47EB-84B0-2BDD55125F99}"/>
                </c:ext>
                <c:ext xmlns:c15="http://schemas.microsoft.com/office/drawing/2012/chart" uri="{CE6537A1-D6FC-4f65-9D91-7224C49458BB}"/>
              </c:extLst>
            </c:dLbl>
            <c:dLbl>
              <c:idx val="19"/>
              <c:layout>
                <c:manualLayout>
                  <c:x val="0.43548341623537468"/>
                  <c:y val="-0.11730044535799938"/>
                </c:manualLayout>
              </c:layout>
              <c:tx>
                <c:rich>
                  <a:bodyPr/>
                  <a:lstStyle/>
                  <a:p>
                    <a:r>
                      <a:rPr lang="en-US"/>
                      <a:t>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248-47EB-84B0-2BDD55125F99}"/>
                </c:ext>
                <c:ext xmlns:c15="http://schemas.microsoft.com/office/drawing/2012/chart" uri="{CE6537A1-D6FC-4f65-9D91-7224C49458BB}"/>
              </c:extLst>
            </c:dLbl>
            <c:dLbl>
              <c:idx val="20"/>
              <c:layout>
                <c:manualLayout>
                  <c:x val="-0.12876427829698853"/>
                  <c:y val="0.22857142857142856"/>
                </c:manualLayout>
              </c:layout>
              <c:tx>
                <c:rich>
                  <a:bodyPr/>
                  <a:lstStyle/>
                  <a:p>
                    <a:r>
                      <a:rPr lang="en-US"/>
                      <a:t>PL</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248-47EB-84B0-2BDD55125F99}"/>
                </c:ext>
                <c:ext xmlns:c15="http://schemas.microsoft.com/office/drawing/2012/chart" uri="{CE6537A1-D6FC-4f65-9D91-7224C49458BB}"/>
              </c:extLst>
            </c:dLbl>
            <c:dLbl>
              <c:idx val="21"/>
              <c:layout>
                <c:manualLayout>
                  <c:x val="-0.10384215991692627"/>
                  <c:y val="0.12380952380952381"/>
                </c:manualLayout>
              </c:layout>
              <c:tx>
                <c:rich>
                  <a:bodyPr/>
                  <a:lstStyle/>
                  <a:p>
                    <a:r>
                      <a:rPr lang="en-US"/>
                      <a:t>PT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248-47EB-84B0-2BDD55125F99}"/>
                </c:ext>
                <c:ext xmlns:c15="http://schemas.microsoft.com/office/drawing/2012/chart" uri="{CE6537A1-D6FC-4f65-9D91-7224C49458BB}"/>
              </c:extLst>
            </c:dLbl>
            <c:dLbl>
              <c:idx val="22"/>
              <c:delete val="1"/>
              <c:extLst xmlns:c16r2="http://schemas.microsoft.com/office/drawing/2015/06/chart">
                <c:ext xmlns:c16="http://schemas.microsoft.com/office/drawing/2014/chart" uri="{C3380CC4-5D6E-409C-BE32-E72D297353CC}">
                  <c16:uniqueId val="{00000014-D248-47EB-84B0-2BDD55125F99}"/>
                </c:ext>
                <c:ext xmlns:c15="http://schemas.microsoft.com/office/drawing/2012/chart" uri="{CE6537A1-D6FC-4f65-9D91-7224C49458BB}"/>
              </c:extLst>
            </c:dLbl>
            <c:dLbl>
              <c:idx val="23"/>
              <c:layout>
                <c:manualLayout>
                  <c:x val="-0.39394714407502129"/>
                  <c:y val="-0.12079479273723878"/>
                </c:manualLayout>
              </c:layout>
              <c:tx>
                <c:rich>
                  <a:bodyPr/>
                  <a:lstStyle/>
                  <a:p>
                    <a:r>
                      <a:rPr lang="en-US"/>
                      <a:t>SI</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248-47EB-84B0-2BDD55125F99}"/>
                </c:ext>
                <c:ext xmlns:c15="http://schemas.microsoft.com/office/drawing/2012/chart" uri="{CE6537A1-D6FC-4f65-9D91-7224C49458BB}"/>
              </c:extLst>
            </c:dLbl>
            <c:dLbl>
              <c:idx val="24"/>
              <c:layout>
                <c:manualLayout>
                  <c:x val="-1.2461059190031152E-2"/>
                  <c:y val="4.7619047619047616E-2"/>
                </c:manualLayout>
              </c:layout>
              <c:tx>
                <c:rich>
                  <a:bodyPr/>
                  <a:lstStyle/>
                  <a:p>
                    <a:r>
                      <a:rPr lang="en-US"/>
                      <a:t>SK</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248-47EB-84B0-2BDD55125F99}"/>
                </c:ext>
                <c:ext xmlns:c15="http://schemas.microsoft.com/office/drawing/2012/chart" uri="{CE6537A1-D6FC-4f65-9D91-7224C49458BB}"/>
              </c:extLst>
            </c:dLbl>
            <c:dLbl>
              <c:idx val="25"/>
              <c:layout>
                <c:manualLayout>
                  <c:x val="-8.3073727933541015E-3"/>
                  <c:y val="3.8095238095238099E-2"/>
                </c:manualLayout>
              </c:layout>
              <c:tx>
                <c:rich>
                  <a:bodyPr/>
                  <a:lstStyle/>
                  <a:p>
                    <a:r>
                      <a:rPr lang="en-US"/>
                      <a:t>FI</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248-47EB-84B0-2BDD55125F99}"/>
                </c:ext>
                <c:ext xmlns:c15="http://schemas.microsoft.com/office/drawing/2012/chart" uri="{CE6537A1-D6FC-4f65-9D91-7224C49458BB}"/>
              </c:extLst>
            </c:dLbl>
            <c:dLbl>
              <c:idx val="26"/>
              <c:layout>
                <c:manualLayout>
                  <c:x val="-4.9844236760124609E-2"/>
                  <c:y val="7.6190476190476197E-2"/>
                </c:manualLayout>
              </c:layout>
              <c:tx>
                <c:rich>
                  <a:bodyPr/>
                  <a:lstStyle/>
                  <a:p>
                    <a:r>
                      <a:rPr lang="lv-LV"/>
                      <a:t>SE</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248-47EB-84B0-2BDD55125F99}"/>
                </c:ext>
                <c:ext xmlns:c15="http://schemas.microsoft.com/office/drawing/2012/chart" uri="{CE6537A1-D6FC-4f65-9D91-7224C49458BB}"/>
              </c:extLst>
            </c:dLbl>
            <c:dLbl>
              <c:idx val="27"/>
              <c:layout>
                <c:manualLayout>
                  <c:x val="-3.3229491173416406E-2"/>
                  <c:y val="-7.6190476190476183E-2"/>
                </c:manualLayout>
              </c:layout>
              <c:tx>
                <c:rich>
                  <a:bodyPr/>
                  <a:lstStyle/>
                  <a:p>
                    <a:r>
                      <a:rPr lang="lv-LV"/>
                      <a:t>UK</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248-47EB-84B0-2BDD55125F9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Sheet1!$B$3:$B$28</c:f>
              <c:numCache>
                <c:formatCode>0</c:formatCode>
                <c:ptCount val="26"/>
                <c:pt idx="0">
                  <c:v>61.164410112846063</c:v>
                </c:pt>
                <c:pt idx="1">
                  <c:v>107.37908366533865</c:v>
                </c:pt>
                <c:pt idx="2">
                  <c:v>9.3159164655961373</c:v>
                </c:pt>
                <c:pt idx="3">
                  <c:v>28.862838845512762</c:v>
                </c:pt>
                <c:pt idx="4">
                  <c:v>106.08566433566433</c:v>
                </c:pt>
                <c:pt idx="5">
                  <c:v>77.886621405750802</c:v>
                </c:pt>
                <c:pt idx="6">
                  <c:v>22.156912637828668</c:v>
                </c:pt>
                <c:pt idx="7">
                  <c:v>330.4031741337671</c:v>
                </c:pt>
                <c:pt idx="8">
                  <c:v>41.472494303553987</c:v>
                </c:pt>
                <c:pt idx="9">
                  <c:v>80.309559372666172</c:v>
                </c:pt>
                <c:pt idx="10">
                  <c:v>20.255403485154435</c:v>
                </c:pt>
                <c:pt idx="11">
                  <c:v>58.557915057915061</c:v>
                </c:pt>
                <c:pt idx="12">
                  <c:v>25.098870056497173</c:v>
                </c:pt>
                <c:pt idx="13">
                  <c:v>20.662223721950397</c:v>
                </c:pt>
                <c:pt idx="14">
                  <c:v>30.323694858383497</c:v>
                </c:pt>
                <c:pt idx="15">
                  <c:v>73.783950617283949</c:v>
                </c:pt>
                <c:pt idx="16">
                  <c:v>26.167047022266921</c:v>
                </c:pt>
                <c:pt idx="17">
                  <c:v>90.790873533246426</c:v>
                </c:pt>
                <c:pt idx="18">
                  <c:v>87.796481337788407</c:v>
                </c:pt>
                <c:pt idx="19">
                  <c:v>23.716860427355975</c:v>
                </c:pt>
                <c:pt idx="20">
                  <c:v>29.873568368289881</c:v>
                </c:pt>
                <c:pt idx="21">
                  <c:v>35.49601927508904</c:v>
                </c:pt>
                <c:pt idx="22">
                  <c:v>35.735015387123724</c:v>
                </c:pt>
                <c:pt idx="23">
                  <c:v>80.318302387267906</c:v>
                </c:pt>
                <c:pt idx="24">
                  <c:v>104.43103448275862</c:v>
                </c:pt>
                <c:pt idx="25">
                  <c:v>65.812561846954594</c:v>
                </c:pt>
              </c:numCache>
            </c:numRef>
          </c:xVal>
          <c:yVal>
            <c:numRef>
              <c:f>Sheet1!$C$3:$C$28</c:f>
              <c:numCache>
                <c:formatCode>0.0</c:formatCode>
                <c:ptCount val="26"/>
                <c:pt idx="0">
                  <c:v>0.64363651189120097</c:v>
                </c:pt>
                <c:pt idx="1">
                  <c:v>0.60103337658573575</c:v>
                </c:pt>
                <c:pt idx="2">
                  <c:v>0.60798066088973546</c:v>
                </c:pt>
                <c:pt idx="3">
                  <c:v>0.51738311811149029</c:v>
                </c:pt>
                <c:pt idx="4">
                  <c:v>0.61001624394661813</c:v>
                </c:pt>
                <c:pt idx="5">
                  <c:v>0.6783066480595451</c:v>
                </c:pt>
                <c:pt idx="6">
                  <c:v>0.72224294324607108</c:v>
                </c:pt>
                <c:pt idx="7">
                  <c:v>0.17497932833656618</c:v>
                </c:pt>
                <c:pt idx="8">
                  <c:v>0.50908792425338534</c:v>
                </c:pt>
                <c:pt idx="9">
                  <c:v>0.6603153219932969</c:v>
                </c:pt>
                <c:pt idx="10">
                  <c:v>0.70279275110054018</c:v>
                </c:pt>
                <c:pt idx="11">
                  <c:v>0.69438912584464241</c:v>
                </c:pt>
                <c:pt idx="12">
                  <c:v>0.80717364151694426</c:v>
                </c:pt>
                <c:pt idx="13">
                  <c:v>0.59332796816226052</c:v>
                </c:pt>
                <c:pt idx="14">
                  <c:v>0.47088651201582327</c:v>
                </c:pt>
                <c:pt idx="15">
                  <c:v>0.75782910148079985</c:v>
                </c:pt>
                <c:pt idx="16">
                  <c:v>0.48405623120948915</c:v>
                </c:pt>
                <c:pt idx="17">
                  <c:v>0.60358793069687255</c:v>
                </c:pt>
                <c:pt idx="18">
                  <c:v>0.57956400123227847</c:v>
                </c:pt>
                <c:pt idx="19">
                  <c:v>0.47583856890076198</c:v>
                </c:pt>
                <c:pt idx="20">
                  <c:v>0.58296432625045103</c:v>
                </c:pt>
                <c:pt idx="21">
                  <c:v>0.71128994441480653</c:v>
                </c:pt>
                <c:pt idx="22">
                  <c:v>0.44872851221758536</c:v>
                </c:pt>
                <c:pt idx="23">
                  <c:v>0.6596335780736432</c:v>
                </c:pt>
                <c:pt idx="24">
                  <c:v>0.50931182431925381</c:v>
                </c:pt>
                <c:pt idx="25">
                  <c:v>0.99043215250160488</c:v>
                </c:pt>
              </c:numCache>
            </c:numRef>
          </c:yVal>
          <c:smooth val="0"/>
          <c:extLst xmlns:c16r2="http://schemas.microsoft.com/office/drawing/2015/06/chart">
            <c:ext xmlns:c16="http://schemas.microsoft.com/office/drawing/2014/chart" uri="{C3380CC4-5D6E-409C-BE32-E72D297353CC}">
              <c16:uniqueId val="{0000001A-D248-47EB-84B0-2BDD55125F99}"/>
            </c:ext>
          </c:extLst>
        </c:ser>
        <c:dLbls>
          <c:showLegendKey val="0"/>
          <c:showVal val="0"/>
          <c:showCatName val="0"/>
          <c:showSerName val="0"/>
          <c:showPercent val="0"/>
          <c:showBubbleSize val="0"/>
        </c:dLbls>
        <c:axId val="492504992"/>
        <c:axId val="492523808"/>
      </c:scatterChart>
      <c:valAx>
        <c:axId val="492504992"/>
        <c:scaling>
          <c:orientation val="minMax"/>
          <c:max val="100"/>
          <c:min val="10"/>
        </c:scaling>
        <c:delete val="0"/>
        <c:axPos val="b"/>
        <c:title>
          <c:tx>
            <c:rich>
              <a:bodyPr/>
              <a:lstStyle/>
              <a:p>
                <a:pPr>
                  <a:defRPr/>
                </a:pPr>
                <a:r>
                  <a:rPr lang="lv-LV"/>
                  <a:t>Produktivitāte (pievienotā vērtība uz 1 strādājošo, EUR)</a:t>
                </a:r>
              </a:p>
            </c:rich>
          </c:tx>
          <c:layout>
            <c:manualLayout>
              <c:xMode val="edge"/>
              <c:yMode val="edge"/>
              <c:x val="0.17802659578038679"/>
              <c:y val="0.89277149708804382"/>
            </c:manualLayout>
          </c:layout>
          <c:overlay val="0"/>
        </c:title>
        <c:numFmt formatCode="0" sourceLinked="0"/>
        <c:majorTickMark val="out"/>
        <c:minorTickMark val="none"/>
        <c:tickLblPos val="nextTo"/>
        <c:spPr>
          <a:ln w="6350">
            <a:solidFill>
              <a:sysClr val="windowText" lastClr="000000"/>
            </a:solidFill>
            <a:prstDash val="solid"/>
          </a:ln>
        </c:spPr>
        <c:txPr>
          <a:bodyPr rot="0" vert="horz"/>
          <a:lstStyle/>
          <a:p>
            <a:pPr>
              <a:defRPr/>
            </a:pPr>
            <a:endParaRPr lang="lv-LV"/>
          </a:p>
        </c:txPr>
        <c:crossAx val="492523808"/>
        <c:crosses val="autoZero"/>
        <c:crossBetween val="midCat"/>
        <c:majorUnit val="20"/>
      </c:valAx>
      <c:valAx>
        <c:axId val="492523808"/>
        <c:scaling>
          <c:orientation val="minMax"/>
          <c:max val="0.8"/>
          <c:min val="0.30000000000000004"/>
        </c:scaling>
        <c:delete val="0"/>
        <c:axPos val="l"/>
        <c:title>
          <c:tx>
            <c:rich>
              <a:bodyPr/>
              <a:lstStyle/>
              <a:p>
                <a:pPr>
                  <a:defRPr/>
                </a:pPr>
                <a:r>
                  <a:rPr lang="lv-LV"/>
                  <a:t>Darbaspēka izmaksas uz 1 produkcijas vienību, EUR.</a:t>
                </a:r>
              </a:p>
            </c:rich>
          </c:tx>
          <c:overlay val="0"/>
        </c:title>
        <c:numFmt formatCode="0.0" sourceLinked="0"/>
        <c:majorTickMark val="out"/>
        <c:minorTickMark val="none"/>
        <c:tickLblPos val="nextTo"/>
        <c:spPr>
          <a:ln w="6350">
            <a:solidFill>
              <a:sysClr val="windowText" lastClr="000000"/>
            </a:solidFill>
          </a:ln>
        </c:spPr>
        <c:txPr>
          <a:bodyPr rot="0" vert="horz"/>
          <a:lstStyle/>
          <a:p>
            <a:pPr>
              <a:defRPr/>
            </a:pPr>
            <a:endParaRPr lang="lv-LV"/>
          </a:p>
        </c:txPr>
        <c:crossAx val="492504992"/>
        <c:crosses val="autoZero"/>
        <c:crossBetween val="midCat"/>
        <c:majorUnit val="0.1"/>
      </c:valAx>
      <c:spPr>
        <a:solidFill>
          <a:sysClr val="window" lastClr="FFFFFF"/>
        </a:solidFill>
        <a:ln w="6350">
          <a:noFill/>
        </a:ln>
      </c:spPr>
    </c:plotArea>
    <c:plotVisOnly val="1"/>
    <c:dispBlanksAs val="zero"/>
    <c:showDLblsOverMax val="0"/>
  </c:chart>
  <c:spPr>
    <a:noFill/>
    <a:ln cap="sq">
      <a:noFill/>
    </a:ln>
  </c:spPr>
  <c:txPr>
    <a:bodyPr/>
    <a:lstStyle/>
    <a:p>
      <a:pPr>
        <a:spcBef>
          <a:spcPts val="600"/>
        </a:spcBef>
        <a:spcAft>
          <a:spcPts val="1200"/>
        </a:spcAft>
        <a:defRPr sz="550" b="0" i="0" u="none" strike="noStrike" baseline="0">
          <a:solidFill>
            <a:srgbClr val="000000"/>
          </a:solidFill>
          <a:latin typeface="Arial"/>
          <a:ea typeface="Arial"/>
          <a:cs typeface="Arial"/>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90770583399697"/>
          <c:y val="5.5755639683572701E-2"/>
          <c:w val="0.61417951788284497"/>
          <c:h val="0.668184943121923"/>
        </c:manualLayout>
      </c:layout>
      <c:barChart>
        <c:barDir val="bar"/>
        <c:grouping val="stacked"/>
        <c:varyColors val="0"/>
        <c:ser>
          <c:idx val="0"/>
          <c:order val="0"/>
          <c:tx>
            <c:strRef>
              <c:f>Budzets!$I$14</c:f>
              <c:strCache>
                <c:ptCount val="1"/>
                <c:pt idx="0">
                  <c:v>Valsts budžeta investīcijas uz 2016.g. 31.decembri, milj. eiro</c:v>
                </c:pt>
              </c:strCache>
            </c:strRef>
          </c:tx>
          <c:invertIfNegative val="0"/>
          <c:dLbls>
            <c:dLbl>
              <c:idx val="0"/>
              <c:layout>
                <c:manualLayout>
                  <c:x val="6.758832565284189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AD-421E-A5B9-172E0C1B0DD5}"/>
                </c:ext>
                <c:ext xmlns:c15="http://schemas.microsoft.com/office/drawing/2012/chart" uri="{CE6537A1-D6FC-4f65-9D91-7224C49458BB}"/>
              </c:extLst>
            </c:dLbl>
            <c:dLbl>
              <c:idx val="1"/>
              <c:layout>
                <c:manualLayout>
                  <c:x val="6.75883256528417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AD-421E-A5B9-172E0C1B0DD5}"/>
                </c:ext>
                <c:ext xmlns:c15="http://schemas.microsoft.com/office/drawing/2012/chart" uri="{CE6537A1-D6FC-4f65-9D91-7224C49458BB}"/>
              </c:extLst>
            </c:dLbl>
            <c:dLbl>
              <c:idx val="2"/>
              <c:layout>
                <c:manualLayout>
                  <c:x val="8.8069636456733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AD-421E-A5B9-172E0C1B0DD5}"/>
                </c:ext>
                <c:ext xmlns:c15="http://schemas.microsoft.com/office/drawing/2012/chart" uri="{CE6537A1-D6FC-4f65-9D91-7224C49458BB}"/>
              </c:extLst>
            </c:dLbl>
            <c:dLbl>
              <c:idx val="3"/>
              <c:layout>
                <c:manualLayout>
                  <c:x val="4.301075268817199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AD-421E-A5B9-172E0C1B0DD5}"/>
                </c:ext>
                <c:ext xmlns:c15="http://schemas.microsoft.com/office/drawing/2012/chart" uri="{CE6537A1-D6FC-4f65-9D91-7224C49458BB}"/>
              </c:extLst>
            </c:dLbl>
            <c:dLbl>
              <c:idx val="4"/>
              <c:layout>
                <c:manualLayout>
                  <c:x val="2.25294418842807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9AD-421E-A5B9-172E0C1B0DD5}"/>
                </c:ext>
                <c:ext xmlns:c15="http://schemas.microsoft.com/office/drawing/2012/chart" uri="{CE6537A1-D6FC-4f65-9D91-7224C49458BB}"/>
              </c:extLst>
            </c:dLbl>
            <c:dLbl>
              <c:idx val="5"/>
              <c:layout>
                <c:manualLayout>
                  <c:x val="2.6625704045058901E-2"/>
                  <c:y val="5.438078958405580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9AD-421E-A5B9-172E0C1B0DD5}"/>
                </c:ext>
                <c:ext xmlns:c15="http://schemas.microsoft.com/office/drawing/2012/chart" uri="{CE6537A1-D6FC-4f65-9D91-7224C49458BB}"/>
              </c:extLst>
            </c:dLbl>
            <c:dLbl>
              <c:idx val="6"/>
              <c:layout>
                <c:manualLayout>
                  <c:x val="2.45775729646697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9AD-421E-A5B9-172E0C1B0DD5}"/>
                </c:ext>
                <c:ext xmlns:c15="http://schemas.microsoft.com/office/drawing/2012/chart" uri="{CE6537A1-D6FC-4f65-9D91-7224C49458BB}"/>
              </c:extLst>
            </c:dLbl>
            <c:dLbl>
              <c:idx val="7"/>
              <c:layout>
                <c:manualLayout>
                  <c:x val="2.04811495337276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9AD-421E-A5B9-172E0C1B0DD5}"/>
                </c:ext>
                <c:ext xmlns:c15="http://schemas.microsoft.com/office/drawing/2012/chart" uri="{CE6537A1-D6FC-4f65-9D91-7224C49458BB}"/>
              </c:extLst>
            </c:dLbl>
            <c:dLbl>
              <c:idx val="8"/>
              <c:layout>
                <c:manualLayout>
                  <c:x val="5.12031157395647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9AD-421E-A5B9-172E0C1B0DD5}"/>
                </c:ext>
                <c:ext xmlns:c15="http://schemas.microsoft.com/office/drawing/2012/chart" uri="{CE6537A1-D6FC-4f65-9D91-7224C49458BB}"/>
              </c:extLst>
            </c:dLbl>
            <c:dLbl>
              <c:idx val="9"/>
              <c:layout>
                <c:manualLayout>
                  <c:x val="3.0721966205837201E-2"/>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9AD-421E-A5B9-172E0C1B0DD5}"/>
                </c:ext>
                <c:ext xmlns:c15="http://schemas.microsoft.com/office/drawing/2012/chart" uri="{CE6537A1-D6FC-4f65-9D91-7224C49458BB}"/>
              </c:extLst>
            </c:dLbl>
            <c:dLbl>
              <c:idx val="10"/>
              <c:layout>
                <c:manualLayout>
                  <c:x val="3.07219662058372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9AD-421E-A5B9-172E0C1B0DD5}"/>
                </c:ext>
                <c:ext xmlns:c15="http://schemas.microsoft.com/office/drawing/2012/chart" uri="{CE6537A1-D6FC-4f65-9D91-7224C49458BB}"/>
              </c:extLst>
            </c:dLbl>
            <c:dLbl>
              <c:idx val="11"/>
              <c:layout>
                <c:manualLayout>
                  <c:x val="3.072180493567340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9AD-421E-A5B9-172E0C1B0DD5}"/>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 fondi'!$A$15:$A$17</c:f>
              <c:strCache>
                <c:ptCount val="3"/>
                <c:pt idx="0">
                  <c:v>TAUTAS SAIMNIECĪBAS IZAUGSME</c:v>
                </c:pt>
                <c:pt idx="1">
                  <c:v>CILVĒKA DROŠUMSPĒJA</c:v>
                </c:pt>
                <c:pt idx="2">
                  <c:v>IZAUGSMI ATBALSTOŠAS TERITORIJAS</c:v>
                </c:pt>
              </c:strCache>
            </c:strRef>
          </c:cat>
          <c:val>
            <c:numRef>
              <c:f>Budzets!$I$15:$I$17</c:f>
              <c:numCache>
                <c:formatCode>#,##0.0,,</c:formatCode>
                <c:ptCount val="3"/>
                <c:pt idx="0">
                  <c:v>359128503.482867</c:v>
                </c:pt>
                <c:pt idx="1">
                  <c:v>663024182.33868301</c:v>
                </c:pt>
                <c:pt idx="2">
                  <c:v>444504378.49708599</c:v>
                </c:pt>
              </c:numCache>
            </c:numRef>
          </c:val>
          <c:extLst xmlns:c16r2="http://schemas.microsoft.com/office/drawing/2015/06/chart">
            <c:ext xmlns:c16="http://schemas.microsoft.com/office/drawing/2014/chart" uri="{C3380CC4-5D6E-409C-BE32-E72D297353CC}">
              <c16:uniqueId val="{0000000C-49AD-421E-A5B9-172E0C1B0DD5}"/>
            </c:ext>
          </c:extLst>
        </c:ser>
        <c:ser>
          <c:idx val="1"/>
          <c:order val="1"/>
          <c:tx>
            <c:strRef>
              <c:f>Budzets!$K$14</c:f>
              <c:strCache>
                <c:ptCount val="1"/>
                <c:pt idx="0">
                  <c:v>Starpība starp veiktajām investīcijām un plānoto visam periodam, milj. eiro</c:v>
                </c:pt>
              </c:strCache>
            </c:strRef>
          </c:tx>
          <c:invertIfNegative val="0"/>
          <c:dLbls>
            <c:dLbl>
              <c:idx val="0"/>
              <c:layout>
                <c:manualLayout>
                  <c:x val="7.5780849974398407E-2"/>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9AD-421E-A5B9-172E0C1B0DD5}"/>
                </c:ext>
                <c:ext xmlns:c15="http://schemas.microsoft.com/office/drawing/2012/chart" uri="{CE6537A1-D6FC-4f65-9D91-7224C49458BB}"/>
              </c:extLst>
            </c:dLbl>
            <c:dLbl>
              <c:idx val="1"/>
              <c:layout>
                <c:manualLayout>
                  <c:x val="5.3251246819953899E-2"/>
                  <c:y val="-2.33563712794176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9AD-421E-A5B9-172E0C1B0DD5}"/>
                </c:ext>
                <c:ext xmlns:c15="http://schemas.microsoft.com/office/drawing/2012/chart" uri="{CE6537A1-D6FC-4f65-9D91-7224C49458BB}"/>
              </c:extLst>
            </c:dLbl>
            <c:dLbl>
              <c:idx val="2"/>
              <c:layout>
                <c:manualLayout>
                  <c:x val="0.18035261721317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9AD-421E-A5B9-172E0C1B0DD5}"/>
                </c:ext>
                <c:ext xmlns:c15="http://schemas.microsoft.com/office/drawing/2012/chart" uri="{CE6537A1-D6FC-4f65-9D91-7224C49458BB}"/>
              </c:extLst>
            </c:dLbl>
            <c:dLbl>
              <c:idx val="3"/>
              <c:layout>
                <c:manualLayout>
                  <c:x val="0.1065028161802360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9AD-421E-A5B9-172E0C1B0DD5}"/>
                </c:ext>
                <c:ext xmlns:c15="http://schemas.microsoft.com/office/drawing/2012/chart" uri="{CE6537A1-D6FC-4f65-9D91-7224C49458BB}"/>
              </c:extLst>
            </c:dLbl>
            <c:dLbl>
              <c:idx val="4"/>
              <c:layout>
                <c:manualLayout>
                  <c:x val="7.16844265434563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9AD-421E-A5B9-172E0C1B0DD5}"/>
                </c:ext>
                <c:ext xmlns:c15="http://schemas.microsoft.com/office/drawing/2012/chart" uri="{CE6537A1-D6FC-4f65-9D91-7224C49458BB}"/>
              </c:extLst>
            </c:dLbl>
            <c:dLbl>
              <c:idx val="5"/>
              <c:layout>
                <c:manualLayout>
                  <c:x val="0.12083973374296"/>
                  <c:y val="5.438078958405580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9AD-421E-A5B9-172E0C1B0DD5}"/>
                </c:ext>
                <c:ext xmlns:c15="http://schemas.microsoft.com/office/drawing/2012/chart" uri="{CE6537A1-D6FC-4f65-9D91-7224C49458BB}"/>
              </c:extLst>
            </c:dLbl>
            <c:dLbl>
              <c:idx val="6"/>
              <c:layout>
                <c:manualLayout>
                  <c:x val="8.39733742959549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9AD-421E-A5B9-172E0C1B0DD5}"/>
                </c:ext>
                <c:ext xmlns:c15="http://schemas.microsoft.com/office/drawing/2012/chart" uri="{CE6537A1-D6FC-4f65-9D91-7224C49458BB}"/>
              </c:extLst>
            </c:dLbl>
            <c:dLbl>
              <c:idx val="7"/>
              <c:layout>
                <c:manualLayout>
                  <c:x val="7.16844265434563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9AD-421E-A5B9-172E0C1B0DD5}"/>
                </c:ext>
                <c:ext xmlns:c15="http://schemas.microsoft.com/office/drawing/2012/chart" uri="{CE6537A1-D6FC-4f65-9D91-7224C49458BB}"/>
              </c:extLst>
            </c:dLbl>
            <c:dLbl>
              <c:idx val="8"/>
              <c:layout>
                <c:manualLayout>
                  <c:x val="0.1884280593958010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9AD-421E-A5B9-172E0C1B0DD5}"/>
                </c:ext>
                <c:ext xmlns:c15="http://schemas.microsoft.com/office/drawing/2012/chart" uri="{CE6537A1-D6FC-4f65-9D91-7224C49458BB}"/>
              </c:extLst>
            </c:dLbl>
            <c:dLbl>
              <c:idx val="9"/>
              <c:layout>
                <c:manualLayout>
                  <c:x val="0.149513568868408"/>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9AD-421E-A5B9-172E0C1B0DD5}"/>
                </c:ext>
                <c:ext xmlns:c15="http://schemas.microsoft.com/office/drawing/2012/chart" uri="{CE6537A1-D6FC-4f65-9D91-7224C49458BB}"/>
              </c:extLst>
            </c:dLbl>
            <c:dLbl>
              <c:idx val="10"/>
              <c:layout>
                <c:manualLayout>
                  <c:x val="0.149513568868408"/>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9AD-421E-A5B9-172E0C1B0DD5}"/>
                </c:ext>
                <c:ext xmlns:c15="http://schemas.microsoft.com/office/drawing/2012/chart" uri="{CE6537A1-D6FC-4f65-9D91-7224C49458BB}"/>
              </c:extLst>
            </c:dLbl>
            <c:dLbl>
              <c:idx val="11"/>
              <c:layout>
                <c:manualLayout>
                  <c:x val="0.108550947260625"/>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49AD-421E-A5B9-172E0C1B0DD5}"/>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 fondi'!$A$15:$A$17</c:f>
              <c:strCache>
                <c:ptCount val="3"/>
                <c:pt idx="0">
                  <c:v>TAUTAS SAIMNIECĪBAS IZAUGSME</c:v>
                </c:pt>
                <c:pt idx="1">
                  <c:v>CILVĒKA DROŠUMSPĒJA</c:v>
                </c:pt>
                <c:pt idx="2">
                  <c:v>IZAUGSMI ATBALSTOŠAS TERITORIJAS</c:v>
                </c:pt>
              </c:strCache>
            </c:strRef>
          </c:cat>
          <c:val>
            <c:numRef>
              <c:f>Budzets!$K$15:$K$17</c:f>
              <c:numCache>
                <c:formatCode>#,##0.0,,</c:formatCode>
                <c:ptCount val="3"/>
                <c:pt idx="0">
                  <c:v>35828194.517132603</c:v>
                </c:pt>
                <c:pt idx="1">
                  <c:v>47190517.661316901</c:v>
                </c:pt>
                <c:pt idx="2">
                  <c:v>463841321.50291401</c:v>
                </c:pt>
              </c:numCache>
            </c:numRef>
          </c:val>
          <c:extLst xmlns:c16r2="http://schemas.microsoft.com/office/drawing/2015/06/chart">
            <c:ext xmlns:c16="http://schemas.microsoft.com/office/drawing/2014/chart" uri="{C3380CC4-5D6E-409C-BE32-E72D297353CC}">
              <c16:uniqueId val="{00000019-49AD-421E-A5B9-172E0C1B0DD5}"/>
            </c:ext>
          </c:extLst>
        </c:ser>
        <c:dLbls>
          <c:dLblPos val="ctr"/>
          <c:showLegendKey val="0"/>
          <c:showVal val="1"/>
          <c:showCatName val="0"/>
          <c:showSerName val="0"/>
          <c:showPercent val="0"/>
          <c:showBubbleSize val="0"/>
        </c:dLbls>
        <c:gapWidth val="150"/>
        <c:overlap val="100"/>
        <c:axId val="216883024"/>
        <c:axId val="216875576"/>
      </c:barChart>
      <c:catAx>
        <c:axId val="216883024"/>
        <c:scaling>
          <c:orientation val="minMax"/>
        </c:scaling>
        <c:delete val="0"/>
        <c:axPos val="l"/>
        <c:numFmt formatCode="General" sourceLinked="0"/>
        <c:majorTickMark val="in"/>
        <c:minorTickMark val="none"/>
        <c:tickLblPos val="nextTo"/>
        <c:txPr>
          <a:bodyPr rot="0" vert="horz"/>
          <a:lstStyle/>
          <a:p>
            <a:pPr>
              <a:defRPr/>
            </a:pPr>
            <a:endParaRPr lang="lv-LV"/>
          </a:p>
        </c:txPr>
        <c:crossAx val="216875576"/>
        <c:crosses val="autoZero"/>
        <c:auto val="1"/>
        <c:lblAlgn val="ctr"/>
        <c:lblOffset val="100"/>
        <c:noMultiLvlLbl val="0"/>
      </c:catAx>
      <c:valAx>
        <c:axId val="216875576"/>
        <c:scaling>
          <c:orientation val="minMax"/>
        </c:scaling>
        <c:delete val="0"/>
        <c:axPos val="b"/>
        <c:majorGridlines/>
        <c:numFmt formatCode="#,##0.0,," sourceLinked="1"/>
        <c:majorTickMark val="out"/>
        <c:minorTickMark val="none"/>
        <c:tickLblPos val="nextTo"/>
        <c:crossAx val="216883024"/>
        <c:crosses val="autoZero"/>
        <c:crossBetween val="between"/>
        <c:majorUnit val="200000000"/>
      </c:valAx>
    </c:plotArea>
    <c:legend>
      <c:legendPos val="b"/>
      <c:layout>
        <c:manualLayout>
          <c:xMode val="edge"/>
          <c:yMode val="edge"/>
          <c:x val="5.0000040317541003E-2"/>
          <c:y val="0.84707359775604296"/>
          <c:w val="0.92252936124919904"/>
          <c:h val="0.13512874336575201"/>
        </c:manualLayout>
      </c:layout>
      <c:overlay val="0"/>
    </c:legend>
    <c:plotVisOnly val="1"/>
    <c:dispBlanksAs val="gap"/>
    <c:showDLblsOverMax val="0"/>
  </c:chart>
  <c:spPr>
    <a:ln>
      <a:noFill/>
    </a:ln>
  </c:spPr>
  <c:txPr>
    <a:bodyPr/>
    <a:lstStyle/>
    <a:p>
      <a:pPr>
        <a:defRPr sz="900"/>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1944686456826703E-2"/>
          <c:w val="0.38196674067318798"/>
          <c:h val="0.81587388844445197"/>
        </c:manualLayout>
      </c:layout>
      <c:barChart>
        <c:barDir val="bar"/>
        <c:grouping val="clustered"/>
        <c:varyColors val="0"/>
        <c:ser>
          <c:idx val="1"/>
          <c:order val="1"/>
          <c:tx>
            <c:strRef>
              <c:f>Budzets!$K$1</c:f>
              <c:strCache>
                <c:ptCount val="1"/>
                <c:pt idx="0">
                  <c:v>Plānotās valsts budžeta investīcijas, milj. eiro</c:v>
                </c:pt>
              </c:strCache>
            </c:strRef>
          </c:tx>
          <c:spPr>
            <a:solidFill>
              <a:srgbClr val="4A66AC">
                <a:lumMod val="60000"/>
                <a:lumOff val="40000"/>
              </a:srgbClr>
            </a:solidFill>
          </c:spPr>
          <c:invertIfNegative val="0"/>
          <c:dLbls>
            <c:dLbl>
              <c:idx val="0"/>
              <c:layout>
                <c:manualLayout>
                  <c:x val="3.6330608537692901E-3"/>
                  <c:y val="0"/>
                </c:manualLayout>
              </c:layout>
              <c:tx>
                <c:rich>
                  <a:bodyPr/>
                  <a:lstStyle/>
                  <a:p>
                    <a:r>
                      <a:rPr lang="en-US" sz="900"/>
                      <a:t>314,1</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E9-427B-A7F2-3F8071ACA75E}"/>
                </c:ext>
                <c:ext xmlns:c15="http://schemas.microsoft.com/office/drawing/2012/chart" uri="{CE6537A1-D6FC-4f65-9D91-7224C49458BB}"/>
              </c:extLst>
            </c:dLbl>
            <c:dLbl>
              <c:idx val="1"/>
              <c:layout>
                <c:manualLayout>
                  <c:x val="0"/>
                  <c:y val="-3.3069998162778003E-2"/>
                </c:manualLayout>
              </c:layout>
              <c:tx>
                <c:rich>
                  <a:bodyPr/>
                  <a:lstStyle/>
                  <a:p>
                    <a:r>
                      <a:rPr lang="en-US" sz="900"/>
                      <a:t>475,6</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E9-427B-A7F2-3F8071ACA75E}"/>
                </c:ext>
                <c:ext xmlns:c15="http://schemas.microsoft.com/office/drawing/2012/chart" uri="{CE6537A1-D6FC-4f65-9D91-7224C49458BB}"/>
              </c:extLst>
            </c:dLbl>
            <c:dLbl>
              <c:idx val="2"/>
              <c:tx>
                <c:rich>
                  <a:bodyPr/>
                  <a:lstStyle/>
                  <a:p>
                    <a:r>
                      <a:rPr lang="en-US" sz="900"/>
                      <a:t>118,6</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E9-427B-A7F2-3F8071ACA75E}"/>
                </c:ext>
                <c:ext xmlns:c15="http://schemas.microsoft.com/office/drawing/2012/chart" uri="{CE6537A1-D6FC-4f65-9D91-7224C49458BB}"/>
              </c:extLst>
            </c:dLbl>
            <c:dLbl>
              <c:idx val="3"/>
              <c:tx>
                <c:rich>
                  <a:bodyPr/>
                  <a:lstStyle/>
                  <a:p>
                    <a:r>
                      <a:rPr lang="en-US" sz="900"/>
                      <a:t>107,4</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6E9-427B-A7F2-3F8071ACA75E}"/>
                </c:ext>
                <c:ext xmlns:c15="http://schemas.microsoft.com/office/drawing/2012/chart" uri="{CE6537A1-D6FC-4f65-9D91-7224C49458BB}"/>
              </c:extLst>
            </c:dLbl>
            <c:dLbl>
              <c:idx val="4"/>
              <c:tx>
                <c:rich>
                  <a:bodyPr/>
                  <a:lstStyle/>
                  <a:p>
                    <a:r>
                      <a:rPr lang="en-US" sz="900"/>
                      <a:t>267,5</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6E9-427B-A7F2-3F8071ACA75E}"/>
                </c:ext>
                <c:ext xmlns:c15="http://schemas.microsoft.com/office/drawing/2012/chart" uri="{CE6537A1-D6FC-4f65-9D91-7224C49458BB}"/>
              </c:extLst>
            </c:dLbl>
            <c:dLbl>
              <c:idx val="5"/>
              <c:tx>
                <c:rich>
                  <a:bodyPr/>
                  <a:lstStyle/>
                  <a:p>
                    <a:r>
                      <a:rPr lang="en-US" sz="900"/>
                      <a:t>24,9</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E9-427B-A7F2-3F8071ACA75E}"/>
                </c:ext>
                <c:ext xmlns:c15="http://schemas.microsoft.com/office/drawing/2012/chart" uri="{CE6537A1-D6FC-4f65-9D91-7224C49458BB}"/>
              </c:extLst>
            </c:dLbl>
            <c:dLbl>
              <c:idx val="6"/>
              <c:tx>
                <c:rich>
                  <a:bodyPr/>
                  <a:lstStyle/>
                  <a:p>
                    <a:r>
                      <a:rPr lang="en-US" sz="900"/>
                      <a:t>192,9</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6E9-427B-A7F2-3F8071ACA75E}"/>
                </c:ext>
                <c:ext xmlns:c15="http://schemas.microsoft.com/office/drawing/2012/chart" uri="{CE6537A1-D6FC-4f65-9D91-7224C49458BB}"/>
              </c:extLst>
            </c:dLbl>
            <c:dLbl>
              <c:idx val="7"/>
              <c:tx>
                <c:rich>
                  <a:bodyPr/>
                  <a:lstStyle/>
                  <a:p>
                    <a:r>
                      <a:rPr lang="en-US" sz="900"/>
                      <a:t>117,5</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6E9-427B-A7F2-3F8071ACA75E}"/>
                </c:ext>
                <c:ext xmlns:c15="http://schemas.microsoft.com/office/drawing/2012/chart" uri="{CE6537A1-D6FC-4f65-9D91-7224C49458BB}"/>
              </c:extLst>
            </c:dLbl>
            <c:dLbl>
              <c:idx val="8"/>
              <c:tx>
                <c:rich>
                  <a:bodyPr/>
                  <a:lstStyle/>
                  <a:p>
                    <a:r>
                      <a:rPr lang="en-US" sz="900"/>
                      <a:t>91,0</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6E9-427B-A7F2-3F8071ACA75E}"/>
                </c:ext>
                <c:ext xmlns:c15="http://schemas.microsoft.com/office/drawing/2012/chart" uri="{CE6537A1-D6FC-4f65-9D91-7224C49458BB}"/>
              </c:extLst>
            </c:dLbl>
            <c:dLbl>
              <c:idx val="9"/>
              <c:tx>
                <c:rich>
                  <a:bodyPr/>
                  <a:lstStyle/>
                  <a:p>
                    <a:r>
                      <a:rPr lang="en-US" sz="900"/>
                      <a:t>141,5</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6E9-427B-A7F2-3F8071ACA75E}"/>
                </c:ext>
                <c:ext xmlns:c15="http://schemas.microsoft.com/office/drawing/2012/chart" uri="{CE6537A1-D6FC-4f65-9D91-7224C49458BB}"/>
              </c:extLst>
            </c:dLbl>
            <c:dLbl>
              <c:idx val="10"/>
              <c:tx>
                <c:rich>
                  <a:bodyPr/>
                  <a:lstStyle/>
                  <a:p>
                    <a:r>
                      <a:rPr lang="en-US" sz="900"/>
                      <a:t>152,3</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6E9-427B-A7F2-3F8071ACA75E}"/>
                </c:ext>
                <c:ext xmlns:c15="http://schemas.microsoft.com/office/drawing/2012/chart" uri="{CE6537A1-D6FC-4f65-9D91-7224C49458BB}"/>
              </c:extLst>
            </c:dLbl>
            <c:dLbl>
              <c:idx val="11"/>
              <c:tx>
                <c:rich>
                  <a:bodyPr/>
                  <a:lstStyle/>
                  <a:p>
                    <a:r>
                      <a:rPr lang="en-US" sz="900"/>
                      <a:t>10,2</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6E9-427B-A7F2-3F8071ACA75E}"/>
                </c:ext>
                <c:ext xmlns:c15="http://schemas.microsoft.com/office/drawing/2012/chart" uri="{CE6537A1-D6FC-4f65-9D91-7224C49458BB}"/>
              </c:extLst>
            </c:dLbl>
            <c:spPr>
              <a:noFill/>
              <a:ln>
                <a:noFill/>
              </a:ln>
              <a:effectLst/>
            </c:spPr>
            <c:txPr>
              <a:bodyPr/>
              <a:lstStyle/>
              <a:p>
                <a:pPr>
                  <a:defRPr sz="8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Budzets!$A$2:$B$13</c:f>
              <c:multiLvlStrCache>
                <c:ptCount val="12"/>
                <c:lvl>
                  <c:pt idx="0">
                    <c:v>Ekonomiskās aktivitātes veicināšana reģionos – teritoriju potenciāla izmantošana</c:v>
                  </c:pt>
                  <c:pt idx="1">
                    <c:v>Pakalpojumu pieejamība līdzvērtīgāku darba iespēju un  dzīves apstākļu radīšanai</c:v>
                  </c:pt>
                  <c:pt idx="2">
                    <c:v>Dabas un kultūras kapitāla ilgtspējīga apsaimniekošana</c:v>
                  </c:pt>
                  <c:pt idx="3">
                    <c:v>Cienīgs darbs</c:v>
                  </c:pt>
                  <c:pt idx="4">
                    <c:v>Stabili pamati tautas ataudzei</c:v>
                  </c:pt>
                  <c:pt idx="5">
                    <c:v>Kompetenču attīstība</c:v>
                  </c:pt>
                  <c:pt idx="6">
                    <c:v>Vesels un darbspējīgs cilvēks</c:v>
                  </c:pt>
                  <c:pt idx="7">
                    <c:v>Cilvēku sadarbība, kultūra un pilsoniskā līdzdalība kā piederības Latvijai pamats</c:v>
                  </c:pt>
                  <c:pt idx="8">
                    <c:v>Augstražīga un eksportspējīga ražošana un starptautiski konkurētspējīgi pakalpojumi</c:v>
                  </c:pt>
                  <c:pt idx="9">
                    <c:v>Izcila uzņēmējdarbības vide</c:v>
                  </c:pt>
                  <c:pt idx="10">
                    <c:v>Attīstīta pētniecība, inovācija un augstākā izglītība</c:v>
                  </c:pt>
                  <c:pt idx="11">
                    <c:v>Energoefektivitāte un enerģijas ražošana</c:v>
                  </c:pt>
                </c:lvl>
                <c:lvl>
                  <c:pt idx="0">
                    <c:v>IZAUGSMI ATBALSTOŠAS TERITORIJAS</c:v>
                  </c:pt>
                  <c:pt idx="3">
                    <c:v>CILVĒKA DROŠUMSPĒJA</c:v>
                  </c:pt>
                  <c:pt idx="8">
                    <c:v>TAUTAS SAIMNIECĪBAS IZAUSME</c:v>
                  </c:pt>
                </c:lvl>
              </c:multiLvlStrCache>
            </c:multiLvlStrRef>
          </c:cat>
          <c:val>
            <c:numRef>
              <c:f>Budzets!$K$2:$K$13</c:f>
              <c:numCache>
                <c:formatCode>#,##0.0,,</c:formatCode>
                <c:ptCount val="12"/>
                <c:pt idx="0">
                  <c:v>-314113100</c:v>
                </c:pt>
                <c:pt idx="1">
                  <c:v>-475607800</c:v>
                </c:pt>
                <c:pt idx="2">
                  <c:v>-118624800</c:v>
                </c:pt>
                <c:pt idx="3">
                  <c:v>-107425400</c:v>
                </c:pt>
                <c:pt idx="4">
                  <c:v>-267497000</c:v>
                </c:pt>
                <c:pt idx="5">
                  <c:v>-24878600</c:v>
                </c:pt>
                <c:pt idx="6">
                  <c:v>-192941600</c:v>
                </c:pt>
                <c:pt idx="7">
                  <c:v>-117472100</c:v>
                </c:pt>
                <c:pt idx="8">
                  <c:v>-90992600</c:v>
                </c:pt>
                <c:pt idx="9">
                  <c:v>-141469048</c:v>
                </c:pt>
                <c:pt idx="10">
                  <c:v>-152293065</c:v>
                </c:pt>
                <c:pt idx="11">
                  <c:v>-10202000</c:v>
                </c:pt>
              </c:numCache>
            </c:numRef>
          </c:val>
          <c:extLst xmlns:c16r2="http://schemas.microsoft.com/office/drawing/2015/06/chart">
            <c:ext xmlns:c16="http://schemas.microsoft.com/office/drawing/2014/chart" uri="{C3380CC4-5D6E-409C-BE32-E72D297353CC}">
              <c16:uniqueId val="{0000000C-16E9-427B-A7F2-3F8071ACA75E}"/>
            </c:ext>
          </c:extLst>
        </c:ser>
        <c:dLbls>
          <c:dLblPos val="outEnd"/>
          <c:showLegendKey val="0"/>
          <c:showVal val="1"/>
          <c:showCatName val="0"/>
          <c:showSerName val="0"/>
          <c:showPercent val="0"/>
          <c:showBubbleSize val="0"/>
        </c:dLbls>
        <c:gapWidth val="150"/>
        <c:axId val="216884592"/>
        <c:axId val="216876752"/>
      </c:barChart>
      <c:barChart>
        <c:barDir val="bar"/>
        <c:grouping val="clustered"/>
        <c:varyColors val="0"/>
        <c:ser>
          <c:idx val="0"/>
          <c:order val="0"/>
          <c:tx>
            <c:strRef>
              <c:f>Budzets!$I$1</c:f>
              <c:strCache>
                <c:ptCount val="1"/>
                <c:pt idx="0">
                  <c:v>Valsts budžeta investīcijas uz 2016.g. 31.decembri, milj. eiro</c:v>
                </c:pt>
              </c:strCache>
            </c:strRef>
          </c:tx>
          <c:spPr>
            <a:solidFill>
              <a:srgbClr val="7F8FA9">
                <a:lumMod val="75000"/>
              </a:srgbClr>
            </a:solidFill>
          </c:spPr>
          <c:invertIfNegative val="0"/>
          <c:dLbls>
            <c:dLbl>
              <c:idx val="1"/>
              <c:layout>
                <c:manualLayout>
                  <c:x val="-7.2661217075386001E-3"/>
                  <c:y val="-2.86430393918473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6E9-427B-A7F2-3F8071ACA75E}"/>
                </c:ext>
                <c:ext xmlns:c15="http://schemas.microsoft.com/office/drawing/2012/chart" uri="{CE6537A1-D6FC-4f65-9D91-7224C49458BB}"/>
              </c:extLst>
            </c:dLbl>
            <c:dLbl>
              <c:idx val="3"/>
              <c:layout>
                <c:manualLayout>
                  <c:x val="-1.1490352350583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6E9-427B-A7F2-3F8071ACA75E}"/>
                </c:ext>
                <c:ext xmlns:c15="http://schemas.microsoft.com/office/drawing/2012/chart" uri="{CE6537A1-D6FC-4f65-9D91-7224C49458BB}"/>
              </c:extLst>
            </c:dLbl>
            <c:spPr>
              <a:noFill/>
              <a:ln>
                <a:noFill/>
              </a:ln>
              <a:effectLst/>
            </c:spPr>
            <c:txPr>
              <a:bodyPr/>
              <a:lstStyle/>
              <a:p>
                <a:pPr>
                  <a:defRPr sz="800"/>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Budzets!$A$2:$B$13</c:f>
              <c:multiLvlStrCache>
                <c:ptCount val="12"/>
                <c:lvl>
                  <c:pt idx="0">
                    <c:v>Ekonomiskās aktivitātes veicināšana reģionos – teritoriju potenciāla izmantošana</c:v>
                  </c:pt>
                  <c:pt idx="1">
                    <c:v>Pakalpojumu pieejamība līdzvērtīgāku darba iespēju un  dzīves apstākļu radīšanai</c:v>
                  </c:pt>
                  <c:pt idx="2">
                    <c:v>Dabas un kultūras kapitāla ilgtspējīga apsaimniekošana</c:v>
                  </c:pt>
                  <c:pt idx="3">
                    <c:v>Cienīgs darbs</c:v>
                  </c:pt>
                  <c:pt idx="4">
                    <c:v>Stabili pamati tautas ataudzei</c:v>
                  </c:pt>
                  <c:pt idx="5">
                    <c:v>Kompetenču attīstība</c:v>
                  </c:pt>
                  <c:pt idx="6">
                    <c:v>Vesels un darbspējīgs cilvēks</c:v>
                  </c:pt>
                  <c:pt idx="7">
                    <c:v>Cilvēku sadarbība, kultūra un pilsoniskā līdzdalība kā piederības Latvijai pamats</c:v>
                  </c:pt>
                  <c:pt idx="8">
                    <c:v>Augstražīga un eksportspējīga ražošana un starptautiski konkurētspējīgi pakalpojumi</c:v>
                  </c:pt>
                  <c:pt idx="9">
                    <c:v>Izcila uzņēmējdarbības vide</c:v>
                  </c:pt>
                  <c:pt idx="10">
                    <c:v>Attīstīta pētniecība, inovācija un augstākā izglītība</c:v>
                  </c:pt>
                  <c:pt idx="11">
                    <c:v>Energoefektivitāte un enerģijas ražošana</c:v>
                  </c:pt>
                </c:lvl>
                <c:lvl>
                  <c:pt idx="0">
                    <c:v>IZAUGSMI ATBALSTOŠAS TERITORIJAS</c:v>
                  </c:pt>
                  <c:pt idx="3">
                    <c:v>CILVĒKA DROŠUMSPĒJA</c:v>
                  </c:pt>
                  <c:pt idx="8">
                    <c:v>TAUTAS SAIMNIECĪBAS IZAUSME</c:v>
                  </c:pt>
                </c:lvl>
              </c:multiLvlStrCache>
            </c:multiLvlStrRef>
          </c:cat>
          <c:val>
            <c:numRef>
              <c:f>Budzets!$I$2:$I$13</c:f>
              <c:numCache>
                <c:formatCode>#,##0.0,,</c:formatCode>
                <c:ptCount val="12"/>
                <c:pt idx="0">
                  <c:v>75767978.748503998</c:v>
                </c:pt>
                <c:pt idx="1">
                  <c:v>269961169.07675302</c:v>
                </c:pt>
                <c:pt idx="2">
                  <c:v>98775230.671829402</c:v>
                </c:pt>
                <c:pt idx="3">
                  <c:v>321191286.87586403</c:v>
                </c:pt>
                <c:pt idx="4">
                  <c:v>133606299.68117601</c:v>
                </c:pt>
                <c:pt idx="5">
                  <c:v>4803446.1364705898</c:v>
                </c:pt>
                <c:pt idx="6">
                  <c:v>169661329.42117599</c:v>
                </c:pt>
                <c:pt idx="7">
                  <c:v>33754226.472231299</c:v>
                </c:pt>
                <c:pt idx="8">
                  <c:v>33504555.401102699</c:v>
                </c:pt>
                <c:pt idx="9">
                  <c:v>219696037.798235</c:v>
                </c:pt>
                <c:pt idx="10">
                  <c:v>9453071.9435294103</c:v>
                </c:pt>
                <c:pt idx="11">
                  <c:v>96474838.340000004</c:v>
                </c:pt>
              </c:numCache>
            </c:numRef>
          </c:val>
          <c:extLst xmlns:c16r2="http://schemas.microsoft.com/office/drawing/2015/06/chart">
            <c:ext xmlns:c16="http://schemas.microsoft.com/office/drawing/2014/chart" uri="{C3380CC4-5D6E-409C-BE32-E72D297353CC}">
              <c16:uniqueId val="{0000000F-16E9-427B-A7F2-3F8071ACA75E}"/>
            </c:ext>
          </c:extLst>
        </c:ser>
        <c:dLbls>
          <c:showLegendKey val="0"/>
          <c:showVal val="0"/>
          <c:showCatName val="0"/>
          <c:showSerName val="0"/>
          <c:showPercent val="0"/>
          <c:showBubbleSize val="0"/>
        </c:dLbls>
        <c:gapWidth val="150"/>
        <c:axId val="216882632"/>
        <c:axId val="216881848"/>
      </c:barChart>
      <c:valAx>
        <c:axId val="216876752"/>
        <c:scaling>
          <c:orientation val="minMax"/>
        </c:scaling>
        <c:delete val="0"/>
        <c:axPos val="b"/>
        <c:majorGridlines/>
        <c:numFmt formatCode="#,##0.0,," sourceLinked="1"/>
        <c:majorTickMark val="none"/>
        <c:minorTickMark val="none"/>
        <c:tickLblPos val="none"/>
        <c:crossAx val="216884592"/>
        <c:crosses val="autoZero"/>
        <c:crossBetween val="between"/>
      </c:valAx>
      <c:catAx>
        <c:axId val="216884592"/>
        <c:scaling>
          <c:orientation val="minMax"/>
        </c:scaling>
        <c:delete val="0"/>
        <c:axPos val="l"/>
        <c:numFmt formatCode="General" sourceLinked="0"/>
        <c:majorTickMark val="in"/>
        <c:minorTickMark val="in"/>
        <c:tickLblPos val="high"/>
        <c:crossAx val="216876752"/>
        <c:crosses val="autoZero"/>
        <c:auto val="1"/>
        <c:lblAlgn val="ctr"/>
        <c:lblOffset val="100"/>
        <c:noMultiLvlLbl val="0"/>
      </c:catAx>
      <c:valAx>
        <c:axId val="216881848"/>
        <c:scaling>
          <c:orientation val="minMax"/>
        </c:scaling>
        <c:delete val="1"/>
        <c:axPos val="t"/>
        <c:numFmt formatCode="#,##0.0,," sourceLinked="1"/>
        <c:majorTickMark val="out"/>
        <c:minorTickMark val="none"/>
        <c:tickLblPos val="nextTo"/>
        <c:crossAx val="216882632"/>
        <c:crosses val="max"/>
        <c:crossBetween val="between"/>
      </c:valAx>
      <c:catAx>
        <c:axId val="216882632"/>
        <c:scaling>
          <c:orientation val="minMax"/>
        </c:scaling>
        <c:delete val="1"/>
        <c:axPos val="l"/>
        <c:numFmt formatCode="General" sourceLinked="1"/>
        <c:majorTickMark val="out"/>
        <c:minorTickMark val="none"/>
        <c:tickLblPos val="nextTo"/>
        <c:crossAx val="216881848"/>
        <c:crosses val="autoZero"/>
        <c:auto val="1"/>
        <c:lblAlgn val="ctr"/>
        <c:lblOffset val="100"/>
        <c:noMultiLvlLbl val="0"/>
      </c:catAx>
    </c:plotArea>
    <c:legend>
      <c:legendPos val="b"/>
      <c:layout>
        <c:manualLayout>
          <c:xMode val="edge"/>
          <c:yMode val="edge"/>
          <c:x val="0.22942128923024999"/>
          <c:y val="0.90721941495325198"/>
          <c:w val="0.55078901316001505"/>
          <c:h val="7.8082808085513294E-2"/>
        </c:manualLayout>
      </c:layout>
      <c:overlay val="0"/>
    </c:legend>
    <c:plotVisOnly val="1"/>
    <c:dispBlanksAs val="gap"/>
    <c:showDLblsOverMax val="0"/>
  </c:chart>
  <c:spPr>
    <a:ln>
      <a:noFill/>
    </a:ln>
  </c:spPr>
  <c:txPr>
    <a:bodyPr/>
    <a:lstStyle/>
    <a:p>
      <a:pPr>
        <a:defRPr sz="900"/>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003620515177"/>
          <c:y val="5.5979149300231401E-2"/>
          <c:w val="0.61417951788284497"/>
          <c:h val="0.66651063962304402"/>
        </c:manualLayout>
      </c:layout>
      <c:barChart>
        <c:barDir val="bar"/>
        <c:grouping val="stacked"/>
        <c:varyColors val="0"/>
        <c:ser>
          <c:idx val="0"/>
          <c:order val="0"/>
          <c:tx>
            <c:strRef>
              <c:f>'ES fondi'!$C$1</c:f>
              <c:strCache>
                <c:ptCount val="1"/>
                <c:pt idx="0">
                  <c:v>Uz 2016.g. 31.decembri veiktās ES fondu investīcijas</c:v>
                </c:pt>
              </c:strCache>
            </c:strRef>
          </c:tx>
          <c:invertIfNegative val="0"/>
          <c:dLbls>
            <c:dLbl>
              <c:idx val="0"/>
              <c:layout>
                <c:manualLayout>
                  <c:x val="6.758832565284189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8D-404C-B854-0C712765932F}"/>
                </c:ext>
                <c:ext xmlns:c15="http://schemas.microsoft.com/office/drawing/2012/chart" uri="{CE6537A1-D6FC-4f65-9D91-7224C49458BB}"/>
              </c:extLst>
            </c:dLbl>
            <c:dLbl>
              <c:idx val="1"/>
              <c:layout>
                <c:manualLayout>
                  <c:x val="6.75883256528417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8D-404C-B854-0C712765932F}"/>
                </c:ext>
                <c:ext xmlns:c15="http://schemas.microsoft.com/office/drawing/2012/chart" uri="{CE6537A1-D6FC-4f65-9D91-7224C49458BB}"/>
              </c:extLst>
            </c:dLbl>
            <c:dLbl>
              <c:idx val="2"/>
              <c:layout>
                <c:manualLayout>
                  <c:x val="8.8069636456733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8D-404C-B854-0C712765932F}"/>
                </c:ext>
                <c:ext xmlns:c15="http://schemas.microsoft.com/office/drawing/2012/chart" uri="{CE6537A1-D6FC-4f65-9D91-7224C49458BB}"/>
              </c:extLst>
            </c:dLbl>
            <c:dLbl>
              <c:idx val="3"/>
              <c:layout>
                <c:manualLayout>
                  <c:x val="4.301075268817199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08D-404C-B854-0C712765932F}"/>
                </c:ext>
                <c:ext xmlns:c15="http://schemas.microsoft.com/office/drawing/2012/chart" uri="{CE6537A1-D6FC-4f65-9D91-7224C49458BB}"/>
              </c:extLst>
            </c:dLbl>
            <c:dLbl>
              <c:idx val="4"/>
              <c:layout>
                <c:manualLayout>
                  <c:x val="2.25294418842807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08D-404C-B854-0C712765932F}"/>
                </c:ext>
                <c:ext xmlns:c15="http://schemas.microsoft.com/office/drawing/2012/chart" uri="{CE6537A1-D6FC-4f65-9D91-7224C49458BB}"/>
              </c:extLst>
            </c:dLbl>
            <c:dLbl>
              <c:idx val="5"/>
              <c:layout>
                <c:manualLayout>
                  <c:x val="2.6625704045058901E-2"/>
                  <c:y val="5.438078958405580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08D-404C-B854-0C712765932F}"/>
                </c:ext>
                <c:ext xmlns:c15="http://schemas.microsoft.com/office/drawing/2012/chart" uri="{CE6537A1-D6FC-4f65-9D91-7224C49458BB}"/>
              </c:extLst>
            </c:dLbl>
            <c:dLbl>
              <c:idx val="6"/>
              <c:layout>
                <c:manualLayout>
                  <c:x val="2.45775729646697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08D-404C-B854-0C712765932F}"/>
                </c:ext>
                <c:ext xmlns:c15="http://schemas.microsoft.com/office/drawing/2012/chart" uri="{CE6537A1-D6FC-4f65-9D91-7224C49458BB}"/>
              </c:extLst>
            </c:dLbl>
            <c:dLbl>
              <c:idx val="7"/>
              <c:layout>
                <c:manualLayout>
                  <c:x val="2.04811495337276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08D-404C-B854-0C712765932F}"/>
                </c:ext>
                <c:ext xmlns:c15="http://schemas.microsoft.com/office/drawing/2012/chart" uri="{CE6537A1-D6FC-4f65-9D91-7224C49458BB}"/>
              </c:extLst>
            </c:dLbl>
            <c:dLbl>
              <c:idx val="8"/>
              <c:layout>
                <c:manualLayout>
                  <c:x val="5.12031157395647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08D-404C-B854-0C712765932F}"/>
                </c:ext>
                <c:ext xmlns:c15="http://schemas.microsoft.com/office/drawing/2012/chart" uri="{CE6537A1-D6FC-4f65-9D91-7224C49458BB}"/>
              </c:extLst>
            </c:dLbl>
            <c:dLbl>
              <c:idx val="9"/>
              <c:layout>
                <c:manualLayout>
                  <c:x val="3.0721966205837201E-2"/>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08D-404C-B854-0C712765932F}"/>
                </c:ext>
                <c:ext xmlns:c15="http://schemas.microsoft.com/office/drawing/2012/chart" uri="{CE6537A1-D6FC-4f65-9D91-7224C49458BB}"/>
              </c:extLst>
            </c:dLbl>
            <c:dLbl>
              <c:idx val="10"/>
              <c:layout>
                <c:manualLayout>
                  <c:x val="3.07219662058372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08D-404C-B854-0C712765932F}"/>
                </c:ext>
                <c:ext xmlns:c15="http://schemas.microsoft.com/office/drawing/2012/chart" uri="{CE6537A1-D6FC-4f65-9D91-7224C49458BB}"/>
              </c:extLst>
            </c:dLbl>
            <c:dLbl>
              <c:idx val="11"/>
              <c:layout>
                <c:manualLayout>
                  <c:x val="3.072180493567340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08D-404C-B854-0C712765932F}"/>
                </c:ext>
                <c:ext xmlns:c15="http://schemas.microsoft.com/office/drawing/2012/chart" uri="{CE6537A1-D6FC-4f65-9D91-7224C49458BB}"/>
              </c:extLst>
            </c:dLbl>
            <c:spPr>
              <a:noFill/>
              <a:ln>
                <a:noFill/>
              </a:ln>
              <a:effectLst/>
            </c:spPr>
            <c:txPr>
              <a:bodyPr/>
              <a:lstStyle/>
              <a:p>
                <a:pPr>
                  <a:defRPr sz="900" b="1">
                    <a:solidFill>
                      <a:schemeClr val="bg1">
                        <a:lumMod val="85000"/>
                      </a:schemeClr>
                    </a:solidFill>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 fondi'!$A$15:$A$17</c:f>
              <c:strCache>
                <c:ptCount val="3"/>
                <c:pt idx="0">
                  <c:v>TAUTAS SAIMNIECĪBAS IZAUGSME</c:v>
                </c:pt>
                <c:pt idx="1">
                  <c:v>CILVĒKA DROŠUMSPĒJA</c:v>
                </c:pt>
                <c:pt idx="2">
                  <c:v>IZAUGSMI ATBALSTOŠAS TERITORIJAS</c:v>
                </c:pt>
              </c:strCache>
            </c:strRef>
          </c:cat>
          <c:val>
            <c:numRef>
              <c:f>'ES fondi'!$C$15:$C$17</c:f>
              <c:numCache>
                <c:formatCode>#,##0.00,,</c:formatCode>
                <c:ptCount val="3"/>
                <c:pt idx="0">
                  <c:v>83470715.747651994</c:v>
                </c:pt>
                <c:pt idx="1">
                  <c:v>48348967.9692</c:v>
                </c:pt>
                <c:pt idx="2">
                  <c:v>365197819.88989598</c:v>
                </c:pt>
              </c:numCache>
            </c:numRef>
          </c:val>
          <c:extLst xmlns:c16r2="http://schemas.microsoft.com/office/drawing/2015/06/chart">
            <c:ext xmlns:c16="http://schemas.microsoft.com/office/drawing/2014/chart" uri="{C3380CC4-5D6E-409C-BE32-E72D297353CC}">
              <c16:uniqueId val="{0000000C-108D-404C-B854-0C712765932F}"/>
            </c:ext>
          </c:extLst>
        </c:ser>
        <c:ser>
          <c:idx val="1"/>
          <c:order val="1"/>
          <c:tx>
            <c:strRef>
              <c:f>'ES fondi'!$G$1</c:f>
              <c:strCache>
                <c:ptCount val="1"/>
                <c:pt idx="0">
                  <c:v>Atlikušajos periodos veicamās ES fondu investīcijas</c:v>
                </c:pt>
              </c:strCache>
            </c:strRef>
          </c:tx>
          <c:invertIfNegative val="0"/>
          <c:dLbls>
            <c:dLbl>
              <c:idx val="0"/>
              <c:layout>
                <c:manualLayout>
                  <c:x val="0.27649769585253497"/>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08D-404C-B854-0C712765932F}"/>
                </c:ext>
                <c:ext xmlns:c15="http://schemas.microsoft.com/office/drawing/2012/chart" uri="{CE6537A1-D6FC-4f65-9D91-7224C49458BB}"/>
              </c:extLst>
            </c:dLbl>
            <c:dLbl>
              <c:idx val="1"/>
              <c:layout>
                <c:manualLayout>
                  <c:x val="0.15975406300018899"/>
                  <c:y val="-2.33563712794176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08D-404C-B854-0C712765932F}"/>
                </c:ext>
                <c:ext xmlns:c15="http://schemas.microsoft.com/office/drawing/2012/chart" uri="{CE6537A1-D6FC-4f65-9D91-7224C49458BB}"/>
              </c:extLst>
            </c:dLbl>
            <c:dLbl>
              <c:idx val="2"/>
              <c:layout>
                <c:manualLayout>
                  <c:x val="0.23143881208397299"/>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08D-404C-B854-0C712765932F}"/>
                </c:ext>
                <c:ext xmlns:c15="http://schemas.microsoft.com/office/drawing/2012/chart" uri="{CE6537A1-D6FC-4f65-9D91-7224C49458BB}"/>
              </c:extLst>
            </c:dLbl>
            <c:dLbl>
              <c:idx val="3"/>
              <c:layout>
                <c:manualLayout>
                  <c:x val="0.1065028161802360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08D-404C-B854-0C712765932F}"/>
                </c:ext>
                <c:ext xmlns:c15="http://schemas.microsoft.com/office/drawing/2012/chart" uri="{CE6537A1-D6FC-4f65-9D91-7224C49458BB}"/>
              </c:extLst>
            </c:dLbl>
            <c:dLbl>
              <c:idx val="4"/>
              <c:layout>
                <c:manualLayout>
                  <c:x val="7.16844265434563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08D-404C-B854-0C712765932F}"/>
                </c:ext>
                <c:ext xmlns:c15="http://schemas.microsoft.com/office/drawing/2012/chart" uri="{CE6537A1-D6FC-4f65-9D91-7224C49458BB}"/>
              </c:extLst>
            </c:dLbl>
            <c:dLbl>
              <c:idx val="5"/>
              <c:layout>
                <c:manualLayout>
                  <c:x val="0.12083973374296"/>
                  <c:y val="5.438078958405580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08D-404C-B854-0C712765932F}"/>
                </c:ext>
                <c:ext xmlns:c15="http://schemas.microsoft.com/office/drawing/2012/chart" uri="{CE6537A1-D6FC-4f65-9D91-7224C49458BB}"/>
              </c:extLst>
            </c:dLbl>
            <c:dLbl>
              <c:idx val="6"/>
              <c:layout>
                <c:manualLayout>
                  <c:x val="8.39733742959549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08D-404C-B854-0C712765932F}"/>
                </c:ext>
                <c:ext xmlns:c15="http://schemas.microsoft.com/office/drawing/2012/chart" uri="{CE6537A1-D6FC-4f65-9D91-7224C49458BB}"/>
              </c:extLst>
            </c:dLbl>
            <c:dLbl>
              <c:idx val="7"/>
              <c:layout>
                <c:manualLayout>
                  <c:x val="7.16844265434563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08D-404C-B854-0C712765932F}"/>
                </c:ext>
                <c:ext xmlns:c15="http://schemas.microsoft.com/office/drawing/2012/chart" uri="{CE6537A1-D6FC-4f65-9D91-7224C49458BB}"/>
              </c:extLst>
            </c:dLbl>
            <c:dLbl>
              <c:idx val="8"/>
              <c:layout>
                <c:manualLayout>
                  <c:x val="0.1884280593958010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08D-404C-B854-0C712765932F}"/>
                </c:ext>
                <c:ext xmlns:c15="http://schemas.microsoft.com/office/drawing/2012/chart" uri="{CE6537A1-D6FC-4f65-9D91-7224C49458BB}"/>
              </c:extLst>
            </c:dLbl>
            <c:dLbl>
              <c:idx val="9"/>
              <c:layout>
                <c:manualLayout>
                  <c:x val="0.149513568868408"/>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08D-404C-B854-0C712765932F}"/>
                </c:ext>
                <c:ext xmlns:c15="http://schemas.microsoft.com/office/drawing/2012/chart" uri="{CE6537A1-D6FC-4f65-9D91-7224C49458BB}"/>
              </c:extLst>
            </c:dLbl>
            <c:dLbl>
              <c:idx val="10"/>
              <c:layout>
                <c:manualLayout>
                  <c:x val="0.149513568868408"/>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08D-404C-B854-0C712765932F}"/>
                </c:ext>
                <c:ext xmlns:c15="http://schemas.microsoft.com/office/drawing/2012/chart" uri="{CE6537A1-D6FC-4f65-9D91-7224C49458BB}"/>
              </c:extLst>
            </c:dLbl>
            <c:dLbl>
              <c:idx val="11"/>
              <c:layout>
                <c:manualLayout>
                  <c:x val="0.108550947260625"/>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08D-404C-B854-0C712765932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 fondi'!$A$15:$A$17</c:f>
              <c:strCache>
                <c:ptCount val="3"/>
                <c:pt idx="0">
                  <c:v>TAUTAS SAIMNIECĪBAS IZAUGSME</c:v>
                </c:pt>
                <c:pt idx="1">
                  <c:v>CILVĒKA DROŠUMSPĒJA</c:v>
                </c:pt>
                <c:pt idx="2">
                  <c:v>IZAUGSMI ATBALSTOŠAS TERITORIJAS</c:v>
                </c:pt>
              </c:strCache>
            </c:strRef>
          </c:cat>
          <c:val>
            <c:numRef>
              <c:f>'ES fondi'!$G$15:$G$17</c:f>
              <c:numCache>
                <c:formatCode>#,##0.00,,</c:formatCode>
                <c:ptCount val="3"/>
                <c:pt idx="0">
                  <c:v>2201825204.2023501</c:v>
                </c:pt>
                <c:pt idx="1">
                  <c:v>921199338.03079998</c:v>
                </c:pt>
                <c:pt idx="2">
                  <c:v>1818914058.1601</c:v>
                </c:pt>
              </c:numCache>
            </c:numRef>
          </c:val>
          <c:extLst xmlns:c16r2="http://schemas.microsoft.com/office/drawing/2015/06/chart">
            <c:ext xmlns:c16="http://schemas.microsoft.com/office/drawing/2014/chart" uri="{C3380CC4-5D6E-409C-BE32-E72D297353CC}">
              <c16:uniqueId val="{00000019-108D-404C-B854-0C712765932F}"/>
            </c:ext>
          </c:extLst>
        </c:ser>
        <c:dLbls>
          <c:dLblPos val="ctr"/>
          <c:showLegendKey val="0"/>
          <c:showVal val="1"/>
          <c:showCatName val="0"/>
          <c:showSerName val="0"/>
          <c:showPercent val="0"/>
          <c:showBubbleSize val="0"/>
        </c:dLbls>
        <c:gapWidth val="150"/>
        <c:overlap val="100"/>
        <c:axId val="216877928"/>
        <c:axId val="216878712"/>
      </c:barChart>
      <c:catAx>
        <c:axId val="216877928"/>
        <c:scaling>
          <c:orientation val="minMax"/>
        </c:scaling>
        <c:delete val="0"/>
        <c:axPos val="l"/>
        <c:numFmt formatCode="General" sourceLinked="0"/>
        <c:majorTickMark val="in"/>
        <c:minorTickMark val="none"/>
        <c:tickLblPos val="nextTo"/>
        <c:txPr>
          <a:bodyPr rot="0" vert="horz" anchor="ctr" anchorCtr="1"/>
          <a:lstStyle/>
          <a:p>
            <a:pPr>
              <a:defRPr sz="900"/>
            </a:pPr>
            <a:endParaRPr lang="lv-LV"/>
          </a:p>
        </c:txPr>
        <c:crossAx val="216878712"/>
        <c:crosses val="autoZero"/>
        <c:auto val="1"/>
        <c:lblAlgn val="ctr"/>
        <c:lblOffset val="100"/>
        <c:noMultiLvlLbl val="0"/>
      </c:catAx>
      <c:valAx>
        <c:axId val="216878712"/>
        <c:scaling>
          <c:orientation val="minMax"/>
        </c:scaling>
        <c:delete val="0"/>
        <c:axPos val="b"/>
        <c:majorGridlines/>
        <c:numFmt formatCode="#,##0.00,," sourceLinked="1"/>
        <c:majorTickMark val="out"/>
        <c:minorTickMark val="none"/>
        <c:tickLblPos val="nextTo"/>
        <c:txPr>
          <a:bodyPr/>
          <a:lstStyle/>
          <a:p>
            <a:pPr>
              <a:defRPr sz="900"/>
            </a:pPr>
            <a:endParaRPr lang="lv-LV"/>
          </a:p>
        </c:txPr>
        <c:crossAx val="216877928"/>
        <c:crosses val="autoZero"/>
        <c:crossBetween val="between"/>
      </c:valAx>
    </c:plotArea>
    <c:legend>
      <c:legendPos val="b"/>
      <c:layout>
        <c:manualLayout>
          <c:xMode val="edge"/>
          <c:yMode val="edge"/>
          <c:x val="1.4923775764464801E-2"/>
          <c:y val="0.86139779543831896"/>
          <c:w val="0.92252936124919904"/>
          <c:h val="0.120804610092816"/>
        </c:manualLayout>
      </c:layout>
      <c:overlay val="0"/>
      <c:txPr>
        <a:bodyPr/>
        <a:lstStyle/>
        <a:p>
          <a:pPr>
            <a:defRPr sz="800"/>
          </a:pPr>
          <a:endParaRPr lang="lv-LV"/>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52794207175701"/>
          <c:y val="3.7108062894352097E-2"/>
          <c:w val="0.42165519632626602"/>
          <c:h val="0.80574910260389099"/>
        </c:manualLayout>
      </c:layout>
      <c:barChart>
        <c:barDir val="bar"/>
        <c:grouping val="stacked"/>
        <c:varyColors val="0"/>
        <c:ser>
          <c:idx val="0"/>
          <c:order val="0"/>
          <c:tx>
            <c:strRef>
              <c:f>'ES fondi'!$C$1</c:f>
              <c:strCache>
                <c:ptCount val="1"/>
                <c:pt idx="0">
                  <c:v>Uz 2016.g. 31.decembri veiktās ES fondu investīcijas</c:v>
                </c:pt>
              </c:strCache>
            </c:strRef>
          </c:tx>
          <c:spPr>
            <a:solidFill>
              <a:srgbClr val="297FD5">
                <a:lumMod val="20000"/>
                <a:lumOff val="80000"/>
              </a:srgbClr>
            </a:solidFill>
          </c:spPr>
          <c:invertIfNegative val="0"/>
          <c:dLbls>
            <c:dLbl>
              <c:idx val="0"/>
              <c:layout>
                <c:manualLayout>
                  <c:x val="6.758832565284189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1E-4749-8757-BCA4D9B992F5}"/>
                </c:ext>
                <c:ext xmlns:c15="http://schemas.microsoft.com/office/drawing/2012/chart" uri="{CE6537A1-D6FC-4f65-9D91-7224C49458BB}"/>
              </c:extLst>
            </c:dLbl>
            <c:dLbl>
              <c:idx val="1"/>
              <c:layout>
                <c:manualLayout>
                  <c:x val="6.75883256528417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1E-4749-8757-BCA4D9B992F5}"/>
                </c:ext>
                <c:ext xmlns:c15="http://schemas.microsoft.com/office/drawing/2012/chart" uri="{CE6537A1-D6FC-4f65-9D91-7224C49458BB}"/>
              </c:extLst>
            </c:dLbl>
            <c:dLbl>
              <c:idx val="2"/>
              <c:layout>
                <c:manualLayout>
                  <c:x val="7.37327188940092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1E-4749-8757-BCA4D9B992F5}"/>
                </c:ext>
                <c:ext xmlns:c15="http://schemas.microsoft.com/office/drawing/2012/chart" uri="{CE6537A1-D6FC-4f65-9D91-7224C49458BB}"/>
              </c:extLst>
            </c:dLbl>
            <c:dLbl>
              <c:idx val="3"/>
              <c:layout>
                <c:manualLayout>
                  <c:x val="4.301075268817199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1E-4749-8757-BCA4D9B992F5}"/>
                </c:ext>
                <c:ext xmlns:c15="http://schemas.microsoft.com/office/drawing/2012/chart" uri="{CE6537A1-D6FC-4f65-9D91-7224C49458BB}"/>
              </c:extLst>
            </c:dLbl>
            <c:dLbl>
              <c:idx val="4"/>
              <c:layout>
                <c:manualLayout>
                  <c:x val="2.2529441884280701E-2"/>
                  <c:y val="0"/>
                </c:manualLayout>
              </c:layout>
              <c:spPr>
                <a:noFill/>
                <a:ln>
                  <a:noFill/>
                </a:ln>
                <a:effectLst/>
              </c:spPr>
              <c:txPr>
                <a:bodyPr/>
                <a:lstStyle/>
                <a:p>
                  <a:pPr>
                    <a:defRPr sz="800">
                      <a:solidFill>
                        <a:schemeClr val="tx1"/>
                      </a:solidFill>
                    </a:defRPr>
                  </a:pPr>
                  <a:endParaRPr lang="lv-LV"/>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1E-4749-8757-BCA4D9B992F5}"/>
                </c:ext>
                <c:ext xmlns:c15="http://schemas.microsoft.com/office/drawing/2012/chart" uri="{CE6537A1-D6FC-4f65-9D91-7224C49458BB}"/>
              </c:extLst>
            </c:dLbl>
            <c:dLbl>
              <c:idx val="5"/>
              <c:layout>
                <c:manualLayout>
                  <c:x val="2.6625704045058901E-2"/>
                  <c:y val="5.438078958405580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1E-4749-8757-BCA4D9B992F5}"/>
                </c:ext>
                <c:ext xmlns:c15="http://schemas.microsoft.com/office/drawing/2012/chart" uri="{CE6537A1-D6FC-4f65-9D91-7224C49458BB}"/>
              </c:extLst>
            </c:dLbl>
            <c:dLbl>
              <c:idx val="6"/>
              <c:layout>
                <c:manualLayout>
                  <c:x val="2.45775729646697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1E-4749-8757-BCA4D9B992F5}"/>
                </c:ext>
                <c:ext xmlns:c15="http://schemas.microsoft.com/office/drawing/2012/chart" uri="{CE6537A1-D6FC-4f65-9D91-7224C49458BB}"/>
              </c:extLst>
            </c:dLbl>
            <c:dLbl>
              <c:idx val="7"/>
              <c:layout>
                <c:manualLayout>
                  <c:x val="2.0481149533727601E-2"/>
                  <c:y val="0"/>
                </c:manualLayout>
              </c:layout>
              <c:spPr>
                <a:noFill/>
                <a:ln>
                  <a:noFill/>
                </a:ln>
                <a:effectLst/>
              </c:spPr>
              <c:txPr>
                <a:bodyPr/>
                <a:lstStyle/>
                <a:p>
                  <a:pPr>
                    <a:defRPr sz="800">
                      <a:solidFill>
                        <a:schemeClr val="tx1"/>
                      </a:solidFill>
                    </a:defRPr>
                  </a:pPr>
                  <a:endParaRPr lang="lv-LV"/>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1E-4749-8757-BCA4D9B992F5}"/>
                </c:ext>
                <c:ext xmlns:c15="http://schemas.microsoft.com/office/drawing/2012/chart" uri="{CE6537A1-D6FC-4f65-9D91-7224C49458BB}"/>
              </c:extLst>
            </c:dLbl>
            <c:dLbl>
              <c:idx val="8"/>
              <c:layout>
                <c:manualLayout>
                  <c:x val="5.12031157395647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1E-4749-8757-BCA4D9B992F5}"/>
                </c:ext>
                <c:ext xmlns:c15="http://schemas.microsoft.com/office/drawing/2012/chart" uri="{CE6537A1-D6FC-4f65-9D91-7224C49458BB}"/>
              </c:extLst>
            </c:dLbl>
            <c:dLbl>
              <c:idx val="9"/>
              <c:layout>
                <c:manualLayout>
                  <c:x val="3.0721966205837201E-2"/>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F1E-4749-8757-BCA4D9B992F5}"/>
                </c:ext>
                <c:ext xmlns:c15="http://schemas.microsoft.com/office/drawing/2012/chart" uri="{CE6537A1-D6FC-4f65-9D91-7224C49458BB}"/>
              </c:extLst>
            </c:dLbl>
            <c:dLbl>
              <c:idx val="10"/>
              <c:layout>
                <c:manualLayout>
                  <c:x val="3.072196620583720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F1E-4749-8757-BCA4D9B992F5}"/>
                </c:ext>
                <c:ext xmlns:c15="http://schemas.microsoft.com/office/drawing/2012/chart" uri="{CE6537A1-D6FC-4f65-9D91-7224C49458BB}"/>
              </c:extLst>
            </c:dLbl>
            <c:dLbl>
              <c:idx val="11"/>
              <c:layout>
                <c:manualLayout>
                  <c:x val="3.072180493567340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F1E-4749-8757-BCA4D9B992F5}"/>
                </c:ext>
                <c:ext xmlns:c15="http://schemas.microsoft.com/office/drawing/2012/chart" uri="{CE6537A1-D6FC-4f65-9D91-7224C49458BB}"/>
              </c:extLst>
            </c:dLbl>
            <c:spPr>
              <a:noFill/>
              <a:ln>
                <a:noFill/>
              </a:ln>
              <a:effectLst/>
            </c:spPr>
            <c:txPr>
              <a:bodyPr/>
              <a:lstStyle/>
              <a:p>
                <a:pPr>
                  <a:defRPr sz="800">
                    <a:solidFill>
                      <a:schemeClr val="bg1"/>
                    </a:solidFill>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'ES fondi'!$A$2:$B$13</c:f>
              <c:multiLvlStrCache>
                <c:ptCount val="12"/>
                <c:lvl>
                  <c:pt idx="0">
                    <c:v>Ekonomiskās aktivitātes veicināšana reģionos – teritoriju potenciāla izmantošana</c:v>
                  </c:pt>
                  <c:pt idx="1">
                    <c:v>Pakalpojumu pieejamība līdzvērtīgāku darba iespēju un  dzīves apstākļu radīšanai</c:v>
                  </c:pt>
                  <c:pt idx="2">
                    <c:v>Dabas un kultūras kapitāla ilgtspējīga apsaimniekošana</c:v>
                  </c:pt>
                  <c:pt idx="3">
                    <c:v>Cienīgs darbs</c:v>
                  </c:pt>
                  <c:pt idx="4">
                    <c:v>Stabili pamati tautas ataudzei</c:v>
                  </c:pt>
                  <c:pt idx="5">
                    <c:v>Kompetenču attīstība</c:v>
                  </c:pt>
                  <c:pt idx="6">
                    <c:v>Vesels un darbspējīgs cilvēks</c:v>
                  </c:pt>
                  <c:pt idx="7">
                    <c:v>Cilvēku sadarbība, kultūra un pilsoniskā līdzdalība kā piederības Latvijai pamats</c:v>
                  </c:pt>
                  <c:pt idx="8">
                    <c:v>Augstražīga un eksportspējīga ražošana un starptautiski konkurētspējīgi pakalpojumi</c:v>
                  </c:pt>
                  <c:pt idx="9">
                    <c:v>Izcila uzņēmējdarbības vide</c:v>
                  </c:pt>
                  <c:pt idx="10">
                    <c:v>Attīstīta pētniecība, inovācija un augstākā izglītība</c:v>
                  </c:pt>
                  <c:pt idx="11">
                    <c:v>Energoefektivitāte un enerģijas ražošana</c:v>
                  </c:pt>
                </c:lvl>
                <c:lvl>
                  <c:pt idx="0">
                    <c:v>IZAUGSMI ATBALSTOŠAS TERITORIJAS</c:v>
                  </c:pt>
                  <c:pt idx="3">
                    <c:v>CILVĒKA DROŠUMSPĒJA</c:v>
                  </c:pt>
                  <c:pt idx="8">
                    <c:v>TAUTAS SAIMNIECĪBAS IZAUSME</c:v>
                  </c:pt>
                </c:lvl>
              </c:multiLvlStrCache>
            </c:multiLvlStrRef>
          </c:cat>
          <c:val>
            <c:numRef>
              <c:f>'ES fondi'!$C$2:$C$13</c:f>
              <c:numCache>
                <c:formatCode>#,##0.00,,</c:formatCode>
                <c:ptCount val="12"/>
                <c:pt idx="0">
                  <c:v>144099148.13009599</c:v>
                </c:pt>
                <c:pt idx="1">
                  <c:v>44420444.555600002</c:v>
                </c:pt>
                <c:pt idx="2">
                  <c:v>176678227.2042</c:v>
                </c:pt>
                <c:pt idx="3">
                  <c:v>41884299.770000003</c:v>
                </c:pt>
                <c:pt idx="4">
                  <c:v>264625.86</c:v>
                </c:pt>
                <c:pt idx="5">
                  <c:v>30096.44000000001</c:v>
                </c:pt>
                <c:pt idx="6">
                  <c:v>620802.72</c:v>
                </c:pt>
                <c:pt idx="7">
                  <c:v>5549143.1792000001</c:v>
                </c:pt>
                <c:pt idx="8">
                  <c:v>75256465.407652006</c:v>
                </c:pt>
                <c:pt idx="9">
                  <c:v>3289108.19</c:v>
                </c:pt>
                <c:pt idx="10">
                  <c:v>193331.89</c:v>
                </c:pt>
                <c:pt idx="11">
                  <c:v>4731810.26</c:v>
                </c:pt>
              </c:numCache>
            </c:numRef>
          </c:val>
          <c:extLst xmlns:c16r2="http://schemas.microsoft.com/office/drawing/2015/06/chart">
            <c:ext xmlns:c16="http://schemas.microsoft.com/office/drawing/2014/chart" uri="{C3380CC4-5D6E-409C-BE32-E72D297353CC}">
              <c16:uniqueId val="{0000000C-7F1E-4749-8757-BCA4D9B992F5}"/>
            </c:ext>
          </c:extLst>
        </c:ser>
        <c:ser>
          <c:idx val="1"/>
          <c:order val="1"/>
          <c:tx>
            <c:strRef>
              <c:f>'ES fondi'!$G$1</c:f>
              <c:strCache>
                <c:ptCount val="1"/>
                <c:pt idx="0">
                  <c:v>Atlikušajos periodos veicamās ES fondu investīcijas</c:v>
                </c:pt>
              </c:strCache>
            </c:strRef>
          </c:tx>
          <c:spPr>
            <a:solidFill>
              <a:srgbClr val="297FD5">
                <a:lumMod val="75000"/>
              </a:srgbClr>
            </a:solidFill>
            <a:ln>
              <a:solidFill>
                <a:srgbClr val="4A66AC"/>
              </a:solidFill>
            </a:ln>
          </c:spPr>
          <c:invertIfNegative val="0"/>
          <c:dLbls>
            <c:dLbl>
              <c:idx val="0"/>
              <c:layout>
                <c:manualLayout>
                  <c:x val="0.13517665130568399"/>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F1E-4749-8757-BCA4D9B992F5}"/>
                </c:ext>
                <c:ext xmlns:c15="http://schemas.microsoft.com/office/drawing/2012/chart" uri="{CE6537A1-D6FC-4f65-9D91-7224C49458BB}"/>
              </c:extLst>
            </c:dLbl>
            <c:dLbl>
              <c:idx val="1"/>
              <c:layout>
                <c:manualLayout>
                  <c:x val="0.21505376344086"/>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F1E-4749-8757-BCA4D9B992F5}"/>
                </c:ext>
                <c:ext xmlns:c15="http://schemas.microsoft.com/office/drawing/2012/chart" uri="{CE6537A1-D6FC-4f65-9D91-7224C49458BB}"/>
              </c:extLst>
            </c:dLbl>
            <c:dLbl>
              <c:idx val="2"/>
              <c:layout>
                <c:manualLayout>
                  <c:x val="0.12903225806451599"/>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F1E-4749-8757-BCA4D9B992F5}"/>
                </c:ext>
                <c:ext xmlns:c15="http://schemas.microsoft.com/office/drawing/2012/chart" uri="{CE6537A1-D6FC-4f65-9D91-7224C49458BB}"/>
              </c:extLst>
            </c:dLbl>
            <c:dLbl>
              <c:idx val="3"/>
              <c:layout>
                <c:manualLayout>
                  <c:x val="0.1065028161802360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F1E-4749-8757-BCA4D9B992F5}"/>
                </c:ext>
                <c:ext xmlns:c15="http://schemas.microsoft.com/office/drawing/2012/chart" uri="{CE6537A1-D6FC-4f65-9D91-7224C49458BB}"/>
              </c:extLst>
            </c:dLbl>
            <c:dLbl>
              <c:idx val="4"/>
              <c:layout>
                <c:manualLayout>
                  <c:x val="7.16844265434563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F1E-4749-8757-BCA4D9B992F5}"/>
                </c:ext>
                <c:ext xmlns:c15="http://schemas.microsoft.com/office/drawing/2012/chart" uri="{CE6537A1-D6FC-4f65-9D91-7224C49458BB}"/>
              </c:extLst>
            </c:dLbl>
            <c:dLbl>
              <c:idx val="5"/>
              <c:layout>
                <c:manualLayout>
                  <c:x val="0.12083973374296"/>
                  <c:y val="5.4380789584055802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F1E-4749-8757-BCA4D9B992F5}"/>
                </c:ext>
                <c:ext xmlns:c15="http://schemas.microsoft.com/office/drawing/2012/chart" uri="{CE6537A1-D6FC-4f65-9D91-7224C49458BB}"/>
              </c:extLst>
            </c:dLbl>
            <c:dLbl>
              <c:idx val="6"/>
              <c:layout>
                <c:manualLayout>
                  <c:x val="8.39733742959549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F1E-4749-8757-BCA4D9B992F5}"/>
                </c:ext>
                <c:ext xmlns:c15="http://schemas.microsoft.com/office/drawing/2012/chart" uri="{CE6537A1-D6FC-4f65-9D91-7224C49458BB}"/>
              </c:extLst>
            </c:dLbl>
            <c:dLbl>
              <c:idx val="7"/>
              <c:layout>
                <c:manualLayout>
                  <c:x val="7.168442654345630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F1E-4749-8757-BCA4D9B992F5}"/>
                </c:ext>
                <c:ext xmlns:c15="http://schemas.microsoft.com/office/drawing/2012/chart" uri="{CE6537A1-D6FC-4f65-9D91-7224C49458BB}"/>
              </c:extLst>
            </c:dLbl>
            <c:dLbl>
              <c:idx val="8"/>
              <c:layout>
                <c:manualLayout>
                  <c:x val="0.1884280593958010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F1E-4749-8757-BCA4D9B992F5}"/>
                </c:ext>
                <c:ext xmlns:c15="http://schemas.microsoft.com/office/drawing/2012/chart" uri="{CE6537A1-D6FC-4f65-9D91-7224C49458BB}"/>
              </c:extLst>
            </c:dLbl>
            <c:dLbl>
              <c:idx val="9"/>
              <c:layout>
                <c:manualLayout>
                  <c:x val="0.149513568868408"/>
                  <c:y val="-2.9662591524860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F1E-4749-8757-BCA4D9B992F5}"/>
                </c:ext>
                <c:ext xmlns:c15="http://schemas.microsoft.com/office/drawing/2012/chart" uri="{CE6537A1-D6FC-4f65-9D91-7224C49458BB}"/>
              </c:extLst>
            </c:dLbl>
            <c:dLbl>
              <c:idx val="10"/>
              <c:layout>
                <c:manualLayout>
                  <c:x val="0.149513568868408"/>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F1E-4749-8757-BCA4D9B992F5}"/>
                </c:ext>
                <c:ext xmlns:c15="http://schemas.microsoft.com/office/drawing/2012/chart" uri="{CE6537A1-D6FC-4f65-9D91-7224C49458BB}"/>
              </c:extLst>
            </c:dLbl>
            <c:dLbl>
              <c:idx val="11"/>
              <c:layout>
                <c:manualLayout>
                  <c:x val="0.108550947260625"/>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F1E-4749-8757-BCA4D9B992F5}"/>
                </c:ext>
                <c:ext xmlns:c15="http://schemas.microsoft.com/office/drawing/2012/chart" uri="{CE6537A1-D6FC-4f65-9D91-7224C49458BB}"/>
              </c:extLst>
            </c:dLbl>
            <c:spPr>
              <a:noFill/>
              <a:ln>
                <a:noFill/>
              </a:ln>
              <a:effectLst/>
            </c:spPr>
            <c:txPr>
              <a:bodyPr/>
              <a:lstStyle/>
              <a:p>
                <a:pPr>
                  <a:defRPr sz="800"/>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'ES fondi'!$A$2:$B$13</c:f>
              <c:multiLvlStrCache>
                <c:ptCount val="12"/>
                <c:lvl>
                  <c:pt idx="0">
                    <c:v>Ekonomiskās aktivitātes veicināšana reģionos – teritoriju potenciāla izmantošana</c:v>
                  </c:pt>
                  <c:pt idx="1">
                    <c:v>Pakalpojumu pieejamība līdzvērtīgāku darba iespēju un  dzīves apstākļu radīšanai</c:v>
                  </c:pt>
                  <c:pt idx="2">
                    <c:v>Dabas un kultūras kapitāla ilgtspējīga apsaimniekošana</c:v>
                  </c:pt>
                  <c:pt idx="3">
                    <c:v>Cienīgs darbs</c:v>
                  </c:pt>
                  <c:pt idx="4">
                    <c:v>Stabili pamati tautas ataudzei</c:v>
                  </c:pt>
                  <c:pt idx="5">
                    <c:v>Kompetenču attīstība</c:v>
                  </c:pt>
                  <c:pt idx="6">
                    <c:v>Vesels un darbspējīgs cilvēks</c:v>
                  </c:pt>
                  <c:pt idx="7">
                    <c:v>Cilvēku sadarbība, kultūra un pilsoniskā līdzdalība kā piederības Latvijai pamats</c:v>
                  </c:pt>
                  <c:pt idx="8">
                    <c:v>Augstražīga un eksportspējīga ražošana un starptautiski konkurētspējīgi pakalpojumi</c:v>
                  </c:pt>
                  <c:pt idx="9">
                    <c:v>Izcila uzņēmējdarbības vide</c:v>
                  </c:pt>
                  <c:pt idx="10">
                    <c:v>Attīstīta pētniecība, inovācija un augstākā izglītība</c:v>
                  </c:pt>
                  <c:pt idx="11">
                    <c:v>Energoefektivitāte un enerģijas ražošana</c:v>
                  </c:pt>
                </c:lvl>
                <c:lvl>
                  <c:pt idx="0">
                    <c:v>IZAUGSMI ATBALSTOŠAS TERITORIJAS</c:v>
                  </c:pt>
                  <c:pt idx="3">
                    <c:v>CILVĒKA DROŠUMSPĒJA</c:v>
                  </c:pt>
                  <c:pt idx="8">
                    <c:v>TAUTAS SAIMNIECĪBAS IZAUSME</c:v>
                  </c:pt>
                </c:lvl>
              </c:multiLvlStrCache>
            </c:multiLvlStrRef>
          </c:cat>
          <c:val>
            <c:numRef>
              <c:f>'ES fondi'!$G$2:$G$13</c:f>
              <c:numCache>
                <c:formatCode>#,##0.00,,</c:formatCode>
                <c:ptCount val="12"/>
                <c:pt idx="0">
                  <c:v>471120901.46990401</c:v>
                </c:pt>
                <c:pt idx="1">
                  <c:v>887560157.44439995</c:v>
                </c:pt>
                <c:pt idx="2">
                  <c:v>460232999.24580002</c:v>
                </c:pt>
                <c:pt idx="3">
                  <c:v>328077930.23000002</c:v>
                </c:pt>
                <c:pt idx="4">
                  <c:v>8978573.1400000006</c:v>
                </c:pt>
                <c:pt idx="5">
                  <c:v>343541010.56</c:v>
                </c:pt>
                <c:pt idx="6">
                  <c:v>225598092.28</c:v>
                </c:pt>
                <c:pt idx="7">
                  <c:v>15003731.820800001</c:v>
                </c:pt>
                <c:pt idx="8">
                  <c:v>748958048.54234803</c:v>
                </c:pt>
                <c:pt idx="9">
                  <c:v>561349004.80999994</c:v>
                </c:pt>
                <c:pt idx="10">
                  <c:v>556711238.11000001</c:v>
                </c:pt>
                <c:pt idx="11">
                  <c:v>334806912.74000001</c:v>
                </c:pt>
              </c:numCache>
            </c:numRef>
          </c:val>
          <c:extLst xmlns:c16r2="http://schemas.microsoft.com/office/drawing/2015/06/chart">
            <c:ext xmlns:c16="http://schemas.microsoft.com/office/drawing/2014/chart" uri="{C3380CC4-5D6E-409C-BE32-E72D297353CC}">
              <c16:uniqueId val="{00000019-7F1E-4749-8757-BCA4D9B992F5}"/>
            </c:ext>
          </c:extLst>
        </c:ser>
        <c:dLbls>
          <c:dLblPos val="ctr"/>
          <c:showLegendKey val="0"/>
          <c:showVal val="1"/>
          <c:showCatName val="0"/>
          <c:showSerName val="0"/>
          <c:showPercent val="0"/>
          <c:showBubbleSize val="0"/>
        </c:dLbls>
        <c:gapWidth val="150"/>
        <c:overlap val="100"/>
        <c:axId val="216879888"/>
        <c:axId val="216888120"/>
      </c:barChart>
      <c:catAx>
        <c:axId val="216879888"/>
        <c:scaling>
          <c:orientation val="minMax"/>
        </c:scaling>
        <c:delete val="0"/>
        <c:axPos val="l"/>
        <c:numFmt formatCode="General" sourceLinked="0"/>
        <c:majorTickMark val="in"/>
        <c:minorTickMark val="none"/>
        <c:tickLblPos val="nextTo"/>
        <c:txPr>
          <a:bodyPr rot="0" vert="horz"/>
          <a:lstStyle/>
          <a:p>
            <a:pPr>
              <a:defRPr/>
            </a:pPr>
            <a:endParaRPr lang="lv-LV"/>
          </a:p>
        </c:txPr>
        <c:crossAx val="216888120"/>
        <c:crosses val="autoZero"/>
        <c:auto val="1"/>
        <c:lblAlgn val="ctr"/>
        <c:lblOffset val="100"/>
        <c:noMultiLvlLbl val="0"/>
      </c:catAx>
      <c:valAx>
        <c:axId val="216888120"/>
        <c:scaling>
          <c:orientation val="minMax"/>
        </c:scaling>
        <c:delete val="0"/>
        <c:axPos val="b"/>
        <c:majorGridlines/>
        <c:numFmt formatCode="#,##0.00,," sourceLinked="1"/>
        <c:majorTickMark val="out"/>
        <c:minorTickMark val="none"/>
        <c:tickLblPos val="nextTo"/>
        <c:crossAx val="216879888"/>
        <c:crosses val="autoZero"/>
        <c:crossBetween val="between"/>
      </c:valAx>
    </c:plotArea>
    <c:legend>
      <c:legendPos val="b"/>
      <c:layout>
        <c:manualLayout>
          <c:xMode val="edge"/>
          <c:yMode val="edge"/>
          <c:x val="8.7857937815562608E-3"/>
          <c:y val="0.91541598806950697"/>
          <c:w val="0.91259937318815199"/>
          <c:h val="7.0632145868407506E-2"/>
        </c:manualLayout>
      </c:layout>
      <c:overlay val="0"/>
    </c:legend>
    <c:plotVisOnly val="1"/>
    <c:dispBlanksAs val="gap"/>
    <c:showDLblsOverMax val="0"/>
  </c:chart>
  <c:spPr>
    <a:ln>
      <a:noFill/>
    </a:ln>
  </c:spPr>
  <c:txPr>
    <a:bodyPr/>
    <a:lstStyle/>
    <a:p>
      <a:pPr>
        <a:defRPr sz="900"/>
      </a:pPr>
      <a:endParaRPr lang="lv-LV"/>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0.13534</cdr:x>
      <cdr:y>0.18424</cdr:y>
    </cdr:from>
    <cdr:to>
      <cdr:x>0.39813</cdr:x>
      <cdr:y>0.28962</cdr:y>
    </cdr:to>
    <cdr:sp macro="" textlink="">
      <cdr:nvSpPr>
        <cdr:cNvPr id="2" name="TextBox 1"/>
        <cdr:cNvSpPr txBox="1"/>
      </cdr:nvSpPr>
      <cdr:spPr>
        <a:xfrm xmlns:a="http://schemas.openxmlformats.org/drawingml/2006/main">
          <a:off x="202567" y="288731"/>
          <a:ext cx="393317" cy="165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600" b="1" dirty="0">
              <a:latin typeface="Arial Narrow" panose="020B0606020202030204" pitchFamily="34" charset="0"/>
            </a:rPr>
            <a:t>59.2</a:t>
          </a:r>
        </a:p>
      </cdr:txBody>
    </cdr:sp>
  </cdr:relSizeAnchor>
  <cdr:relSizeAnchor xmlns:cdr="http://schemas.openxmlformats.org/drawingml/2006/chartDrawing">
    <cdr:from>
      <cdr:x>0.43833</cdr:x>
      <cdr:y>0.04821</cdr:y>
    </cdr:from>
    <cdr:to>
      <cdr:x>0.72042</cdr:x>
      <cdr:y>0.1586</cdr:y>
    </cdr:to>
    <cdr:sp macro="" textlink="">
      <cdr:nvSpPr>
        <cdr:cNvPr id="3" name="TextBox 2"/>
        <cdr:cNvSpPr txBox="1"/>
      </cdr:nvSpPr>
      <cdr:spPr>
        <a:xfrm xmlns:a="http://schemas.openxmlformats.org/drawingml/2006/main">
          <a:off x="613739" y="70472"/>
          <a:ext cx="394974" cy="1613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600" b="1" dirty="0">
              <a:latin typeface="Arial Narrow" panose="020B0606020202030204" pitchFamily="34" charset="0"/>
            </a:rPr>
            <a:t>78.6</a:t>
          </a:r>
        </a:p>
      </cdr:txBody>
    </cdr:sp>
  </cdr:relSizeAnchor>
  <cdr:relSizeAnchor xmlns:cdr="http://schemas.openxmlformats.org/drawingml/2006/chartDrawing">
    <cdr:from>
      <cdr:x>0.73018</cdr:x>
      <cdr:y>0.04709</cdr:y>
    </cdr:from>
    <cdr:to>
      <cdr:x>0.98496</cdr:x>
      <cdr:y>0.15119</cdr:y>
    </cdr:to>
    <cdr:sp macro="" textlink="">
      <cdr:nvSpPr>
        <cdr:cNvPr id="4" name="TextBox 3"/>
        <cdr:cNvSpPr txBox="1"/>
      </cdr:nvSpPr>
      <cdr:spPr>
        <a:xfrm xmlns:a="http://schemas.openxmlformats.org/drawingml/2006/main">
          <a:off x="1022380" y="68835"/>
          <a:ext cx="356736" cy="1521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600" b="1" dirty="0">
              <a:latin typeface="Arial Narrow" panose="020B0606020202030204" pitchFamily="34" charset="0"/>
            </a:rPr>
            <a:t>81.6</a:t>
          </a:r>
        </a:p>
      </cdr:txBody>
    </cdr:sp>
  </cdr:relSizeAnchor>
</c:userShapes>
</file>

<file path=word/drawings/drawing2.xml><?xml version="1.0" encoding="utf-8"?>
<c:userShapes xmlns:c="http://schemas.openxmlformats.org/drawingml/2006/chart">
  <cdr:relSizeAnchor xmlns:cdr="http://schemas.openxmlformats.org/drawingml/2006/chartDrawing">
    <cdr:from>
      <cdr:x>0.91264</cdr:x>
      <cdr:y>0.25817</cdr:y>
    </cdr:from>
    <cdr:to>
      <cdr:x>0.91264</cdr:x>
      <cdr:y>0.54323</cdr:y>
    </cdr:to>
    <cdr:cxnSp macro="">
      <cdr:nvCxnSpPr>
        <cdr:cNvPr id="5" name="Straight Arrow Connector 4">
          <a:extLst xmlns:a="http://schemas.openxmlformats.org/drawingml/2006/main">
            <a:ext uri="{FF2B5EF4-FFF2-40B4-BE49-F238E27FC236}">
              <a16:creationId xmlns="" xmlns:a16="http://schemas.microsoft.com/office/drawing/2014/main" id="{10D4DCA7-58C0-4CF8-868A-24C99E76C534}"/>
            </a:ext>
          </a:extLst>
        </cdr:cNvPr>
        <cdr:cNvCxnSpPr/>
      </cdr:nvCxnSpPr>
      <cdr:spPr>
        <a:xfrm xmlns:a="http://schemas.openxmlformats.org/drawingml/2006/main">
          <a:off x="1849271" y="327547"/>
          <a:ext cx="0" cy="361665"/>
        </a:xfrm>
        <a:prstGeom xmlns:a="http://schemas.openxmlformats.org/drawingml/2006/main" prst="straightConnector1">
          <a:avLst/>
        </a:prstGeom>
        <a:ln xmlns:a="http://schemas.openxmlformats.org/drawingml/2006/main" w="38100">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7032F-2BF5-46B4-A4BB-186EEE7A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226168</Words>
  <Characters>128916</Characters>
  <Application>Microsoft Office Word</Application>
  <DocSecurity>0</DocSecurity>
  <Lines>1074</Lines>
  <Paragraphs>708</Paragraphs>
  <ScaleCrop>false</ScaleCrop>
  <HeadingPairs>
    <vt:vector size="2" baseType="variant">
      <vt:variant>
        <vt:lpstr>Title</vt:lpstr>
      </vt:variant>
      <vt:variant>
        <vt:i4>1</vt:i4>
      </vt:variant>
    </vt:vector>
  </HeadingPairs>
  <TitlesOfParts>
    <vt:vector size="1" baseType="lpstr">
      <vt:lpstr>NACIONĀLĀ ATTĪSTĪBAS PLĀNA 2014.-2020. GADAM 
UN
 LATVIJAS ILGTSPĒJĪGAS ATTĪSTĪBAS STRATĒĢIJAS LĪDZ 2030. GADAM ĪSTENOŠANAS UZRAUDZĪBAS ZIŅOJUMS</vt:lpstr>
    </vt:vector>
  </TitlesOfParts>
  <Company>RĪGA, 2017.</Company>
  <LinksUpToDate>false</LinksUpToDate>
  <CharactersWithSpaces>354376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NACIONĀLĀ ATTĪSTĪBAS PLĀNA 2014.-2020. GADAM 
UN
 LATVIJAS ILGTSPĒJĪGAS ATTĪSTĪBAS STRATĒĢIJAS LĪDZ 2030. GADAM ĪSTENOŠANAS UZRAUDZĪBAS ZIŅOJUMS</dc:title>
  <dc:creator>PĀRRESORU KOORDINĀCIJAS CENTRS</dc:creator>
  <cp:lastModifiedBy>Elina Kruzkopa</cp:lastModifiedBy>
  <cp:revision>2</cp:revision>
  <cp:lastPrinted>2017-11-17T12:55:00Z</cp:lastPrinted>
  <dcterms:created xsi:type="dcterms:W3CDTF">2017-11-24T08:27:00Z</dcterms:created>
  <dcterms:modified xsi:type="dcterms:W3CDTF">2017-11-24T08:27:00Z</dcterms:modified>
</cp:coreProperties>
</file>