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08BE50" w14:textId="77777777" w:rsidR="00D1260F" w:rsidRPr="006166CC" w:rsidRDefault="00D1260F" w:rsidP="00D1260F">
      <w:pPr>
        <w:jc w:val="center"/>
        <w:rPr>
          <w:rFonts w:ascii="Times New Roman" w:hAnsi="Times New Roman" w:cs="Times New Roman"/>
          <w:sz w:val="24"/>
          <w:szCs w:val="24"/>
          <w:lang w:val="lv-LV"/>
        </w:rPr>
      </w:pPr>
      <w:bookmarkStart w:id="0" w:name="_GoBack"/>
      <w:bookmarkEnd w:id="0"/>
    </w:p>
    <w:p w14:paraId="5079B3B1" w14:textId="77777777" w:rsidR="00D1260F" w:rsidRPr="006166CC" w:rsidRDefault="00D1260F" w:rsidP="00D1260F">
      <w:pPr>
        <w:jc w:val="center"/>
        <w:rPr>
          <w:rFonts w:ascii="Times New Roman" w:hAnsi="Times New Roman" w:cs="Times New Roman"/>
          <w:sz w:val="24"/>
          <w:szCs w:val="24"/>
          <w:lang w:val="lv-LV"/>
        </w:rPr>
      </w:pPr>
    </w:p>
    <w:p w14:paraId="67EF62B8" w14:textId="77777777" w:rsidR="00D1260F" w:rsidRPr="006166CC" w:rsidRDefault="00D1260F" w:rsidP="00D1260F">
      <w:pPr>
        <w:jc w:val="center"/>
        <w:rPr>
          <w:rFonts w:ascii="Times New Roman" w:hAnsi="Times New Roman" w:cs="Times New Roman"/>
          <w:sz w:val="24"/>
          <w:szCs w:val="24"/>
          <w:lang w:val="lv-LV"/>
        </w:rPr>
      </w:pPr>
    </w:p>
    <w:p w14:paraId="65AB0961" w14:textId="3ADDBB2E" w:rsidR="00D1260F" w:rsidRPr="006166CC" w:rsidRDefault="00D5124A" w:rsidP="00D1260F">
      <w:pPr>
        <w:jc w:val="center"/>
        <w:rPr>
          <w:rFonts w:ascii="Times New Roman" w:hAnsi="Times New Roman" w:cs="Times New Roman"/>
          <w:sz w:val="24"/>
          <w:szCs w:val="24"/>
          <w:lang w:val="lv-LV"/>
        </w:rPr>
      </w:pPr>
      <w:r w:rsidRPr="006166CC">
        <w:rPr>
          <w:rFonts w:ascii="Times New Roman" w:hAnsi="Times New Roman" w:cs="Times New Roman"/>
          <w:sz w:val="24"/>
          <w:szCs w:val="24"/>
          <w:lang w:val="lv-LV"/>
        </w:rPr>
        <w:t>Informatīvais</w:t>
      </w:r>
      <w:r w:rsidR="00423C7D" w:rsidRPr="006166CC">
        <w:rPr>
          <w:rFonts w:ascii="Times New Roman" w:hAnsi="Times New Roman" w:cs="Times New Roman"/>
          <w:sz w:val="24"/>
          <w:szCs w:val="24"/>
          <w:lang w:val="lv-LV"/>
        </w:rPr>
        <w:t xml:space="preserve"> ziņojums </w:t>
      </w:r>
    </w:p>
    <w:p w14:paraId="6D93B496" w14:textId="77777777" w:rsidR="00D1260F" w:rsidRPr="006166CC" w:rsidRDefault="00D1260F" w:rsidP="00D1260F">
      <w:pPr>
        <w:jc w:val="center"/>
        <w:rPr>
          <w:rFonts w:ascii="Times New Roman" w:hAnsi="Times New Roman" w:cs="Times New Roman"/>
          <w:sz w:val="24"/>
          <w:szCs w:val="24"/>
          <w:lang w:val="lv-LV"/>
        </w:rPr>
      </w:pPr>
    </w:p>
    <w:p w14:paraId="5683E357" w14:textId="77777777" w:rsidR="00D1260F" w:rsidRPr="006166CC" w:rsidRDefault="00D1260F" w:rsidP="00D1260F">
      <w:pPr>
        <w:jc w:val="center"/>
        <w:rPr>
          <w:rFonts w:ascii="Times New Roman" w:hAnsi="Times New Roman" w:cs="Times New Roman"/>
          <w:sz w:val="24"/>
          <w:szCs w:val="24"/>
          <w:lang w:val="lv-LV"/>
        </w:rPr>
      </w:pPr>
    </w:p>
    <w:p w14:paraId="1CB55C65" w14:textId="77777777" w:rsidR="003B0A3F" w:rsidRPr="006166CC" w:rsidRDefault="00A33069" w:rsidP="00D1260F">
      <w:pPr>
        <w:jc w:val="center"/>
        <w:rPr>
          <w:rFonts w:ascii="Times New Roman" w:hAnsi="Times New Roman" w:cs="Times New Roman"/>
          <w:sz w:val="24"/>
          <w:szCs w:val="24"/>
          <w:lang w:val="lv-LV"/>
        </w:rPr>
      </w:pPr>
      <w:r w:rsidRPr="006166CC">
        <w:rPr>
          <w:rFonts w:ascii="Times New Roman" w:hAnsi="Times New Roman" w:cs="Times New Roman"/>
          <w:sz w:val="24"/>
          <w:szCs w:val="24"/>
          <w:lang w:val="lv-LV"/>
        </w:rPr>
        <w:t>Latvijas nacionālā kapitāla tirgus attīstība un tā loma Latvijas ekonomikas izaugsmē</w:t>
      </w:r>
    </w:p>
    <w:p w14:paraId="74A655B8" w14:textId="77777777" w:rsidR="00D1260F" w:rsidRPr="006166CC" w:rsidRDefault="00D1260F" w:rsidP="00D1260F">
      <w:pPr>
        <w:jc w:val="center"/>
        <w:rPr>
          <w:rFonts w:ascii="Times New Roman" w:hAnsi="Times New Roman" w:cs="Times New Roman"/>
          <w:sz w:val="24"/>
          <w:szCs w:val="24"/>
          <w:lang w:val="lv-LV"/>
        </w:rPr>
      </w:pPr>
    </w:p>
    <w:p w14:paraId="2C337B8A" w14:textId="77777777" w:rsidR="00D1260F" w:rsidRPr="006166CC" w:rsidRDefault="00D1260F" w:rsidP="00D1260F">
      <w:pPr>
        <w:jc w:val="center"/>
        <w:rPr>
          <w:rFonts w:ascii="Times New Roman" w:hAnsi="Times New Roman" w:cs="Times New Roman"/>
          <w:sz w:val="24"/>
          <w:szCs w:val="24"/>
          <w:lang w:val="lv-LV"/>
        </w:rPr>
      </w:pPr>
    </w:p>
    <w:p w14:paraId="4E17352C" w14:textId="77777777" w:rsidR="00D1260F" w:rsidRPr="006166CC" w:rsidRDefault="00D1260F" w:rsidP="00D1260F">
      <w:pPr>
        <w:jc w:val="center"/>
        <w:rPr>
          <w:rFonts w:ascii="Times New Roman" w:hAnsi="Times New Roman" w:cs="Times New Roman"/>
          <w:sz w:val="24"/>
          <w:szCs w:val="24"/>
          <w:lang w:val="lv-LV"/>
        </w:rPr>
      </w:pPr>
    </w:p>
    <w:p w14:paraId="6B5FC33B" w14:textId="77777777" w:rsidR="00D1260F" w:rsidRPr="006166CC" w:rsidRDefault="00D1260F" w:rsidP="00D1260F">
      <w:pPr>
        <w:jc w:val="center"/>
        <w:rPr>
          <w:rFonts w:ascii="Times New Roman" w:hAnsi="Times New Roman" w:cs="Times New Roman"/>
          <w:sz w:val="24"/>
          <w:szCs w:val="24"/>
          <w:lang w:val="lv-LV"/>
        </w:rPr>
      </w:pPr>
    </w:p>
    <w:p w14:paraId="53D19E00" w14:textId="77777777" w:rsidR="00D1260F" w:rsidRPr="006166CC" w:rsidRDefault="00D1260F" w:rsidP="00D1260F">
      <w:pPr>
        <w:jc w:val="center"/>
        <w:rPr>
          <w:rFonts w:ascii="Times New Roman" w:hAnsi="Times New Roman" w:cs="Times New Roman"/>
          <w:sz w:val="24"/>
          <w:szCs w:val="24"/>
          <w:lang w:val="lv-LV"/>
        </w:rPr>
      </w:pPr>
    </w:p>
    <w:p w14:paraId="2BA751AC" w14:textId="77777777" w:rsidR="00D1260F" w:rsidRPr="006166CC" w:rsidRDefault="00D1260F" w:rsidP="00D1260F">
      <w:pPr>
        <w:jc w:val="center"/>
        <w:rPr>
          <w:rFonts w:ascii="Times New Roman" w:hAnsi="Times New Roman" w:cs="Times New Roman"/>
          <w:sz w:val="24"/>
          <w:szCs w:val="24"/>
          <w:lang w:val="lv-LV"/>
        </w:rPr>
      </w:pPr>
    </w:p>
    <w:p w14:paraId="4CF50DFF" w14:textId="139FF702" w:rsidR="002D326B" w:rsidRDefault="00D1260F" w:rsidP="002D326B">
      <w:pPr>
        <w:jc w:val="center"/>
        <w:rPr>
          <w:rFonts w:ascii="Times New Roman" w:hAnsi="Times New Roman" w:cs="Times New Roman"/>
          <w:sz w:val="24"/>
          <w:szCs w:val="24"/>
          <w:lang w:val="lv-LV"/>
        </w:rPr>
      </w:pPr>
      <w:r w:rsidRPr="006166CC">
        <w:rPr>
          <w:rFonts w:ascii="Times New Roman" w:hAnsi="Times New Roman" w:cs="Times New Roman"/>
          <w:sz w:val="24"/>
          <w:szCs w:val="24"/>
          <w:lang w:val="lv-LV"/>
        </w:rPr>
        <w:t xml:space="preserve">Rīga, </w:t>
      </w:r>
      <w:r w:rsidR="00982822" w:rsidRPr="006166CC">
        <w:rPr>
          <w:rFonts w:ascii="Times New Roman" w:hAnsi="Times New Roman" w:cs="Times New Roman"/>
          <w:sz w:val="24"/>
          <w:szCs w:val="24"/>
          <w:lang w:val="lv-LV"/>
        </w:rPr>
        <w:t>2018</w:t>
      </w:r>
      <w:r w:rsidR="00A76B55" w:rsidRPr="006166CC">
        <w:rPr>
          <w:rFonts w:ascii="Times New Roman" w:hAnsi="Times New Roman" w:cs="Times New Roman"/>
          <w:sz w:val="24"/>
          <w:szCs w:val="24"/>
          <w:lang w:val="lv-LV"/>
        </w:rPr>
        <w:t>.</w:t>
      </w:r>
    </w:p>
    <w:p w14:paraId="64DDE298" w14:textId="77777777" w:rsidR="00D95CC3" w:rsidRDefault="00D95CC3" w:rsidP="002D326B">
      <w:pPr>
        <w:jc w:val="center"/>
        <w:rPr>
          <w:rFonts w:ascii="Times New Roman" w:hAnsi="Times New Roman" w:cs="Times New Roman"/>
          <w:sz w:val="24"/>
          <w:szCs w:val="24"/>
          <w:lang w:val="lv-LV"/>
        </w:rPr>
      </w:pPr>
    </w:p>
    <w:p w14:paraId="2F4AC58D" w14:textId="77777777" w:rsidR="00D95CC3" w:rsidRDefault="00D95CC3" w:rsidP="002D326B">
      <w:pPr>
        <w:jc w:val="center"/>
        <w:rPr>
          <w:rFonts w:ascii="Times New Roman" w:hAnsi="Times New Roman" w:cs="Times New Roman"/>
          <w:sz w:val="24"/>
          <w:szCs w:val="24"/>
          <w:lang w:val="lv-LV"/>
        </w:rPr>
      </w:pPr>
    </w:p>
    <w:p w14:paraId="62896E03" w14:textId="77777777" w:rsidR="00D95CC3" w:rsidRDefault="00D95CC3" w:rsidP="002D326B">
      <w:pPr>
        <w:jc w:val="center"/>
        <w:rPr>
          <w:rFonts w:ascii="Times New Roman" w:hAnsi="Times New Roman" w:cs="Times New Roman"/>
          <w:sz w:val="24"/>
          <w:szCs w:val="24"/>
          <w:lang w:val="lv-LV"/>
        </w:rPr>
      </w:pPr>
    </w:p>
    <w:p w14:paraId="4D4E6758" w14:textId="77777777" w:rsidR="00D95CC3" w:rsidRPr="006166CC" w:rsidRDefault="00D95CC3" w:rsidP="002D326B">
      <w:pPr>
        <w:jc w:val="center"/>
        <w:rPr>
          <w:rFonts w:ascii="Times New Roman" w:hAnsi="Times New Roman" w:cs="Times New Roman"/>
          <w:sz w:val="24"/>
          <w:szCs w:val="24"/>
          <w:lang w:val="lv-LV"/>
        </w:rPr>
      </w:pPr>
    </w:p>
    <w:p w14:paraId="7026D9A8" w14:textId="77777777" w:rsidR="002D326B" w:rsidRDefault="002D326B" w:rsidP="002D326B">
      <w:pPr>
        <w:jc w:val="center"/>
        <w:rPr>
          <w:rFonts w:ascii="Times New Roman" w:hAnsi="Times New Roman" w:cs="Times New Roman"/>
          <w:sz w:val="24"/>
          <w:szCs w:val="24"/>
          <w:lang w:val="lv-LV"/>
        </w:rPr>
      </w:pPr>
    </w:p>
    <w:p w14:paraId="36A600A7" w14:textId="77777777" w:rsidR="00D95CC3" w:rsidRDefault="00D95CC3" w:rsidP="002D326B">
      <w:pPr>
        <w:jc w:val="center"/>
        <w:rPr>
          <w:rFonts w:ascii="Times New Roman" w:hAnsi="Times New Roman" w:cs="Times New Roman"/>
          <w:sz w:val="24"/>
          <w:szCs w:val="24"/>
          <w:lang w:val="lv-LV"/>
        </w:rPr>
      </w:pPr>
    </w:p>
    <w:p w14:paraId="1973DD36" w14:textId="77777777" w:rsidR="00D95CC3" w:rsidRDefault="00D95CC3" w:rsidP="002D326B">
      <w:pPr>
        <w:jc w:val="center"/>
        <w:rPr>
          <w:rFonts w:ascii="Times New Roman" w:hAnsi="Times New Roman" w:cs="Times New Roman"/>
          <w:sz w:val="24"/>
          <w:szCs w:val="24"/>
          <w:lang w:val="lv-LV"/>
        </w:rPr>
      </w:pPr>
    </w:p>
    <w:p w14:paraId="0CFA3298" w14:textId="77777777" w:rsidR="00D95CC3" w:rsidRDefault="00D95CC3" w:rsidP="002D326B">
      <w:pPr>
        <w:jc w:val="center"/>
        <w:rPr>
          <w:rFonts w:ascii="Times New Roman" w:hAnsi="Times New Roman" w:cs="Times New Roman"/>
          <w:sz w:val="24"/>
          <w:szCs w:val="24"/>
          <w:lang w:val="lv-LV"/>
        </w:rPr>
      </w:pPr>
    </w:p>
    <w:p w14:paraId="757399C1" w14:textId="77777777" w:rsidR="00D95CC3" w:rsidRDefault="00D95CC3" w:rsidP="002D326B">
      <w:pPr>
        <w:jc w:val="center"/>
        <w:rPr>
          <w:rFonts w:ascii="Times New Roman" w:hAnsi="Times New Roman" w:cs="Times New Roman"/>
          <w:sz w:val="24"/>
          <w:szCs w:val="24"/>
          <w:lang w:val="lv-LV"/>
        </w:rPr>
      </w:pPr>
    </w:p>
    <w:p w14:paraId="6EDE6537" w14:textId="77777777" w:rsidR="00D95CC3" w:rsidRPr="006166CC" w:rsidRDefault="00D95CC3" w:rsidP="002D326B">
      <w:pPr>
        <w:jc w:val="center"/>
        <w:rPr>
          <w:rFonts w:ascii="Times New Roman" w:hAnsi="Times New Roman" w:cs="Times New Roman"/>
          <w:sz w:val="24"/>
          <w:szCs w:val="24"/>
          <w:lang w:val="lv-LV"/>
        </w:rPr>
      </w:pPr>
    </w:p>
    <w:sdt>
      <w:sdtPr>
        <w:rPr>
          <w:rFonts w:ascii="Times New Roman" w:eastAsiaTheme="minorHAnsi" w:hAnsi="Times New Roman" w:cs="Times New Roman"/>
          <w:b w:val="0"/>
          <w:bCs w:val="0"/>
          <w:color w:val="auto"/>
          <w:sz w:val="24"/>
          <w:szCs w:val="24"/>
          <w:lang w:val="lv-LV" w:eastAsia="en-US"/>
        </w:rPr>
        <w:id w:val="-1828893465"/>
        <w:docPartObj>
          <w:docPartGallery w:val="Table of Contents"/>
          <w:docPartUnique/>
        </w:docPartObj>
      </w:sdtPr>
      <w:sdtEndPr>
        <w:rPr>
          <w:noProof/>
        </w:rPr>
      </w:sdtEndPr>
      <w:sdtContent>
        <w:p w14:paraId="1D79030F" w14:textId="77777777" w:rsidR="00880723" w:rsidRPr="006166CC" w:rsidRDefault="00880723">
          <w:pPr>
            <w:pStyle w:val="TOCHeading"/>
            <w:rPr>
              <w:rFonts w:ascii="Times New Roman" w:hAnsi="Times New Roman" w:cs="Times New Roman"/>
              <w:sz w:val="24"/>
              <w:szCs w:val="24"/>
              <w:lang w:val="lv-LV"/>
            </w:rPr>
          </w:pPr>
          <w:r w:rsidRPr="006166CC">
            <w:rPr>
              <w:rFonts w:ascii="Times New Roman" w:hAnsi="Times New Roman" w:cs="Times New Roman"/>
              <w:sz w:val="24"/>
              <w:szCs w:val="24"/>
              <w:lang w:val="lv-LV"/>
            </w:rPr>
            <w:t>Satura rādītājs</w:t>
          </w:r>
        </w:p>
        <w:p w14:paraId="7194F786" w14:textId="77777777" w:rsidR="006B1658" w:rsidRPr="006166CC" w:rsidRDefault="00880723">
          <w:pPr>
            <w:pStyle w:val="TOC1"/>
            <w:rPr>
              <w:rFonts w:ascii="Times New Roman" w:eastAsiaTheme="minorEastAsia" w:hAnsi="Times New Roman" w:cs="Times New Roman"/>
              <w:sz w:val="24"/>
              <w:szCs w:val="24"/>
              <w:lang w:eastAsia="lv-LV"/>
            </w:rPr>
          </w:pPr>
          <w:r w:rsidRPr="006166CC">
            <w:rPr>
              <w:rFonts w:ascii="Times New Roman" w:hAnsi="Times New Roman" w:cs="Times New Roman"/>
              <w:noProof w:val="0"/>
              <w:sz w:val="24"/>
              <w:szCs w:val="24"/>
            </w:rPr>
            <w:fldChar w:fldCharType="begin"/>
          </w:r>
          <w:r w:rsidRPr="006166CC">
            <w:rPr>
              <w:rFonts w:ascii="Times New Roman" w:hAnsi="Times New Roman" w:cs="Times New Roman"/>
              <w:sz w:val="24"/>
              <w:szCs w:val="24"/>
            </w:rPr>
            <w:instrText xml:space="preserve"> TOC \o "1-3" \h \z \u </w:instrText>
          </w:r>
          <w:r w:rsidRPr="006166CC">
            <w:rPr>
              <w:rFonts w:ascii="Times New Roman" w:hAnsi="Times New Roman" w:cs="Times New Roman"/>
              <w:noProof w:val="0"/>
              <w:sz w:val="24"/>
              <w:szCs w:val="24"/>
            </w:rPr>
            <w:fldChar w:fldCharType="separate"/>
          </w:r>
          <w:hyperlink w:anchor="_Toc511029101" w:history="1">
            <w:r w:rsidR="006B1658" w:rsidRPr="006166CC">
              <w:rPr>
                <w:rStyle w:val="Hyperlink"/>
                <w:rFonts w:ascii="Times New Roman" w:hAnsi="Times New Roman" w:cs="Times New Roman"/>
                <w:sz w:val="24"/>
                <w:szCs w:val="24"/>
              </w:rPr>
              <w:t>Ievads</w:t>
            </w:r>
            <w:r w:rsidR="006B1658" w:rsidRPr="006166CC">
              <w:rPr>
                <w:rFonts w:ascii="Times New Roman" w:hAnsi="Times New Roman" w:cs="Times New Roman"/>
                <w:webHidden/>
                <w:sz w:val="24"/>
                <w:szCs w:val="24"/>
              </w:rPr>
              <w:tab/>
            </w:r>
            <w:r w:rsidR="006B1658" w:rsidRPr="006166CC">
              <w:rPr>
                <w:rFonts w:ascii="Times New Roman" w:hAnsi="Times New Roman" w:cs="Times New Roman"/>
                <w:webHidden/>
                <w:sz w:val="24"/>
                <w:szCs w:val="24"/>
              </w:rPr>
              <w:fldChar w:fldCharType="begin"/>
            </w:r>
            <w:r w:rsidR="006B1658" w:rsidRPr="006166CC">
              <w:rPr>
                <w:rFonts w:ascii="Times New Roman" w:hAnsi="Times New Roman" w:cs="Times New Roman"/>
                <w:webHidden/>
                <w:sz w:val="24"/>
                <w:szCs w:val="24"/>
              </w:rPr>
              <w:instrText xml:space="preserve"> PAGEREF _Toc511029101 \h </w:instrText>
            </w:r>
            <w:r w:rsidR="006B1658" w:rsidRPr="006166CC">
              <w:rPr>
                <w:rFonts w:ascii="Times New Roman" w:hAnsi="Times New Roman" w:cs="Times New Roman"/>
                <w:webHidden/>
                <w:sz w:val="24"/>
                <w:szCs w:val="24"/>
              </w:rPr>
            </w:r>
            <w:r w:rsidR="006B1658" w:rsidRPr="006166CC">
              <w:rPr>
                <w:rFonts w:ascii="Times New Roman" w:hAnsi="Times New Roman" w:cs="Times New Roman"/>
                <w:webHidden/>
                <w:sz w:val="24"/>
                <w:szCs w:val="24"/>
              </w:rPr>
              <w:fldChar w:fldCharType="separate"/>
            </w:r>
            <w:r w:rsidR="006B1658" w:rsidRPr="006166CC">
              <w:rPr>
                <w:rFonts w:ascii="Times New Roman" w:hAnsi="Times New Roman" w:cs="Times New Roman"/>
                <w:webHidden/>
                <w:sz w:val="24"/>
                <w:szCs w:val="24"/>
              </w:rPr>
              <w:t>3</w:t>
            </w:r>
            <w:r w:rsidR="006B1658" w:rsidRPr="006166CC">
              <w:rPr>
                <w:rFonts w:ascii="Times New Roman" w:hAnsi="Times New Roman" w:cs="Times New Roman"/>
                <w:webHidden/>
                <w:sz w:val="24"/>
                <w:szCs w:val="24"/>
              </w:rPr>
              <w:fldChar w:fldCharType="end"/>
            </w:r>
          </w:hyperlink>
        </w:p>
        <w:p w14:paraId="7AE8CB4F" w14:textId="77777777" w:rsidR="006B1658" w:rsidRPr="006166CC" w:rsidRDefault="00203A7A">
          <w:pPr>
            <w:pStyle w:val="TOC1"/>
            <w:rPr>
              <w:rFonts w:ascii="Times New Roman" w:eastAsiaTheme="minorEastAsia" w:hAnsi="Times New Roman" w:cs="Times New Roman"/>
              <w:sz w:val="24"/>
              <w:szCs w:val="24"/>
              <w:lang w:eastAsia="lv-LV"/>
            </w:rPr>
          </w:pPr>
          <w:hyperlink w:anchor="_Toc511029102" w:history="1">
            <w:r w:rsidR="006B1658" w:rsidRPr="006166CC">
              <w:rPr>
                <w:rStyle w:val="Hyperlink"/>
                <w:rFonts w:ascii="Times New Roman" w:hAnsi="Times New Roman" w:cs="Times New Roman"/>
                <w:sz w:val="24"/>
                <w:szCs w:val="24"/>
              </w:rPr>
              <w:t>Esošā situācija Latvijas kapitāla tirgū</w:t>
            </w:r>
            <w:r w:rsidR="006B1658" w:rsidRPr="006166CC">
              <w:rPr>
                <w:rFonts w:ascii="Times New Roman" w:hAnsi="Times New Roman" w:cs="Times New Roman"/>
                <w:webHidden/>
                <w:sz w:val="24"/>
                <w:szCs w:val="24"/>
              </w:rPr>
              <w:tab/>
            </w:r>
            <w:r w:rsidR="006B1658" w:rsidRPr="006166CC">
              <w:rPr>
                <w:rFonts w:ascii="Times New Roman" w:hAnsi="Times New Roman" w:cs="Times New Roman"/>
                <w:webHidden/>
                <w:sz w:val="24"/>
                <w:szCs w:val="24"/>
              </w:rPr>
              <w:fldChar w:fldCharType="begin"/>
            </w:r>
            <w:r w:rsidR="006B1658" w:rsidRPr="006166CC">
              <w:rPr>
                <w:rFonts w:ascii="Times New Roman" w:hAnsi="Times New Roman" w:cs="Times New Roman"/>
                <w:webHidden/>
                <w:sz w:val="24"/>
                <w:szCs w:val="24"/>
              </w:rPr>
              <w:instrText xml:space="preserve"> PAGEREF _Toc511029102 \h </w:instrText>
            </w:r>
            <w:r w:rsidR="006B1658" w:rsidRPr="006166CC">
              <w:rPr>
                <w:rFonts w:ascii="Times New Roman" w:hAnsi="Times New Roman" w:cs="Times New Roman"/>
                <w:webHidden/>
                <w:sz w:val="24"/>
                <w:szCs w:val="24"/>
              </w:rPr>
            </w:r>
            <w:r w:rsidR="006B1658" w:rsidRPr="006166CC">
              <w:rPr>
                <w:rFonts w:ascii="Times New Roman" w:hAnsi="Times New Roman" w:cs="Times New Roman"/>
                <w:webHidden/>
                <w:sz w:val="24"/>
                <w:szCs w:val="24"/>
              </w:rPr>
              <w:fldChar w:fldCharType="separate"/>
            </w:r>
            <w:r w:rsidR="006B1658" w:rsidRPr="006166CC">
              <w:rPr>
                <w:rFonts w:ascii="Times New Roman" w:hAnsi="Times New Roman" w:cs="Times New Roman"/>
                <w:webHidden/>
                <w:sz w:val="24"/>
                <w:szCs w:val="24"/>
              </w:rPr>
              <w:t>5</w:t>
            </w:r>
            <w:r w:rsidR="006B1658" w:rsidRPr="006166CC">
              <w:rPr>
                <w:rFonts w:ascii="Times New Roman" w:hAnsi="Times New Roman" w:cs="Times New Roman"/>
                <w:webHidden/>
                <w:sz w:val="24"/>
                <w:szCs w:val="24"/>
              </w:rPr>
              <w:fldChar w:fldCharType="end"/>
            </w:r>
          </w:hyperlink>
        </w:p>
        <w:p w14:paraId="4FCC8AA9" w14:textId="77777777" w:rsidR="006B1658" w:rsidRPr="006166CC" w:rsidRDefault="00203A7A">
          <w:pPr>
            <w:pStyle w:val="TOC1"/>
            <w:rPr>
              <w:rFonts w:ascii="Times New Roman" w:eastAsiaTheme="minorEastAsia" w:hAnsi="Times New Roman" w:cs="Times New Roman"/>
              <w:sz w:val="24"/>
              <w:szCs w:val="24"/>
              <w:lang w:eastAsia="lv-LV"/>
            </w:rPr>
          </w:pPr>
          <w:hyperlink w:anchor="_Toc511029103" w:history="1">
            <w:r w:rsidR="006B1658" w:rsidRPr="006166CC">
              <w:rPr>
                <w:rStyle w:val="Hyperlink"/>
                <w:rFonts w:ascii="Times New Roman" w:hAnsi="Times New Roman" w:cs="Times New Roman"/>
                <w:sz w:val="24"/>
                <w:szCs w:val="24"/>
              </w:rPr>
              <w:t>Ieguvumi no attīstīta kapitāla tirgus</w:t>
            </w:r>
            <w:r w:rsidR="006B1658" w:rsidRPr="006166CC">
              <w:rPr>
                <w:rFonts w:ascii="Times New Roman" w:hAnsi="Times New Roman" w:cs="Times New Roman"/>
                <w:webHidden/>
                <w:sz w:val="24"/>
                <w:szCs w:val="24"/>
              </w:rPr>
              <w:tab/>
            </w:r>
            <w:r w:rsidR="006B1658" w:rsidRPr="006166CC">
              <w:rPr>
                <w:rFonts w:ascii="Times New Roman" w:hAnsi="Times New Roman" w:cs="Times New Roman"/>
                <w:webHidden/>
                <w:sz w:val="24"/>
                <w:szCs w:val="24"/>
              </w:rPr>
              <w:fldChar w:fldCharType="begin"/>
            </w:r>
            <w:r w:rsidR="006B1658" w:rsidRPr="006166CC">
              <w:rPr>
                <w:rFonts w:ascii="Times New Roman" w:hAnsi="Times New Roman" w:cs="Times New Roman"/>
                <w:webHidden/>
                <w:sz w:val="24"/>
                <w:szCs w:val="24"/>
              </w:rPr>
              <w:instrText xml:space="preserve"> PAGEREF _Toc511029103 \h </w:instrText>
            </w:r>
            <w:r w:rsidR="006B1658" w:rsidRPr="006166CC">
              <w:rPr>
                <w:rFonts w:ascii="Times New Roman" w:hAnsi="Times New Roman" w:cs="Times New Roman"/>
                <w:webHidden/>
                <w:sz w:val="24"/>
                <w:szCs w:val="24"/>
              </w:rPr>
            </w:r>
            <w:r w:rsidR="006B1658" w:rsidRPr="006166CC">
              <w:rPr>
                <w:rFonts w:ascii="Times New Roman" w:hAnsi="Times New Roman" w:cs="Times New Roman"/>
                <w:webHidden/>
                <w:sz w:val="24"/>
                <w:szCs w:val="24"/>
              </w:rPr>
              <w:fldChar w:fldCharType="separate"/>
            </w:r>
            <w:r w:rsidR="006B1658" w:rsidRPr="006166CC">
              <w:rPr>
                <w:rFonts w:ascii="Times New Roman" w:hAnsi="Times New Roman" w:cs="Times New Roman"/>
                <w:webHidden/>
                <w:sz w:val="24"/>
                <w:szCs w:val="24"/>
              </w:rPr>
              <w:t>7</w:t>
            </w:r>
            <w:r w:rsidR="006B1658" w:rsidRPr="006166CC">
              <w:rPr>
                <w:rFonts w:ascii="Times New Roman" w:hAnsi="Times New Roman" w:cs="Times New Roman"/>
                <w:webHidden/>
                <w:sz w:val="24"/>
                <w:szCs w:val="24"/>
              </w:rPr>
              <w:fldChar w:fldCharType="end"/>
            </w:r>
          </w:hyperlink>
        </w:p>
        <w:p w14:paraId="74F06410" w14:textId="77777777" w:rsidR="006B1658" w:rsidRPr="006166CC" w:rsidRDefault="00203A7A">
          <w:pPr>
            <w:pStyle w:val="TOC2"/>
            <w:tabs>
              <w:tab w:val="right" w:leader="dot" w:pos="9350"/>
            </w:tabs>
            <w:rPr>
              <w:rFonts w:ascii="Times New Roman" w:eastAsiaTheme="minorEastAsia" w:hAnsi="Times New Roman" w:cs="Times New Roman"/>
              <w:noProof/>
              <w:sz w:val="24"/>
              <w:szCs w:val="24"/>
              <w:lang w:val="lv-LV" w:eastAsia="lv-LV"/>
            </w:rPr>
          </w:pPr>
          <w:hyperlink w:anchor="_Toc511029104" w:history="1">
            <w:r w:rsidR="006B1658" w:rsidRPr="006166CC">
              <w:rPr>
                <w:rStyle w:val="Hyperlink"/>
                <w:rFonts w:ascii="Times New Roman" w:hAnsi="Times New Roman" w:cs="Times New Roman"/>
                <w:noProof/>
                <w:sz w:val="24"/>
                <w:szCs w:val="24"/>
                <w:lang w:val="lv-LV"/>
              </w:rPr>
              <w:t>Publiskā sektora ieguvumi</w:t>
            </w:r>
            <w:r w:rsidR="006B1658" w:rsidRPr="006166CC">
              <w:rPr>
                <w:rFonts w:ascii="Times New Roman" w:hAnsi="Times New Roman" w:cs="Times New Roman"/>
                <w:noProof/>
                <w:webHidden/>
                <w:sz w:val="24"/>
                <w:szCs w:val="24"/>
              </w:rPr>
              <w:tab/>
            </w:r>
            <w:r w:rsidR="006B1658" w:rsidRPr="006166CC">
              <w:rPr>
                <w:rFonts w:ascii="Times New Roman" w:hAnsi="Times New Roman" w:cs="Times New Roman"/>
                <w:noProof/>
                <w:webHidden/>
                <w:sz w:val="24"/>
                <w:szCs w:val="24"/>
              </w:rPr>
              <w:fldChar w:fldCharType="begin"/>
            </w:r>
            <w:r w:rsidR="006B1658" w:rsidRPr="006166CC">
              <w:rPr>
                <w:rFonts w:ascii="Times New Roman" w:hAnsi="Times New Roman" w:cs="Times New Roman"/>
                <w:noProof/>
                <w:webHidden/>
                <w:sz w:val="24"/>
                <w:szCs w:val="24"/>
              </w:rPr>
              <w:instrText xml:space="preserve"> PAGEREF _Toc511029104 \h </w:instrText>
            </w:r>
            <w:r w:rsidR="006B1658" w:rsidRPr="006166CC">
              <w:rPr>
                <w:rFonts w:ascii="Times New Roman" w:hAnsi="Times New Roman" w:cs="Times New Roman"/>
                <w:noProof/>
                <w:webHidden/>
                <w:sz w:val="24"/>
                <w:szCs w:val="24"/>
              </w:rPr>
            </w:r>
            <w:r w:rsidR="006B1658" w:rsidRPr="006166CC">
              <w:rPr>
                <w:rFonts w:ascii="Times New Roman" w:hAnsi="Times New Roman" w:cs="Times New Roman"/>
                <w:noProof/>
                <w:webHidden/>
                <w:sz w:val="24"/>
                <w:szCs w:val="24"/>
              </w:rPr>
              <w:fldChar w:fldCharType="separate"/>
            </w:r>
            <w:r w:rsidR="006B1658" w:rsidRPr="006166CC">
              <w:rPr>
                <w:rFonts w:ascii="Times New Roman" w:hAnsi="Times New Roman" w:cs="Times New Roman"/>
                <w:noProof/>
                <w:webHidden/>
                <w:sz w:val="24"/>
                <w:szCs w:val="24"/>
              </w:rPr>
              <w:t>8</w:t>
            </w:r>
            <w:r w:rsidR="006B1658" w:rsidRPr="006166CC">
              <w:rPr>
                <w:rFonts w:ascii="Times New Roman" w:hAnsi="Times New Roman" w:cs="Times New Roman"/>
                <w:noProof/>
                <w:webHidden/>
                <w:sz w:val="24"/>
                <w:szCs w:val="24"/>
              </w:rPr>
              <w:fldChar w:fldCharType="end"/>
            </w:r>
          </w:hyperlink>
        </w:p>
        <w:p w14:paraId="453B9E84" w14:textId="77777777" w:rsidR="006B1658" w:rsidRPr="006166CC" w:rsidRDefault="00203A7A">
          <w:pPr>
            <w:pStyle w:val="TOC2"/>
            <w:tabs>
              <w:tab w:val="right" w:leader="dot" w:pos="9350"/>
            </w:tabs>
            <w:rPr>
              <w:rFonts w:ascii="Times New Roman" w:eastAsiaTheme="minorEastAsia" w:hAnsi="Times New Roman" w:cs="Times New Roman"/>
              <w:noProof/>
              <w:sz w:val="24"/>
              <w:szCs w:val="24"/>
              <w:lang w:val="lv-LV" w:eastAsia="lv-LV"/>
            </w:rPr>
          </w:pPr>
          <w:hyperlink w:anchor="_Toc511029105" w:history="1">
            <w:r w:rsidR="006B1658" w:rsidRPr="006166CC">
              <w:rPr>
                <w:rStyle w:val="Hyperlink"/>
                <w:rFonts w:ascii="Times New Roman" w:hAnsi="Times New Roman" w:cs="Times New Roman"/>
                <w:noProof/>
                <w:sz w:val="24"/>
                <w:szCs w:val="24"/>
                <w:lang w:val="lv-LV"/>
              </w:rPr>
              <w:t>Privātā sektora ieguvumi</w:t>
            </w:r>
            <w:r w:rsidR="006B1658" w:rsidRPr="006166CC">
              <w:rPr>
                <w:rFonts w:ascii="Times New Roman" w:hAnsi="Times New Roman" w:cs="Times New Roman"/>
                <w:noProof/>
                <w:webHidden/>
                <w:sz w:val="24"/>
                <w:szCs w:val="24"/>
              </w:rPr>
              <w:tab/>
            </w:r>
            <w:r w:rsidR="006B1658" w:rsidRPr="006166CC">
              <w:rPr>
                <w:rFonts w:ascii="Times New Roman" w:hAnsi="Times New Roman" w:cs="Times New Roman"/>
                <w:noProof/>
                <w:webHidden/>
                <w:sz w:val="24"/>
                <w:szCs w:val="24"/>
              </w:rPr>
              <w:fldChar w:fldCharType="begin"/>
            </w:r>
            <w:r w:rsidR="006B1658" w:rsidRPr="006166CC">
              <w:rPr>
                <w:rFonts w:ascii="Times New Roman" w:hAnsi="Times New Roman" w:cs="Times New Roman"/>
                <w:noProof/>
                <w:webHidden/>
                <w:sz w:val="24"/>
                <w:szCs w:val="24"/>
              </w:rPr>
              <w:instrText xml:space="preserve"> PAGEREF _Toc511029105 \h </w:instrText>
            </w:r>
            <w:r w:rsidR="006B1658" w:rsidRPr="006166CC">
              <w:rPr>
                <w:rFonts w:ascii="Times New Roman" w:hAnsi="Times New Roman" w:cs="Times New Roman"/>
                <w:noProof/>
                <w:webHidden/>
                <w:sz w:val="24"/>
                <w:szCs w:val="24"/>
              </w:rPr>
            </w:r>
            <w:r w:rsidR="006B1658" w:rsidRPr="006166CC">
              <w:rPr>
                <w:rFonts w:ascii="Times New Roman" w:hAnsi="Times New Roman" w:cs="Times New Roman"/>
                <w:noProof/>
                <w:webHidden/>
                <w:sz w:val="24"/>
                <w:szCs w:val="24"/>
              </w:rPr>
              <w:fldChar w:fldCharType="separate"/>
            </w:r>
            <w:r w:rsidR="006B1658" w:rsidRPr="006166CC">
              <w:rPr>
                <w:rFonts w:ascii="Times New Roman" w:hAnsi="Times New Roman" w:cs="Times New Roman"/>
                <w:noProof/>
                <w:webHidden/>
                <w:sz w:val="24"/>
                <w:szCs w:val="24"/>
              </w:rPr>
              <w:t>11</w:t>
            </w:r>
            <w:r w:rsidR="006B1658" w:rsidRPr="006166CC">
              <w:rPr>
                <w:rFonts w:ascii="Times New Roman" w:hAnsi="Times New Roman" w:cs="Times New Roman"/>
                <w:noProof/>
                <w:webHidden/>
                <w:sz w:val="24"/>
                <w:szCs w:val="24"/>
              </w:rPr>
              <w:fldChar w:fldCharType="end"/>
            </w:r>
          </w:hyperlink>
        </w:p>
        <w:p w14:paraId="1B3D0C97" w14:textId="77777777" w:rsidR="006B1658" w:rsidRPr="006166CC" w:rsidRDefault="00203A7A">
          <w:pPr>
            <w:pStyle w:val="TOC1"/>
            <w:rPr>
              <w:rFonts w:ascii="Times New Roman" w:eastAsiaTheme="minorEastAsia" w:hAnsi="Times New Roman" w:cs="Times New Roman"/>
              <w:sz w:val="24"/>
              <w:szCs w:val="24"/>
              <w:lang w:eastAsia="lv-LV"/>
            </w:rPr>
          </w:pPr>
          <w:hyperlink w:anchor="_Toc511029106" w:history="1">
            <w:r w:rsidR="006B1658" w:rsidRPr="006166CC">
              <w:rPr>
                <w:rStyle w:val="Hyperlink"/>
                <w:rFonts w:ascii="Times New Roman" w:hAnsi="Times New Roman" w:cs="Times New Roman"/>
                <w:sz w:val="24"/>
                <w:szCs w:val="24"/>
              </w:rPr>
              <w:t>Izvirzītie mērķi</w:t>
            </w:r>
            <w:r w:rsidR="006B1658" w:rsidRPr="006166CC">
              <w:rPr>
                <w:rFonts w:ascii="Times New Roman" w:hAnsi="Times New Roman" w:cs="Times New Roman"/>
                <w:webHidden/>
                <w:sz w:val="24"/>
                <w:szCs w:val="24"/>
              </w:rPr>
              <w:tab/>
            </w:r>
            <w:r w:rsidR="006B1658" w:rsidRPr="006166CC">
              <w:rPr>
                <w:rFonts w:ascii="Times New Roman" w:hAnsi="Times New Roman" w:cs="Times New Roman"/>
                <w:webHidden/>
                <w:sz w:val="24"/>
                <w:szCs w:val="24"/>
              </w:rPr>
              <w:fldChar w:fldCharType="begin"/>
            </w:r>
            <w:r w:rsidR="006B1658" w:rsidRPr="006166CC">
              <w:rPr>
                <w:rFonts w:ascii="Times New Roman" w:hAnsi="Times New Roman" w:cs="Times New Roman"/>
                <w:webHidden/>
                <w:sz w:val="24"/>
                <w:szCs w:val="24"/>
              </w:rPr>
              <w:instrText xml:space="preserve"> PAGEREF _Toc511029106 \h </w:instrText>
            </w:r>
            <w:r w:rsidR="006B1658" w:rsidRPr="006166CC">
              <w:rPr>
                <w:rFonts w:ascii="Times New Roman" w:hAnsi="Times New Roman" w:cs="Times New Roman"/>
                <w:webHidden/>
                <w:sz w:val="24"/>
                <w:szCs w:val="24"/>
              </w:rPr>
            </w:r>
            <w:r w:rsidR="006B1658" w:rsidRPr="006166CC">
              <w:rPr>
                <w:rFonts w:ascii="Times New Roman" w:hAnsi="Times New Roman" w:cs="Times New Roman"/>
                <w:webHidden/>
                <w:sz w:val="24"/>
                <w:szCs w:val="24"/>
              </w:rPr>
              <w:fldChar w:fldCharType="separate"/>
            </w:r>
            <w:r w:rsidR="006B1658" w:rsidRPr="006166CC">
              <w:rPr>
                <w:rFonts w:ascii="Times New Roman" w:hAnsi="Times New Roman" w:cs="Times New Roman"/>
                <w:webHidden/>
                <w:sz w:val="24"/>
                <w:szCs w:val="24"/>
              </w:rPr>
              <w:t>12</w:t>
            </w:r>
            <w:r w:rsidR="006B1658" w:rsidRPr="006166CC">
              <w:rPr>
                <w:rFonts w:ascii="Times New Roman" w:hAnsi="Times New Roman" w:cs="Times New Roman"/>
                <w:webHidden/>
                <w:sz w:val="24"/>
                <w:szCs w:val="24"/>
              </w:rPr>
              <w:fldChar w:fldCharType="end"/>
            </w:r>
          </w:hyperlink>
        </w:p>
        <w:p w14:paraId="1018C025" w14:textId="77777777" w:rsidR="006B1658" w:rsidRPr="006166CC" w:rsidRDefault="00203A7A">
          <w:pPr>
            <w:pStyle w:val="TOC1"/>
            <w:rPr>
              <w:rFonts w:ascii="Times New Roman" w:eastAsiaTheme="minorEastAsia" w:hAnsi="Times New Roman" w:cs="Times New Roman"/>
              <w:sz w:val="24"/>
              <w:szCs w:val="24"/>
              <w:lang w:eastAsia="lv-LV"/>
            </w:rPr>
          </w:pPr>
          <w:hyperlink w:anchor="_Toc511029107" w:history="1">
            <w:r w:rsidR="006B1658" w:rsidRPr="006166CC">
              <w:rPr>
                <w:rStyle w:val="Hyperlink"/>
                <w:rFonts w:ascii="Times New Roman" w:hAnsi="Times New Roman" w:cs="Times New Roman"/>
                <w:sz w:val="24"/>
                <w:szCs w:val="24"/>
              </w:rPr>
              <w:t>Turpmākie soļi kapitāla tirgus attīstības veicināšanai</w:t>
            </w:r>
            <w:r w:rsidR="006B1658" w:rsidRPr="006166CC">
              <w:rPr>
                <w:rFonts w:ascii="Times New Roman" w:hAnsi="Times New Roman" w:cs="Times New Roman"/>
                <w:webHidden/>
                <w:sz w:val="24"/>
                <w:szCs w:val="24"/>
              </w:rPr>
              <w:tab/>
            </w:r>
            <w:r w:rsidR="006B1658" w:rsidRPr="006166CC">
              <w:rPr>
                <w:rFonts w:ascii="Times New Roman" w:hAnsi="Times New Roman" w:cs="Times New Roman"/>
                <w:webHidden/>
                <w:sz w:val="24"/>
                <w:szCs w:val="24"/>
              </w:rPr>
              <w:fldChar w:fldCharType="begin"/>
            </w:r>
            <w:r w:rsidR="006B1658" w:rsidRPr="006166CC">
              <w:rPr>
                <w:rFonts w:ascii="Times New Roman" w:hAnsi="Times New Roman" w:cs="Times New Roman"/>
                <w:webHidden/>
                <w:sz w:val="24"/>
                <w:szCs w:val="24"/>
              </w:rPr>
              <w:instrText xml:space="preserve"> PAGEREF _Toc511029107 \h </w:instrText>
            </w:r>
            <w:r w:rsidR="006B1658" w:rsidRPr="006166CC">
              <w:rPr>
                <w:rFonts w:ascii="Times New Roman" w:hAnsi="Times New Roman" w:cs="Times New Roman"/>
                <w:webHidden/>
                <w:sz w:val="24"/>
                <w:szCs w:val="24"/>
              </w:rPr>
            </w:r>
            <w:r w:rsidR="006B1658" w:rsidRPr="006166CC">
              <w:rPr>
                <w:rFonts w:ascii="Times New Roman" w:hAnsi="Times New Roman" w:cs="Times New Roman"/>
                <w:webHidden/>
                <w:sz w:val="24"/>
                <w:szCs w:val="24"/>
              </w:rPr>
              <w:fldChar w:fldCharType="separate"/>
            </w:r>
            <w:r w:rsidR="006B1658" w:rsidRPr="006166CC">
              <w:rPr>
                <w:rFonts w:ascii="Times New Roman" w:hAnsi="Times New Roman" w:cs="Times New Roman"/>
                <w:webHidden/>
                <w:sz w:val="24"/>
                <w:szCs w:val="24"/>
              </w:rPr>
              <w:t>12</w:t>
            </w:r>
            <w:r w:rsidR="006B1658" w:rsidRPr="006166CC">
              <w:rPr>
                <w:rFonts w:ascii="Times New Roman" w:hAnsi="Times New Roman" w:cs="Times New Roman"/>
                <w:webHidden/>
                <w:sz w:val="24"/>
                <w:szCs w:val="24"/>
              </w:rPr>
              <w:fldChar w:fldCharType="end"/>
            </w:r>
          </w:hyperlink>
        </w:p>
        <w:p w14:paraId="20900344" w14:textId="77777777" w:rsidR="006B1658" w:rsidRPr="006166CC" w:rsidRDefault="00203A7A">
          <w:pPr>
            <w:pStyle w:val="TOC2"/>
            <w:tabs>
              <w:tab w:val="right" w:leader="dot" w:pos="9350"/>
            </w:tabs>
            <w:rPr>
              <w:rFonts w:ascii="Times New Roman" w:eastAsiaTheme="minorEastAsia" w:hAnsi="Times New Roman" w:cs="Times New Roman"/>
              <w:noProof/>
              <w:sz w:val="24"/>
              <w:szCs w:val="24"/>
              <w:lang w:val="lv-LV" w:eastAsia="lv-LV"/>
            </w:rPr>
          </w:pPr>
          <w:hyperlink w:anchor="_Toc511029108" w:history="1">
            <w:r w:rsidR="006B1658" w:rsidRPr="006166CC">
              <w:rPr>
                <w:rStyle w:val="Hyperlink"/>
                <w:rFonts w:ascii="Times New Roman" w:hAnsi="Times New Roman" w:cs="Times New Roman"/>
                <w:noProof/>
                <w:sz w:val="24"/>
                <w:szCs w:val="24"/>
                <w:lang w:val="lv-LV"/>
              </w:rPr>
              <w:t>Valstij piederošo akciju daļēja vai pilnīga kotācija</w:t>
            </w:r>
            <w:r w:rsidR="006B1658" w:rsidRPr="006166CC">
              <w:rPr>
                <w:rFonts w:ascii="Times New Roman" w:hAnsi="Times New Roman" w:cs="Times New Roman"/>
                <w:noProof/>
                <w:webHidden/>
                <w:sz w:val="24"/>
                <w:szCs w:val="24"/>
              </w:rPr>
              <w:tab/>
            </w:r>
            <w:r w:rsidR="006B1658" w:rsidRPr="006166CC">
              <w:rPr>
                <w:rFonts w:ascii="Times New Roman" w:hAnsi="Times New Roman" w:cs="Times New Roman"/>
                <w:noProof/>
                <w:webHidden/>
                <w:sz w:val="24"/>
                <w:szCs w:val="24"/>
              </w:rPr>
              <w:fldChar w:fldCharType="begin"/>
            </w:r>
            <w:r w:rsidR="006B1658" w:rsidRPr="006166CC">
              <w:rPr>
                <w:rFonts w:ascii="Times New Roman" w:hAnsi="Times New Roman" w:cs="Times New Roman"/>
                <w:noProof/>
                <w:webHidden/>
                <w:sz w:val="24"/>
                <w:szCs w:val="24"/>
              </w:rPr>
              <w:instrText xml:space="preserve"> PAGEREF _Toc511029108 \h </w:instrText>
            </w:r>
            <w:r w:rsidR="006B1658" w:rsidRPr="006166CC">
              <w:rPr>
                <w:rFonts w:ascii="Times New Roman" w:hAnsi="Times New Roman" w:cs="Times New Roman"/>
                <w:noProof/>
                <w:webHidden/>
                <w:sz w:val="24"/>
                <w:szCs w:val="24"/>
              </w:rPr>
            </w:r>
            <w:r w:rsidR="006B1658" w:rsidRPr="006166CC">
              <w:rPr>
                <w:rFonts w:ascii="Times New Roman" w:hAnsi="Times New Roman" w:cs="Times New Roman"/>
                <w:noProof/>
                <w:webHidden/>
                <w:sz w:val="24"/>
                <w:szCs w:val="24"/>
              </w:rPr>
              <w:fldChar w:fldCharType="separate"/>
            </w:r>
            <w:r w:rsidR="006B1658" w:rsidRPr="006166CC">
              <w:rPr>
                <w:rFonts w:ascii="Times New Roman" w:hAnsi="Times New Roman" w:cs="Times New Roman"/>
                <w:noProof/>
                <w:webHidden/>
                <w:sz w:val="24"/>
                <w:szCs w:val="24"/>
              </w:rPr>
              <w:t>12</w:t>
            </w:r>
            <w:r w:rsidR="006B1658" w:rsidRPr="006166CC">
              <w:rPr>
                <w:rFonts w:ascii="Times New Roman" w:hAnsi="Times New Roman" w:cs="Times New Roman"/>
                <w:noProof/>
                <w:webHidden/>
                <w:sz w:val="24"/>
                <w:szCs w:val="24"/>
              </w:rPr>
              <w:fldChar w:fldCharType="end"/>
            </w:r>
          </w:hyperlink>
        </w:p>
        <w:p w14:paraId="4FDA078B" w14:textId="77777777" w:rsidR="006B1658" w:rsidRPr="006166CC" w:rsidRDefault="00203A7A">
          <w:pPr>
            <w:pStyle w:val="TOC2"/>
            <w:tabs>
              <w:tab w:val="right" w:leader="dot" w:pos="9350"/>
            </w:tabs>
            <w:rPr>
              <w:rFonts w:ascii="Times New Roman" w:eastAsiaTheme="minorEastAsia" w:hAnsi="Times New Roman" w:cs="Times New Roman"/>
              <w:noProof/>
              <w:sz w:val="24"/>
              <w:szCs w:val="24"/>
              <w:lang w:val="lv-LV" w:eastAsia="lv-LV"/>
            </w:rPr>
          </w:pPr>
          <w:hyperlink w:anchor="_Toc511029109" w:history="1">
            <w:r w:rsidR="006B1658" w:rsidRPr="006166CC">
              <w:rPr>
                <w:rStyle w:val="Hyperlink"/>
                <w:rFonts w:ascii="Times New Roman" w:hAnsi="Times New Roman" w:cs="Times New Roman"/>
                <w:noProof/>
                <w:sz w:val="24"/>
                <w:szCs w:val="24"/>
                <w:lang w:val="lv-LV"/>
              </w:rPr>
              <w:t>Turpmākā parāda vērtspapīru tirgus attīstība</w:t>
            </w:r>
            <w:r w:rsidR="006B1658" w:rsidRPr="006166CC">
              <w:rPr>
                <w:rFonts w:ascii="Times New Roman" w:hAnsi="Times New Roman" w:cs="Times New Roman"/>
                <w:noProof/>
                <w:webHidden/>
                <w:sz w:val="24"/>
                <w:szCs w:val="24"/>
              </w:rPr>
              <w:tab/>
            </w:r>
            <w:r w:rsidR="006B1658" w:rsidRPr="006166CC">
              <w:rPr>
                <w:rFonts w:ascii="Times New Roman" w:hAnsi="Times New Roman" w:cs="Times New Roman"/>
                <w:noProof/>
                <w:webHidden/>
                <w:sz w:val="24"/>
                <w:szCs w:val="24"/>
              </w:rPr>
              <w:fldChar w:fldCharType="begin"/>
            </w:r>
            <w:r w:rsidR="006B1658" w:rsidRPr="006166CC">
              <w:rPr>
                <w:rFonts w:ascii="Times New Roman" w:hAnsi="Times New Roman" w:cs="Times New Roman"/>
                <w:noProof/>
                <w:webHidden/>
                <w:sz w:val="24"/>
                <w:szCs w:val="24"/>
              </w:rPr>
              <w:instrText xml:space="preserve"> PAGEREF _Toc511029109 \h </w:instrText>
            </w:r>
            <w:r w:rsidR="006B1658" w:rsidRPr="006166CC">
              <w:rPr>
                <w:rFonts w:ascii="Times New Roman" w:hAnsi="Times New Roman" w:cs="Times New Roman"/>
                <w:noProof/>
                <w:webHidden/>
                <w:sz w:val="24"/>
                <w:szCs w:val="24"/>
              </w:rPr>
            </w:r>
            <w:r w:rsidR="006B1658" w:rsidRPr="006166CC">
              <w:rPr>
                <w:rFonts w:ascii="Times New Roman" w:hAnsi="Times New Roman" w:cs="Times New Roman"/>
                <w:noProof/>
                <w:webHidden/>
                <w:sz w:val="24"/>
                <w:szCs w:val="24"/>
              </w:rPr>
              <w:fldChar w:fldCharType="separate"/>
            </w:r>
            <w:r w:rsidR="006B1658" w:rsidRPr="006166CC">
              <w:rPr>
                <w:rFonts w:ascii="Times New Roman" w:hAnsi="Times New Roman" w:cs="Times New Roman"/>
                <w:noProof/>
                <w:webHidden/>
                <w:sz w:val="24"/>
                <w:szCs w:val="24"/>
              </w:rPr>
              <w:t>15</w:t>
            </w:r>
            <w:r w:rsidR="006B1658" w:rsidRPr="006166CC">
              <w:rPr>
                <w:rFonts w:ascii="Times New Roman" w:hAnsi="Times New Roman" w:cs="Times New Roman"/>
                <w:noProof/>
                <w:webHidden/>
                <w:sz w:val="24"/>
                <w:szCs w:val="24"/>
              </w:rPr>
              <w:fldChar w:fldCharType="end"/>
            </w:r>
          </w:hyperlink>
        </w:p>
        <w:p w14:paraId="7A60300A" w14:textId="77777777" w:rsidR="006B1658" w:rsidRPr="006166CC" w:rsidRDefault="00203A7A">
          <w:pPr>
            <w:pStyle w:val="TOC2"/>
            <w:tabs>
              <w:tab w:val="right" w:leader="dot" w:pos="9350"/>
            </w:tabs>
            <w:rPr>
              <w:rFonts w:ascii="Times New Roman" w:eastAsiaTheme="minorEastAsia" w:hAnsi="Times New Roman" w:cs="Times New Roman"/>
              <w:noProof/>
              <w:sz w:val="24"/>
              <w:szCs w:val="24"/>
              <w:lang w:val="lv-LV" w:eastAsia="lv-LV"/>
            </w:rPr>
          </w:pPr>
          <w:hyperlink w:anchor="_Toc511029110" w:history="1">
            <w:r w:rsidR="006B1658" w:rsidRPr="006166CC">
              <w:rPr>
                <w:rStyle w:val="Hyperlink"/>
                <w:rFonts w:ascii="Times New Roman" w:hAnsi="Times New Roman" w:cs="Times New Roman"/>
                <w:noProof/>
                <w:sz w:val="24"/>
                <w:szCs w:val="24"/>
                <w:lang w:val="lv-LV"/>
              </w:rPr>
              <w:t>Izmaksas</w:t>
            </w:r>
            <w:r w:rsidR="006B1658" w:rsidRPr="006166CC">
              <w:rPr>
                <w:rFonts w:ascii="Times New Roman" w:hAnsi="Times New Roman" w:cs="Times New Roman"/>
                <w:noProof/>
                <w:webHidden/>
                <w:sz w:val="24"/>
                <w:szCs w:val="24"/>
              </w:rPr>
              <w:tab/>
            </w:r>
            <w:r w:rsidR="006B1658" w:rsidRPr="006166CC">
              <w:rPr>
                <w:rFonts w:ascii="Times New Roman" w:hAnsi="Times New Roman" w:cs="Times New Roman"/>
                <w:noProof/>
                <w:webHidden/>
                <w:sz w:val="24"/>
                <w:szCs w:val="24"/>
              </w:rPr>
              <w:fldChar w:fldCharType="begin"/>
            </w:r>
            <w:r w:rsidR="006B1658" w:rsidRPr="006166CC">
              <w:rPr>
                <w:rFonts w:ascii="Times New Roman" w:hAnsi="Times New Roman" w:cs="Times New Roman"/>
                <w:noProof/>
                <w:webHidden/>
                <w:sz w:val="24"/>
                <w:szCs w:val="24"/>
              </w:rPr>
              <w:instrText xml:space="preserve"> PAGEREF _Toc511029110 \h </w:instrText>
            </w:r>
            <w:r w:rsidR="006B1658" w:rsidRPr="006166CC">
              <w:rPr>
                <w:rFonts w:ascii="Times New Roman" w:hAnsi="Times New Roman" w:cs="Times New Roman"/>
                <w:noProof/>
                <w:webHidden/>
                <w:sz w:val="24"/>
                <w:szCs w:val="24"/>
              </w:rPr>
            </w:r>
            <w:r w:rsidR="006B1658" w:rsidRPr="006166CC">
              <w:rPr>
                <w:rFonts w:ascii="Times New Roman" w:hAnsi="Times New Roman" w:cs="Times New Roman"/>
                <w:noProof/>
                <w:webHidden/>
                <w:sz w:val="24"/>
                <w:szCs w:val="24"/>
              </w:rPr>
              <w:fldChar w:fldCharType="separate"/>
            </w:r>
            <w:r w:rsidR="006B1658" w:rsidRPr="006166CC">
              <w:rPr>
                <w:rFonts w:ascii="Times New Roman" w:hAnsi="Times New Roman" w:cs="Times New Roman"/>
                <w:noProof/>
                <w:webHidden/>
                <w:sz w:val="24"/>
                <w:szCs w:val="24"/>
              </w:rPr>
              <w:t>15</w:t>
            </w:r>
            <w:r w:rsidR="006B1658" w:rsidRPr="006166CC">
              <w:rPr>
                <w:rFonts w:ascii="Times New Roman" w:hAnsi="Times New Roman" w:cs="Times New Roman"/>
                <w:noProof/>
                <w:webHidden/>
                <w:sz w:val="24"/>
                <w:szCs w:val="24"/>
              </w:rPr>
              <w:fldChar w:fldCharType="end"/>
            </w:r>
          </w:hyperlink>
        </w:p>
        <w:p w14:paraId="571FF9F3" w14:textId="77777777" w:rsidR="006B1658" w:rsidRPr="006166CC" w:rsidRDefault="00203A7A">
          <w:pPr>
            <w:pStyle w:val="TOC2"/>
            <w:tabs>
              <w:tab w:val="right" w:leader="dot" w:pos="9350"/>
            </w:tabs>
            <w:rPr>
              <w:rFonts w:ascii="Times New Roman" w:eastAsiaTheme="minorEastAsia" w:hAnsi="Times New Roman" w:cs="Times New Roman"/>
              <w:noProof/>
              <w:sz w:val="24"/>
              <w:szCs w:val="24"/>
              <w:lang w:val="lv-LV" w:eastAsia="lv-LV"/>
            </w:rPr>
          </w:pPr>
          <w:hyperlink w:anchor="_Toc511029111" w:history="1">
            <w:r w:rsidR="006B1658" w:rsidRPr="006166CC">
              <w:rPr>
                <w:rStyle w:val="Hyperlink"/>
                <w:rFonts w:ascii="Times New Roman" w:hAnsi="Times New Roman" w:cs="Times New Roman"/>
                <w:noProof/>
                <w:sz w:val="24"/>
                <w:szCs w:val="24"/>
                <w:lang w:val="lv-LV"/>
              </w:rPr>
              <w:t>Indeksācijas izaicinājumi</w:t>
            </w:r>
            <w:r w:rsidR="006B1658" w:rsidRPr="006166CC">
              <w:rPr>
                <w:rFonts w:ascii="Times New Roman" w:hAnsi="Times New Roman" w:cs="Times New Roman"/>
                <w:noProof/>
                <w:webHidden/>
                <w:sz w:val="24"/>
                <w:szCs w:val="24"/>
              </w:rPr>
              <w:tab/>
            </w:r>
            <w:r w:rsidR="006B1658" w:rsidRPr="006166CC">
              <w:rPr>
                <w:rFonts w:ascii="Times New Roman" w:hAnsi="Times New Roman" w:cs="Times New Roman"/>
                <w:noProof/>
                <w:webHidden/>
                <w:sz w:val="24"/>
                <w:szCs w:val="24"/>
              </w:rPr>
              <w:fldChar w:fldCharType="begin"/>
            </w:r>
            <w:r w:rsidR="006B1658" w:rsidRPr="006166CC">
              <w:rPr>
                <w:rFonts w:ascii="Times New Roman" w:hAnsi="Times New Roman" w:cs="Times New Roman"/>
                <w:noProof/>
                <w:webHidden/>
                <w:sz w:val="24"/>
                <w:szCs w:val="24"/>
              </w:rPr>
              <w:instrText xml:space="preserve"> PAGEREF _Toc511029111 \h </w:instrText>
            </w:r>
            <w:r w:rsidR="006B1658" w:rsidRPr="006166CC">
              <w:rPr>
                <w:rFonts w:ascii="Times New Roman" w:hAnsi="Times New Roman" w:cs="Times New Roman"/>
                <w:noProof/>
                <w:webHidden/>
                <w:sz w:val="24"/>
                <w:szCs w:val="24"/>
              </w:rPr>
            </w:r>
            <w:r w:rsidR="006B1658" w:rsidRPr="006166CC">
              <w:rPr>
                <w:rFonts w:ascii="Times New Roman" w:hAnsi="Times New Roman" w:cs="Times New Roman"/>
                <w:noProof/>
                <w:webHidden/>
                <w:sz w:val="24"/>
                <w:szCs w:val="24"/>
              </w:rPr>
              <w:fldChar w:fldCharType="separate"/>
            </w:r>
            <w:r w:rsidR="006B1658" w:rsidRPr="006166CC">
              <w:rPr>
                <w:rFonts w:ascii="Times New Roman" w:hAnsi="Times New Roman" w:cs="Times New Roman"/>
                <w:noProof/>
                <w:webHidden/>
                <w:sz w:val="24"/>
                <w:szCs w:val="24"/>
              </w:rPr>
              <w:t>16</w:t>
            </w:r>
            <w:r w:rsidR="006B1658" w:rsidRPr="006166CC">
              <w:rPr>
                <w:rFonts w:ascii="Times New Roman" w:hAnsi="Times New Roman" w:cs="Times New Roman"/>
                <w:noProof/>
                <w:webHidden/>
                <w:sz w:val="24"/>
                <w:szCs w:val="24"/>
              </w:rPr>
              <w:fldChar w:fldCharType="end"/>
            </w:r>
          </w:hyperlink>
        </w:p>
        <w:p w14:paraId="00C4C4F6" w14:textId="77777777" w:rsidR="006B1658" w:rsidRPr="006166CC" w:rsidRDefault="00203A7A">
          <w:pPr>
            <w:pStyle w:val="TOC2"/>
            <w:tabs>
              <w:tab w:val="right" w:leader="dot" w:pos="9350"/>
            </w:tabs>
            <w:rPr>
              <w:rFonts w:ascii="Times New Roman" w:eastAsiaTheme="minorEastAsia" w:hAnsi="Times New Roman" w:cs="Times New Roman"/>
              <w:noProof/>
              <w:sz w:val="24"/>
              <w:szCs w:val="24"/>
              <w:lang w:val="lv-LV" w:eastAsia="lv-LV"/>
            </w:rPr>
          </w:pPr>
          <w:hyperlink w:anchor="_Toc511029112" w:history="1">
            <w:r w:rsidR="006B1658" w:rsidRPr="006166CC">
              <w:rPr>
                <w:rStyle w:val="Hyperlink"/>
                <w:rFonts w:ascii="Times New Roman" w:hAnsi="Times New Roman" w:cs="Times New Roman"/>
                <w:noProof/>
                <w:sz w:val="24"/>
                <w:szCs w:val="24"/>
                <w:lang w:val="lv-LV"/>
              </w:rPr>
              <w:t>Investoru piesaistīšana</w:t>
            </w:r>
            <w:r w:rsidR="006B1658" w:rsidRPr="006166CC">
              <w:rPr>
                <w:rFonts w:ascii="Times New Roman" w:hAnsi="Times New Roman" w:cs="Times New Roman"/>
                <w:noProof/>
                <w:webHidden/>
                <w:sz w:val="24"/>
                <w:szCs w:val="24"/>
              </w:rPr>
              <w:tab/>
            </w:r>
            <w:r w:rsidR="006B1658" w:rsidRPr="006166CC">
              <w:rPr>
                <w:rFonts w:ascii="Times New Roman" w:hAnsi="Times New Roman" w:cs="Times New Roman"/>
                <w:noProof/>
                <w:webHidden/>
                <w:sz w:val="24"/>
                <w:szCs w:val="24"/>
              </w:rPr>
              <w:fldChar w:fldCharType="begin"/>
            </w:r>
            <w:r w:rsidR="006B1658" w:rsidRPr="006166CC">
              <w:rPr>
                <w:rFonts w:ascii="Times New Roman" w:hAnsi="Times New Roman" w:cs="Times New Roman"/>
                <w:noProof/>
                <w:webHidden/>
                <w:sz w:val="24"/>
                <w:szCs w:val="24"/>
              </w:rPr>
              <w:instrText xml:space="preserve"> PAGEREF _Toc511029112 \h </w:instrText>
            </w:r>
            <w:r w:rsidR="006B1658" w:rsidRPr="006166CC">
              <w:rPr>
                <w:rFonts w:ascii="Times New Roman" w:hAnsi="Times New Roman" w:cs="Times New Roman"/>
                <w:noProof/>
                <w:webHidden/>
                <w:sz w:val="24"/>
                <w:szCs w:val="24"/>
              </w:rPr>
            </w:r>
            <w:r w:rsidR="006B1658" w:rsidRPr="006166CC">
              <w:rPr>
                <w:rFonts w:ascii="Times New Roman" w:hAnsi="Times New Roman" w:cs="Times New Roman"/>
                <w:noProof/>
                <w:webHidden/>
                <w:sz w:val="24"/>
                <w:szCs w:val="24"/>
              </w:rPr>
              <w:fldChar w:fldCharType="separate"/>
            </w:r>
            <w:r w:rsidR="006B1658" w:rsidRPr="006166CC">
              <w:rPr>
                <w:rFonts w:ascii="Times New Roman" w:hAnsi="Times New Roman" w:cs="Times New Roman"/>
                <w:noProof/>
                <w:webHidden/>
                <w:sz w:val="24"/>
                <w:szCs w:val="24"/>
              </w:rPr>
              <w:t>17</w:t>
            </w:r>
            <w:r w:rsidR="006B1658" w:rsidRPr="006166CC">
              <w:rPr>
                <w:rFonts w:ascii="Times New Roman" w:hAnsi="Times New Roman" w:cs="Times New Roman"/>
                <w:noProof/>
                <w:webHidden/>
                <w:sz w:val="24"/>
                <w:szCs w:val="24"/>
              </w:rPr>
              <w:fldChar w:fldCharType="end"/>
            </w:r>
          </w:hyperlink>
        </w:p>
        <w:p w14:paraId="17C4B124" w14:textId="77777777" w:rsidR="006B1658" w:rsidRPr="006166CC" w:rsidRDefault="00203A7A">
          <w:pPr>
            <w:pStyle w:val="TOC2"/>
            <w:tabs>
              <w:tab w:val="right" w:leader="dot" w:pos="9350"/>
            </w:tabs>
            <w:rPr>
              <w:rFonts w:ascii="Times New Roman" w:eastAsiaTheme="minorEastAsia" w:hAnsi="Times New Roman" w:cs="Times New Roman"/>
              <w:noProof/>
              <w:sz w:val="24"/>
              <w:szCs w:val="24"/>
              <w:lang w:val="lv-LV" w:eastAsia="lv-LV"/>
            </w:rPr>
          </w:pPr>
          <w:hyperlink w:anchor="_Toc511029113" w:history="1">
            <w:r w:rsidR="006B1658" w:rsidRPr="006166CC">
              <w:rPr>
                <w:rStyle w:val="Hyperlink"/>
                <w:rFonts w:ascii="Times New Roman" w:hAnsi="Times New Roman" w:cs="Times New Roman"/>
                <w:noProof/>
                <w:sz w:val="24"/>
                <w:szCs w:val="24"/>
                <w:lang w:val="lv-LV"/>
              </w:rPr>
              <w:t>Juridiskais ietvars valstij piederošo akciju atsavināšanai</w:t>
            </w:r>
            <w:r w:rsidR="006B1658" w:rsidRPr="006166CC">
              <w:rPr>
                <w:rFonts w:ascii="Times New Roman" w:hAnsi="Times New Roman" w:cs="Times New Roman"/>
                <w:noProof/>
                <w:webHidden/>
                <w:sz w:val="24"/>
                <w:szCs w:val="24"/>
              </w:rPr>
              <w:tab/>
            </w:r>
            <w:r w:rsidR="006B1658" w:rsidRPr="006166CC">
              <w:rPr>
                <w:rFonts w:ascii="Times New Roman" w:hAnsi="Times New Roman" w:cs="Times New Roman"/>
                <w:noProof/>
                <w:webHidden/>
                <w:sz w:val="24"/>
                <w:szCs w:val="24"/>
              </w:rPr>
              <w:fldChar w:fldCharType="begin"/>
            </w:r>
            <w:r w:rsidR="006B1658" w:rsidRPr="006166CC">
              <w:rPr>
                <w:rFonts w:ascii="Times New Roman" w:hAnsi="Times New Roman" w:cs="Times New Roman"/>
                <w:noProof/>
                <w:webHidden/>
                <w:sz w:val="24"/>
                <w:szCs w:val="24"/>
              </w:rPr>
              <w:instrText xml:space="preserve"> PAGEREF _Toc511029113 \h </w:instrText>
            </w:r>
            <w:r w:rsidR="006B1658" w:rsidRPr="006166CC">
              <w:rPr>
                <w:rFonts w:ascii="Times New Roman" w:hAnsi="Times New Roman" w:cs="Times New Roman"/>
                <w:noProof/>
                <w:webHidden/>
                <w:sz w:val="24"/>
                <w:szCs w:val="24"/>
              </w:rPr>
            </w:r>
            <w:r w:rsidR="006B1658" w:rsidRPr="006166CC">
              <w:rPr>
                <w:rFonts w:ascii="Times New Roman" w:hAnsi="Times New Roman" w:cs="Times New Roman"/>
                <w:noProof/>
                <w:webHidden/>
                <w:sz w:val="24"/>
                <w:szCs w:val="24"/>
              </w:rPr>
              <w:fldChar w:fldCharType="separate"/>
            </w:r>
            <w:r w:rsidR="006B1658" w:rsidRPr="006166CC">
              <w:rPr>
                <w:rFonts w:ascii="Times New Roman" w:hAnsi="Times New Roman" w:cs="Times New Roman"/>
                <w:noProof/>
                <w:webHidden/>
                <w:sz w:val="24"/>
                <w:szCs w:val="24"/>
              </w:rPr>
              <w:t>17</w:t>
            </w:r>
            <w:r w:rsidR="006B1658" w:rsidRPr="006166CC">
              <w:rPr>
                <w:rFonts w:ascii="Times New Roman" w:hAnsi="Times New Roman" w:cs="Times New Roman"/>
                <w:noProof/>
                <w:webHidden/>
                <w:sz w:val="24"/>
                <w:szCs w:val="24"/>
              </w:rPr>
              <w:fldChar w:fldCharType="end"/>
            </w:r>
          </w:hyperlink>
        </w:p>
        <w:p w14:paraId="6FCC6627" w14:textId="77777777" w:rsidR="006B1658" w:rsidRPr="006166CC" w:rsidRDefault="00203A7A">
          <w:pPr>
            <w:pStyle w:val="TOC1"/>
            <w:rPr>
              <w:rFonts w:ascii="Times New Roman" w:eastAsiaTheme="minorEastAsia" w:hAnsi="Times New Roman" w:cs="Times New Roman"/>
              <w:sz w:val="24"/>
              <w:szCs w:val="24"/>
              <w:lang w:eastAsia="lv-LV"/>
            </w:rPr>
          </w:pPr>
          <w:hyperlink w:anchor="_Toc511029114" w:history="1">
            <w:r w:rsidR="006B1658" w:rsidRPr="006166CC">
              <w:rPr>
                <w:rStyle w:val="Hyperlink"/>
                <w:rFonts w:ascii="Times New Roman" w:hAnsi="Times New Roman" w:cs="Times New Roman"/>
                <w:sz w:val="24"/>
                <w:szCs w:val="24"/>
              </w:rPr>
              <w:t>Turpmākā rīcība</w:t>
            </w:r>
            <w:r w:rsidR="006B1658" w:rsidRPr="006166CC">
              <w:rPr>
                <w:rFonts w:ascii="Times New Roman" w:hAnsi="Times New Roman" w:cs="Times New Roman"/>
                <w:webHidden/>
                <w:sz w:val="24"/>
                <w:szCs w:val="24"/>
              </w:rPr>
              <w:tab/>
            </w:r>
            <w:r w:rsidR="006B1658" w:rsidRPr="006166CC">
              <w:rPr>
                <w:rFonts w:ascii="Times New Roman" w:hAnsi="Times New Roman" w:cs="Times New Roman"/>
                <w:webHidden/>
                <w:sz w:val="24"/>
                <w:szCs w:val="24"/>
              </w:rPr>
              <w:fldChar w:fldCharType="begin"/>
            </w:r>
            <w:r w:rsidR="006B1658" w:rsidRPr="006166CC">
              <w:rPr>
                <w:rFonts w:ascii="Times New Roman" w:hAnsi="Times New Roman" w:cs="Times New Roman"/>
                <w:webHidden/>
                <w:sz w:val="24"/>
                <w:szCs w:val="24"/>
              </w:rPr>
              <w:instrText xml:space="preserve"> PAGEREF _Toc511029114 \h </w:instrText>
            </w:r>
            <w:r w:rsidR="006B1658" w:rsidRPr="006166CC">
              <w:rPr>
                <w:rFonts w:ascii="Times New Roman" w:hAnsi="Times New Roman" w:cs="Times New Roman"/>
                <w:webHidden/>
                <w:sz w:val="24"/>
                <w:szCs w:val="24"/>
              </w:rPr>
            </w:r>
            <w:r w:rsidR="006B1658" w:rsidRPr="006166CC">
              <w:rPr>
                <w:rFonts w:ascii="Times New Roman" w:hAnsi="Times New Roman" w:cs="Times New Roman"/>
                <w:webHidden/>
                <w:sz w:val="24"/>
                <w:szCs w:val="24"/>
              </w:rPr>
              <w:fldChar w:fldCharType="separate"/>
            </w:r>
            <w:r w:rsidR="006B1658" w:rsidRPr="006166CC">
              <w:rPr>
                <w:rFonts w:ascii="Times New Roman" w:hAnsi="Times New Roman" w:cs="Times New Roman"/>
                <w:webHidden/>
                <w:sz w:val="24"/>
                <w:szCs w:val="24"/>
              </w:rPr>
              <w:t>19</w:t>
            </w:r>
            <w:r w:rsidR="006B1658" w:rsidRPr="006166CC">
              <w:rPr>
                <w:rFonts w:ascii="Times New Roman" w:hAnsi="Times New Roman" w:cs="Times New Roman"/>
                <w:webHidden/>
                <w:sz w:val="24"/>
                <w:szCs w:val="24"/>
              </w:rPr>
              <w:fldChar w:fldCharType="end"/>
            </w:r>
          </w:hyperlink>
        </w:p>
        <w:p w14:paraId="0F77D4BA" w14:textId="77777777" w:rsidR="006B1658" w:rsidRPr="006166CC" w:rsidRDefault="00203A7A">
          <w:pPr>
            <w:pStyle w:val="TOC1"/>
            <w:rPr>
              <w:rFonts w:ascii="Times New Roman" w:eastAsiaTheme="minorEastAsia" w:hAnsi="Times New Roman" w:cs="Times New Roman"/>
              <w:sz w:val="24"/>
              <w:szCs w:val="24"/>
              <w:lang w:eastAsia="lv-LV"/>
            </w:rPr>
          </w:pPr>
          <w:hyperlink w:anchor="_Toc511029115" w:history="1">
            <w:r w:rsidR="006B1658" w:rsidRPr="006166CC">
              <w:rPr>
                <w:rStyle w:val="Hyperlink"/>
                <w:rFonts w:ascii="Times New Roman" w:hAnsi="Times New Roman" w:cs="Times New Roman"/>
                <w:sz w:val="24"/>
                <w:szCs w:val="24"/>
              </w:rPr>
              <w:t>Pielikumi</w:t>
            </w:r>
            <w:r w:rsidR="006B1658" w:rsidRPr="006166CC">
              <w:rPr>
                <w:rFonts w:ascii="Times New Roman" w:hAnsi="Times New Roman" w:cs="Times New Roman"/>
                <w:webHidden/>
                <w:sz w:val="24"/>
                <w:szCs w:val="24"/>
              </w:rPr>
              <w:tab/>
            </w:r>
            <w:r w:rsidR="006B1658" w:rsidRPr="006166CC">
              <w:rPr>
                <w:rFonts w:ascii="Times New Roman" w:hAnsi="Times New Roman" w:cs="Times New Roman"/>
                <w:webHidden/>
                <w:sz w:val="24"/>
                <w:szCs w:val="24"/>
              </w:rPr>
              <w:fldChar w:fldCharType="begin"/>
            </w:r>
            <w:r w:rsidR="006B1658" w:rsidRPr="006166CC">
              <w:rPr>
                <w:rFonts w:ascii="Times New Roman" w:hAnsi="Times New Roman" w:cs="Times New Roman"/>
                <w:webHidden/>
                <w:sz w:val="24"/>
                <w:szCs w:val="24"/>
              </w:rPr>
              <w:instrText xml:space="preserve"> PAGEREF _Toc511029115 \h </w:instrText>
            </w:r>
            <w:r w:rsidR="006B1658" w:rsidRPr="006166CC">
              <w:rPr>
                <w:rFonts w:ascii="Times New Roman" w:hAnsi="Times New Roman" w:cs="Times New Roman"/>
                <w:webHidden/>
                <w:sz w:val="24"/>
                <w:szCs w:val="24"/>
              </w:rPr>
            </w:r>
            <w:r w:rsidR="006B1658" w:rsidRPr="006166CC">
              <w:rPr>
                <w:rFonts w:ascii="Times New Roman" w:hAnsi="Times New Roman" w:cs="Times New Roman"/>
                <w:webHidden/>
                <w:sz w:val="24"/>
                <w:szCs w:val="24"/>
              </w:rPr>
              <w:fldChar w:fldCharType="separate"/>
            </w:r>
            <w:r w:rsidR="006B1658" w:rsidRPr="006166CC">
              <w:rPr>
                <w:rFonts w:ascii="Times New Roman" w:hAnsi="Times New Roman" w:cs="Times New Roman"/>
                <w:webHidden/>
                <w:sz w:val="24"/>
                <w:szCs w:val="24"/>
              </w:rPr>
              <w:t>21</w:t>
            </w:r>
            <w:r w:rsidR="006B1658" w:rsidRPr="006166CC">
              <w:rPr>
                <w:rFonts w:ascii="Times New Roman" w:hAnsi="Times New Roman" w:cs="Times New Roman"/>
                <w:webHidden/>
                <w:sz w:val="24"/>
                <w:szCs w:val="24"/>
              </w:rPr>
              <w:fldChar w:fldCharType="end"/>
            </w:r>
          </w:hyperlink>
        </w:p>
        <w:p w14:paraId="7BCACF52" w14:textId="77777777" w:rsidR="00880723" w:rsidRPr="006166CC" w:rsidRDefault="00880723">
          <w:pPr>
            <w:rPr>
              <w:rFonts w:ascii="Times New Roman" w:hAnsi="Times New Roman" w:cs="Times New Roman"/>
              <w:sz w:val="24"/>
              <w:szCs w:val="24"/>
              <w:lang w:val="lv-LV"/>
            </w:rPr>
          </w:pPr>
          <w:r w:rsidRPr="006166CC">
            <w:rPr>
              <w:rFonts w:ascii="Times New Roman" w:hAnsi="Times New Roman" w:cs="Times New Roman"/>
              <w:b/>
              <w:bCs/>
              <w:noProof/>
              <w:sz w:val="24"/>
              <w:szCs w:val="24"/>
              <w:lang w:val="lv-LV"/>
            </w:rPr>
            <w:fldChar w:fldCharType="end"/>
          </w:r>
        </w:p>
      </w:sdtContent>
    </w:sdt>
    <w:p w14:paraId="2E807906" w14:textId="77777777" w:rsidR="00880723" w:rsidRPr="006166CC" w:rsidRDefault="00880723">
      <w:pPr>
        <w:rPr>
          <w:rFonts w:ascii="Times New Roman" w:eastAsiaTheme="majorEastAsia" w:hAnsi="Times New Roman" w:cs="Times New Roman"/>
          <w:b/>
          <w:bCs/>
          <w:color w:val="4F81BD" w:themeColor="accent1"/>
          <w:sz w:val="24"/>
          <w:szCs w:val="24"/>
          <w:lang w:val="lv-LV"/>
        </w:rPr>
      </w:pPr>
      <w:r w:rsidRPr="006166CC">
        <w:rPr>
          <w:rFonts w:ascii="Times New Roman" w:hAnsi="Times New Roman" w:cs="Times New Roman"/>
          <w:sz w:val="24"/>
          <w:szCs w:val="24"/>
          <w:lang w:val="lv-LV"/>
        </w:rPr>
        <w:br w:type="page"/>
      </w:r>
    </w:p>
    <w:p w14:paraId="11AF94F4" w14:textId="33F27DC3" w:rsidR="0005602B" w:rsidRPr="006166CC" w:rsidRDefault="00423C7D" w:rsidP="0005602B">
      <w:pPr>
        <w:pStyle w:val="Heading1"/>
        <w:rPr>
          <w:rFonts w:ascii="Times New Roman" w:hAnsi="Times New Roman" w:cs="Times New Roman"/>
          <w:sz w:val="24"/>
          <w:szCs w:val="24"/>
          <w:lang w:val="lv-LV"/>
        </w:rPr>
      </w:pPr>
      <w:bookmarkStart w:id="1" w:name="_Toc511029101"/>
      <w:r w:rsidRPr="006166CC">
        <w:rPr>
          <w:rFonts w:ascii="Times New Roman" w:hAnsi="Times New Roman" w:cs="Times New Roman"/>
          <w:sz w:val="24"/>
          <w:szCs w:val="24"/>
          <w:lang w:val="lv-LV"/>
        </w:rPr>
        <w:lastRenderedPageBreak/>
        <w:t>Ievads</w:t>
      </w:r>
      <w:bookmarkEnd w:id="1"/>
      <w:r w:rsidRPr="006166CC">
        <w:rPr>
          <w:rFonts w:ascii="Times New Roman" w:hAnsi="Times New Roman" w:cs="Times New Roman"/>
          <w:sz w:val="24"/>
          <w:szCs w:val="24"/>
          <w:lang w:val="lv-LV"/>
        </w:rPr>
        <w:t xml:space="preserve"> </w:t>
      </w:r>
    </w:p>
    <w:p w14:paraId="17F209D8" w14:textId="313048FD" w:rsidR="00C12D34" w:rsidRPr="006166CC" w:rsidRDefault="00D5124A" w:rsidP="002A74B9">
      <w:pPr>
        <w:jc w:val="both"/>
        <w:rPr>
          <w:rFonts w:ascii="Times New Roman" w:hAnsi="Times New Roman" w:cs="Times New Roman"/>
          <w:sz w:val="24"/>
          <w:szCs w:val="24"/>
          <w:lang w:val="lv-LV"/>
        </w:rPr>
      </w:pPr>
      <w:r w:rsidRPr="006166CC">
        <w:rPr>
          <w:rFonts w:ascii="Times New Roman" w:hAnsi="Times New Roman" w:cs="Times New Roman"/>
          <w:sz w:val="24"/>
          <w:szCs w:val="24"/>
          <w:lang w:val="lv-LV"/>
        </w:rPr>
        <w:t>Informatīvais</w:t>
      </w:r>
      <w:r w:rsidR="00423C7D" w:rsidRPr="006166CC">
        <w:rPr>
          <w:rFonts w:ascii="Times New Roman" w:hAnsi="Times New Roman" w:cs="Times New Roman"/>
          <w:sz w:val="24"/>
          <w:szCs w:val="24"/>
          <w:lang w:val="lv-LV"/>
        </w:rPr>
        <w:t xml:space="preserve"> z</w:t>
      </w:r>
      <w:r w:rsidR="00C12D34" w:rsidRPr="006166CC">
        <w:rPr>
          <w:rFonts w:ascii="Times New Roman" w:hAnsi="Times New Roman" w:cs="Times New Roman"/>
          <w:sz w:val="24"/>
          <w:szCs w:val="24"/>
          <w:lang w:val="lv-LV"/>
        </w:rPr>
        <w:t xml:space="preserve">iņojums </w:t>
      </w:r>
      <w:r w:rsidR="00B80F2B" w:rsidRPr="006166CC">
        <w:rPr>
          <w:rFonts w:ascii="Times New Roman" w:hAnsi="Times New Roman" w:cs="Times New Roman"/>
          <w:sz w:val="24"/>
          <w:szCs w:val="24"/>
          <w:lang w:val="lv-LV"/>
        </w:rPr>
        <w:t xml:space="preserve">ir </w:t>
      </w:r>
      <w:r w:rsidR="00C12D34" w:rsidRPr="006166CC">
        <w:rPr>
          <w:rFonts w:ascii="Times New Roman" w:hAnsi="Times New Roman" w:cs="Times New Roman"/>
          <w:sz w:val="24"/>
          <w:szCs w:val="24"/>
          <w:lang w:val="lv-LV"/>
        </w:rPr>
        <w:t>sagatavots, ņemot vērā Ministru kabineta 2017.</w:t>
      </w:r>
      <w:r w:rsidR="00641A5E" w:rsidRPr="006166CC">
        <w:rPr>
          <w:rFonts w:ascii="Times New Roman" w:hAnsi="Times New Roman" w:cs="Times New Roman"/>
          <w:sz w:val="24"/>
          <w:szCs w:val="24"/>
          <w:lang w:val="lv-LV"/>
        </w:rPr>
        <w:t xml:space="preserve"> </w:t>
      </w:r>
      <w:r w:rsidR="00C12D34" w:rsidRPr="006166CC">
        <w:rPr>
          <w:rFonts w:ascii="Times New Roman" w:hAnsi="Times New Roman" w:cs="Times New Roman"/>
          <w:sz w:val="24"/>
          <w:szCs w:val="24"/>
          <w:lang w:val="lv-LV"/>
        </w:rPr>
        <w:t>gada 21.</w:t>
      </w:r>
      <w:r w:rsidR="00641A5E" w:rsidRPr="006166CC">
        <w:rPr>
          <w:rFonts w:ascii="Times New Roman" w:hAnsi="Times New Roman" w:cs="Times New Roman"/>
          <w:sz w:val="24"/>
          <w:szCs w:val="24"/>
          <w:lang w:val="lv-LV"/>
        </w:rPr>
        <w:t xml:space="preserve"> </w:t>
      </w:r>
      <w:r w:rsidR="00C12D34" w:rsidRPr="006166CC">
        <w:rPr>
          <w:rFonts w:ascii="Times New Roman" w:hAnsi="Times New Roman" w:cs="Times New Roman"/>
          <w:sz w:val="24"/>
          <w:szCs w:val="24"/>
          <w:lang w:val="lv-LV"/>
        </w:rPr>
        <w:t xml:space="preserve">martā </w:t>
      </w:r>
      <w:r w:rsidR="00641A5E" w:rsidRPr="006166CC">
        <w:rPr>
          <w:rFonts w:ascii="Times New Roman" w:hAnsi="Times New Roman" w:cs="Times New Roman"/>
          <w:sz w:val="24"/>
          <w:szCs w:val="24"/>
          <w:lang w:val="lv-LV"/>
        </w:rPr>
        <w:t xml:space="preserve">rīkojumā Nr. 126 “Par Finanšu sektora attīstības plānu 2017.-2019. gadam” </w:t>
      </w:r>
      <w:r w:rsidR="00C12D34" w:rsidRPr="006166CC">
        <w:rPr>
          <w:rFonts w:ascii="Times New Roman" w:hAnsi="Times New Roman" w:cs="Times New Roman"/>
          <w:sz w:val="24"/>
          <w:szCs w:val="24"/>
          <w:lang w:val="lv-LV"/>
        </w:rPr>
        <w:t>apstiprinātā Finanšu sektora attīstības plāna 2017.-2019. gadam 3.1.</w:t>
      </w:r>
      <w:r w:rsidR="00EB0485" w:rsidRPr="006166CC">
        <w:rPr>
          <w:rFonts w:ascii="Times New Roman" w:hAnsi="Times New Roman" w:cs="Times New Roman"/>
          <w:sz w:val="24"/>
          <w:szCs w:val="24"/>
          <w:lang w:val="lv-LV"/>
        </w:rPr>
        <w:t>3</w:t>
      </w:r>
      <w:r w:rsidR="00C12D34" w:rsidRPr="006166CC">
        <w:rPr>
          <w:rFonts w:ascii="Times New Roman" w:hAnsi="Times New Roman" w:cs="Times New Roman"/>
          <w:sz w:val="24"/>
          <w:szCs w:val="24"/>
          <w:lang w:val="lv-LV"/>
        </w:rPr>
        <w:t>. uzdevumu/</w:t>
      </w:r>
      <w:r w:rsidR="000676EC" w:rsidRPr="006166CC">
        <w:rPr>
          <w:rFonts w:ascii="Times New Roman" w:hAnsi="Times New Roman" w:cs="Times New Roman"/>
          <w:sz w:val="24"/>
          <w:szCs w:val="24"/>
          <w:lang w:val="lv-LV"/>
        </w:rPr>
        <w:t xml:space="preserve"> </w:t>
      </w:r>
      <w:r w:rsidR="00C12D34" w:rsidRPr="006166CC">
        <w:rPr>
          <w:rFonts w:ascii="Times New Roman" w:hAnsi="Times New Roman" w:cs="Times New Roman"/>
          <w:sz w:val="24"/>
          <w:szCs w:val="24"/>
          <w:lang w:val="lv-LV"/>
        </w:rPr>
        <w:t>pasākumu “Izstrādāt un izskaidrot sabiedrībai skaidru stratēģiju un plānu privātā pašu kapitāla daļas palielināšanai valstij piederošos aktīvos, kā arī papildu finansējuma piesaistei kapitāla tirgū.</w:t>
      </w:r>
      <w:r w:rsidR="005D6303" w:rsidRPr="006166CC">
        <w:rPr>
          <w:rFonts w:ascii="Times New Roman" w:hAnsi="Times New Roman" w:cs="Times New Roman"/>
          <w:sz w:val="24"/>
          <w:szCs w:val="24"/>
          <w:lang w:val="lv-LV"/>
        </w:rPr>
        <w:t xml:space="preserve"> </w:t>
      </w:r>
      <w:r w:rsidR="00C12D34" w:rsidRPr="006166CC">
        <w:rPr>
          <w:rFonts w:ascii="Times New Roman" w:hAnsi="Times New Roman" w:cs="Times New Roman"/>
          <w:sz w:val="24"/>
          <w:szCs w:val="24"/>
          <w:lang w:val="lv-LV"/>
        </w:rPr>
        <w:t>Izveidot valstij piederošo aktīvu sarakstu, piesaistot analītiķus, lai identificētu potenciālos uzņēmumus, uz kuriem attiecas šī stratēģija un plāns.</w:t>
      </w:r>
      <w:r w:rsidR="005D6303" w:rsidRPr="006166CC">
        <w:rPr>
          <w:rFonts w:ascii="Times New Roman" w:hAnsi="Times New Roman" w:cs="Times New Roman"/>
          <w:sz w:val="24"/>
          <w:szCs w:val="24"/>
          <w:lang w:val="lv-LV"/>
        </w:rPr>
        <w:t xml:space="preserve"> </w:t>
      </w:r>
      <w:r w:rsidR="00C12D34" w:rsidRPr="006166CC">
        <w:rPr>
          <w:rFonts w:ascii="Times New Roman" w:hAnsi="Times New Roman" w:cs="Times New Roman"/>
          <w:sz w:val="24"/>
          <w:szCs w:val="24"/>
          <w:lang w:val="lv-LV"/>
        </w:rPr>
        <w:t>Stratēģijas ietvaros visus investīciju piedāvājumus minētajos valsts uzņēmumos veikt ar starptautisku akciju publisko piedāvājumu metodi (IPO), nodrošinot plaša investoru loka piesaistīšanu un piedāvājot konkrētu 10-15% daļu pārdošanu par naudu pensiju un ieguldījumu fondiem, privātpersonām un citiem investoriem. Papildus finansējuma piesaistīšanai, izmantot obligāciju emisijas, kas ļauj saglabāt īpašumtiesības, taču vienlaikus dod iespēju piesaistīt kapitālu, balstoties uz paša uzņēmuma definētiem nosacījumiem;</w:t>
      </w:r>
      <w:r w:rsidR="005D6303" w:rsidRPr="006166CC">
        <w:rPr>
          <w:rFonts w:ascii="Times New Roman" w:hAnsi="Times New Roman" w:cs="Times New Roman"/>
          <w:sz w:val="24"/>
          <w:szCs w:val="24"/>
          <w:lang w:val="lv-LV"/>
        </w:rPr>
        <w:t xml:space="preserve"> </w:t>
      </w:r>
      <w:r w:rsidR="00C12D34" w:rsidRPr="006166CC">
        <w:rPr>
          <w:rFonts w:ascii="Times New Roman" w:hAnsi="Times New Roman" w:cs="Times New Roman"/>
          <w:sz w:val="24"/>
          <w:szCs w:val="24"/>
          <w:lang w:val="lv-LV"/>
        </w:rPr>
        <w:t xml:space="preserve">Izvērtēt iespēju privatizācijas pabeigšanai caur publisko piedāvājumu biržā tādos uzņēmumos kā </w:t>
      </w:r>
      <w:r w:rsidR="00025B8D" w:rsidRPr="006166CC">
        <w:rPr>
          <w:rFonts w:ascii="Times New Roman" w:hAnsi="Times New Roman" w:cs="Times New Roman"/>
          <w:sz w:val="24"/>
          <w:szCs w:val="24"/>
          <w:lang w:val="lv-LV"/>
        </w:rPr>
        <w:t>SIA “</w:t>
      </w:r>
      <w:r w:rsidR="00C12D34" w:rsidRPr="006166CC">
        <w:rPr>
          <w:rFonts w:ascii="Times New Roman" w:hAnsi="Times New Roman" w:cs="Times New Roman"/>
          <w:sz w:val="24"/>
          <w:szCs w:val="24"/>
          <w:lang w:val="lv-LV"/>
        </w:rPr>
        <w:t>Lattelecom</w:t>
      </w:r>
      <w:r w:rsidR="00025B8D" w:rsidRPr="006166CC">
        <w:rPr>
          <w:rFonts w:ascii="Times New Roman" w:hAnsi="Times New Roman" w:cs="Times New Roman"/>
          <w:sz w:val="24"/>
          <w:szCs w:val="24"/>
          <w:lang w:val="lv-LV"/>
        </w:rPr>
        <w:t>”</w:t>
      </w:r>
      <w:r w:rsidR="00C12D34" w:rsidRPr="006166CC">
        <w:rPr>
          <w:rFonts w:ascii="Times New Roman" w:hAnsi="Times New Roman" w:cs="Times New Roman"/>
          <w:sz w:val="24"/>
          <w:szCs w:val="24"/>
          <w:lang w:val="lv-LV"/>
        </w:rPr>
        <w:t xml:space="preserve">, </w:t>
      </w:r>
      <w:r w:rsidR="00025B8D" w:rsidRPr="006166CC">
        <w:rPr>
          <w:rFonts w:ascii="Times New Roman" w:hAnsi="Times New Roman" w:cs="Times New Roman"/>
          <w:sz w:val="24"/>
          <w:szCs w:val="24"/>
          <w:lang w:val="lv-LV"/>
        </w:rPr>
        <w:t>SIA “</w:t>
      </w:r>
      <w:r w:rsidR="00C12D34" w:rsidRPr="006166CC">
        <w:rPr>
          <w:rFonts w:ascii="Times New Roman" w:hAnsi="Times New Roman" w:cs="Times New Roman"/>
          <w:sz w:val="24"/>
          <w:szCs w:val="24"/>
          <w:lang w:val="lv-LV"/>
        </w:rPr>
        <w:t>LMT</w:t>
      </w:r>
      <w:r w:rsidR="00025B8D" w:rsidRPr="006166CC">
        <w:rPr>
          <w:rFonts w:ascii="Times New Roman" w:hAnsi="Times New Roman" w:cs="Times New Roman"/>
          <w:sz w:val="24"/>
          <w:szCs w:val="24"/>
          <w:lang w:val="lv-LV"/>
        </w:rPr>
        <w:t>”</w:t>
      </w:r>
      <w:r w:rsidR="00C12D34" w:rsidRPr="006166CC">
        <w:rPr>
          <w:rFonts w:ascii="Times New Roman" w:hAnsi="Times New Roman" w:cs="Times New Roman"/>
          <w:sz w:val="24"/>
          <w:szCs w:val="24"/>
          <w:lang w:val="lv-LV"/>
        </w:rPr>
        <w:t xml:space="preserve">, </w:t>
      </w:r>
      <w:r w:rsidR="00025B8D" w:rsidRPr="006166CC">
        <w:rPr>
          <w:rFonts w:ascii="Times New Roman" w:hAnsi="Times New Roman" w:cs="Times New Roman"/>
          <w:sz w:val="24"/>
          <w:szCs w:val="24"/>
          <w:lang w:val="lv-LV"/>
        </w:rPr>
        <w:t>AS “</w:t>
      </w:r>
      <w:r w:rsidR="00C12D34" w:rsidRPr="006166CC">
        <w:rPr>
          <w:rFonts w:ascii="Times New Roman" w:hAnsi="Times New Roman" w:cs="Times New Roman"/>
          <w:sz w:val="24"/>
          <w:szCs w:val="24"/>
          <w:lang w:val="lv-LV"/>
        </w:rPr>
        <w:t>Latvijas kuģniecība</w:t>
      </w:r>
      <w:r w:rsidR="00025B8D" w:rsidRPr="006166CC">
        <w:rPr>
          <w:rFonts w:ascii="Times New Roman" w:hAnsi="Times New Roman" w:cs="Times New Roman"/>
          <w:sz w:val="24"/>
          <w:szCs w:val="24"/>
          <w:lang w:val="lv-LV"/>
        </w:rPr>
        <w:t>”</w:t>
      </w:r>
      <w:r w:rsidR="00C12D34" w:rsidRPr="006166CC">
        <w:rPr>
          <w:rFonts w:ascii="Times New Roman" w:hAnsi="Times New Roman" w:cs="Times New Roman"/>
          <w:sz w:val="24"/>
          <w:szCs w:val="24"/>
          <w:lang w:val="lv-LV"/>
        </w:rPr>
        <w:t>.</w:t>
      </w:r>
      <w:r w:rsidR="005D6303" w:rsidRPr="006166CC">
        <w:rPr>
          <w:rFonts w:ascii="Times New Roman" w:hAnsi="Times New Roman" w:cs="Times New Roman"/>
          <w:sz w:val="24"/>
          <w:szCs w:val="24"/>
          <w:lang w:val="lv-LV"/>
        </w:rPr>
        <w:t>”</w:t>
      </w:r>
    </w:p>
    <w:p w14:paraId="3B705599" w14:textId="2EC7269D" w:rsidR="00590D60" w:rsidRPr="006166CC" w:rsidRDefault="00D5124A" w:rsidP="00EA3BA7">
      <w:pPr>
        <w:jc w:val="both"/>
        <w:rPr>
          <w:rFonts w:ascii="Times New Roman" w:hAnsi="Times New Roman" w:cs="Times New Roman"/>
          <w:sz w:val="24"/>
          <w:szCs w:val="24"/>
          <w:lang w:val="lv-LV"/>
        </w:rPr>
      </w:pPr>
      <w:r w:rsidRPr="006166CC">
        <w:rPr>
          <w:rFonts w:ascii="Times New Roman" w:hAnsi="Times New Roman" w:cs="Times New Roman"/>
          <w:sz w:val="24"/>
          <w:szCs w:val="24"/>
          <w:lang w:val="lv-LV"/>
        </w:rPr>
        <w:t>Informatīvais</w:t>
      </w:r>
      <w:r w:rsidR="005D6303" w:rsidRPr="006166CC">
        <w:rPr>
          <w:rFonts w:ascii="Times New Roman" w:hAnsi="Times New Roman" w:cs="Times New Roman"/>
          <w:sz w:val="24"/>
          <w:szCs w:val="24"/>
          <w:lang w:val="lv-LV"/>
        </w:rPr>
        <w:t xml:space="preserve"> z</w:t>
      </w:r>
      <w:r w:rsidR="00EE444F" w:rsidRPr="006166CC">
        <w:rPr>
          <w:rFonts w:ascii="Times New Roman" w:hAnsi="Times New Roman" w:cs="Times New Roman"/>
          <w:sz w:val="24"/>
          <w:szCs w:val="24"/>
          <w:lang w:val="lv-LV"/>
        </w:rPr>
        <w:t xml:space="preserve">iņojums piedāvā </w:t>
      </w:r>
      <w:r w:rsidR="00F261CC" w:rsidRPr="006166CC">
        <w:rPr>
          <w:rFonts w:ascii="Times New Roman" w:hAnsi="Times New Roman" w:cs="Times New Roman"/>
          <w:sz w:val="24"/>
          <w:szCs w:val="24"/>
          <w:lang w:val="lv-LV"/>
        </w:rPr>
        <w:t xml:space="preserve">konkrētas darbības </w:t>
      </w:r>
      <w:r w:rsidR="00EE444F" w:rsidRPr="006166CC">
        <w:rPr>
          <w:rFonts w:ascii="Times New Roman" w:hAnsi="Times New Roman" w:cs="Times New Roman"/>
          <w:sz w:val="24"/>
          <w:szCs w:val="24"/>
          <w:lang w:val="lv-LV"/>
        </w:rPr>
        <w:t>Latvijas tautsaimnie</w:t>
      </w:r>
      <w:r w:rsidR="009D74F6" w:rsidRPr="006166CC">
        <w:rPr>
          <w:rFonts w:ascii="Times New Roman" w:hAnsi="Times New Roman" w:cs="Times New Roman"/>
          <w:sz w:val="24"/>
          <w:szCs w:val="24"/>
          <w:lang w:val="lv-LV"/>
        </w:rPr>
        <w:t>cības</w:t>
      </w:r>
      <w:r w:rsidR="00F261CC" w:rsidRPr="006166CC">
        <w:rPr>
          <w:rFonts w:ascii="Times New Roman" w:hAnsi="Times New Roman" w:cs="Times New Roman"/>
          <w:sz w:val="24"/>
          <w:szCs w:val="24"/>
          <w:lang w:val="lv-LV"/>
        </w:rPr>
        <w:t xml:space="preserve"> konkurētspējas stiprināšanai, </w:t>
      </w:r>
      <w:r w:rsidR="009D74F6" w:rsidRPr="006166CC">
        <w:rPr>
          <w:rFonts w:ascii="Times New Roman" w:hAnsi="Times New Roman" w:cs="Times New Roman"/>
          <w:sz w:val="24"/>
          <w:szCs w:val="24"/>
          <w:lang w:val="lv-LV"/>
        </w:rPr>
        <w:t>attīstībai un straujai izaugsmei</w:t>
      </w:r>
      <w:r w:rsidR="00F261CC" w:rsidRPr="006166CC">
        <w:rPr>
          <w:rFonts w:ascii="Times New Roman" w:hAnsi="Times New Roman" w:cs="Times New Roman"/>
          <w:sz w:val="24"/>
          <w:szCs w:val="24"/>
          <w:lang w:val="lv-LV"/>
        </w:rPr>
        <w:t>,</w:t>
      </w:r>
      <w:r w:rsidR="009D74F6" w:rsidRPr="006166CC">
        <w:rPr>
          <w:rFonts w:ascii="Times New Roman" w:hAnsi="Times New Roman" w:cs="Times New Roman"/>
          <w:sz w:val="24"/>
          <w:szCs w:val="24"/>
          <w:lang w:val="lv-LV"/>
        </w:rPr>
        <w:t xml:space="preserve"> izmantojot</w:t>
      </w:r>
      <w:r w:rsidR="00EE444F" w:rsidRPr="006166CC">
        <w:rPr>
          <w:rFonts w:ascii="Times New Roman" w:hAnsi="Times New Roman" w:cs="Times New Roman"/>
          <w:sz w:val="24"/>
          <w:szCs w:val="24"/>
          <w:lang w:val="lv-LV"/>
        </w:rPr>
        <w:t xml:space="preserve"> </w:t>
      </w:r>
      <w:r w:rsidR="009D74F6" w:rsidRPr="006166CC">
        <w:rPr>
          <w:rFonts w:ascii="Times New Roman" w:hAnsi="Times New Roman" w:cs="Times New Roman"/>
          <w:sz w:val="24"/>
          <w:szCs w:val="24"/>
          <w:lang w:val="lv-LV"/>
        </w:rPr>
        <w:t>līdz šim ne</w:t>
      </w:r>
      <w:r w:rsidR="009D1C3A" w:rsidRPr="006166CC">
        <w:rPr>
          <w:rFonts w:ascii="Times New Roman" w:hAnsi="Times New Roman" w:cs="Times New Roman"/>
          <w:sz w:val="24"/>
          <w:szCs w:val="24"/>
          <w:lang w:val="lv-LV"/>
        </w:rPr>
        <w:t xml:space="preserve">pietiekami </w:t>
      </w:r>
      <w:r w:rsidR="009D74F6" w:rsidRPr="006166CC">
        <w:rPr>
          <w:rFonts w:ascii="Times New Roman" w:hAnsi="Times New Roman" w:cs="Times New Roman"/>
          <w:sz w:val="24"/>
          <w:szCs w:val="24"/>
          <w:lang w:val="lv-LV"/>
        </w:rPr>
        <w:t xml:space="preserve">izmantoto </w:t>
      </w:r>
      <w:r w:rsidR="00EE444F" w:rsidRPr="006166CC">
        <w:rPr>
          <w:rFonts w:ascii="Times New Roman" w:hAnsi="Times New Roman" w:cs="Times New Roman"/>
          <w:sz w:val="24"/>
          <w:szCs w:val="24"/>
          <w:lang w:val="lv-LV"/>
        </w:rPr>
        <w:t>kapitāla tirgu</w:t>
      </w:r>
      <w:r w:rsidR="00511546" w:rsidRPr="006166CC">
        <w:rPr>
          <w:rFonts w:ascii="Times New Roman" w:hAnsi="Times New Roman" w:cs="Times New Roman"/>
          <w:sz w:val="24"/>
          <w:szCs w:val="24"/>
          <w:lang w:val="lv-LV"/>
        </w:rPr>
        <w:t>s potenciālu</w:t>
      </w:r>
      <w:r w:rsidR="00EE444F" w:rsidRPr="006166CC">
        <w:rPr>
          <w:rFonts w:ascii="Times New Roman" w:hAnsi="Times New Roman" w:cs="Times New Roman"/>
          <w:sz w:val="24"/>
          <w:szCs w:val="24"/>
          <w:lang w:val="lv-LV"/>
        </w:rPr>
        <w:t xml:space="preserve"> un biržu. </w:t>
      </w:r>
      <w:r w:rsidR="00EE444F" w:rsidRPr="006166CC">
        <w:rPr>
          <w:rFonts w:ascii="Times New Roman" w:hAnsi="Times New Roman" w:cs="Times New Roman"/>
          <w:b/>
          <w:sz w:val="24"/>
          <w:szCs w:val="24"/>
          <w:u w:val="single"/>
          <w:lang w:val="lv-LV"/>
        </w:rPr>
        <w:t xml:space="preserve">Ziņojums </w:t>
      </w:r>
      <w:r w:rsidR="00566EBF" w:rsidRPr="006166CC">
        <w:rPr>
          <w:rFonts w:ascii="Times New Roman" w:hAnsi="Times New Roman" w:cs="Times New Roman"/>
          <w:b/>
          <w:sz w:val="24"/>
          <w:szCs w:val="24"/>
          <w:u w:val="single"/>
          <w:lang w:val="lv-LV"/>
        </w:rPr>
        <w:t xml:space="preserve">ir paredzēts </w:t>
      </w:r>
      <w:r w:rsidR="00EE444F" w:rsidRPr="006166CC">
        <w:rPr>
          <w:rFonts w:ascii="Times New Roman" w:hAnsi="Times New Roman" w:cs="Times New Roman"/>
          <w:b/>
          <w:sz w:val="24"/>
          <w:szCs w:val="24"/>
          <w:u w:val="single"/>
          <w:lang w:val="lv-LV"/>
        </w:rPr>
        <w:t>konceptuāla lēmuma pieņemšanai</w:t>
      </w:r>
      <w:r w:rsidR="008B3A2C" w:rsidRPr="006166CC">
        <w:rPr>
          <w:rFonts w:ascii="Times New Roman" w:hAnsi="Times New Roman" w:cs="Times New Roman"/>
          <w:b/>
          <w:sz w:val="24"/>
          <w:szCs w:val="24"/>
          <w:u w:val="single"/>
          <w:lang w:val="lv-LV"/>
        </w:rPr>
        <w:t xml:space="preserve"> </w:t>
      </w:r>
      <w:r w:rsidR="00025B8D" w:rsidRPr="006166CC">
        <w:rPr>
          <w:rFonts w:ascii="Times New Roman" w:hAnsi="Times New Roman" w:cs="Times New Roman"/>
          <w:b/>
          <w:sz w:val="24"/>
          <w:szCs w:val="24"/>
          <w:u w:val="single"/>
          <w:lang w:val="lv-LV"/>
        </w:rPr>
        <w:t>par procesa uzsākšanu privātā kapitāla piesaistei valsts kapitālsabiedrībās</w:t>
      </w:r>
      <w:r w:rsidR="00EA3BA7" w:rsidRPr="006166CC">
        <w:rPr>
          <w:rFonts w:ascii="Times New Roman" w:hAnsi="Times New Roman" w:cs="Times New Roman"/>
          <w:b/>
          <w:sz w:val="24"/>
          <w:szCs w:val="24"/>
          <w:u w:val="single"/>
          <w:lang w:val="lv-LV"/>
        </w:rPr>
        <w:t>,</w:t>
      </w:r>
      <w:r w:rsidR="00EE444F" w:rsidRPr="006166CC">
        <w:rPr>
          <w:rFonts w:ascii="Times New Roman" w:hAnsi="Times New Roman" w:cs="Times New Roman"/>
          <w:b/>
          <w:sz w:val="24"/>
          <w:szCs w:val="24"/>
          <w:u w:val="single"/>
          <w:lang w:val="lv-LV"/>
        </w:rPr>
        <w:t xml:space="preserve"> </w:t>
      </w:r>
      <w:r w:rsidR="00E324DF" w:rsidRPr="006166CC">
        <w:rPr>
          <w:rFonts w:ascii="Times New Roman" w:hAnsi="Times New Roman" w:cs="Times New Roman"/>
          <w:b/>
          <w:sz w:val="24"/>
          <w:szCs w:val="24"/>
          <w:u w:val="single"/>
          <w:lang w:val="lv-LV"/>
        </w:rPr>
        <w:t xml:space="preserve">izvērtējot ieguvumus no konkrētu </w:t>
      </w:r>
      <w:r w:rsidR="009D1C3A" w:rsidRPr="006166CC">
        <w:rPr>
          <w:rFonts w:ascii="Times New Roman" w:hAnsi="Times New Roman" w:cs="Times New Roman"/>
          <w:b/>
          <w:sz w:val="24"/>
          <w:szCs w:val="24"/>
          <w:u w:val="single"/>
          <w:lang w:val="lv-LV"/>
        </w:rPr>
        <w:t xml:space="preserve">kapitālsabiedrību </w:t>
      </w:r>
      <w:r w:rsidR="00C12D34" w:rsidRPr="006166CC">
        <w:rPr>
          <w:rFonts w:ascii="Times New Roman" w:hAnsi="Times New Roman" w:cs="Times New Roman"/>
          <w:b/>
          <w:sz w:val="24"/>
          <w:szCs w:val="24"/>
          <w:u w:val="single"/>
          <w:lang w:val="lv-LV"/>
        </w:rPr>
        <w:t xml:space="preserve">akciju </w:t>
      </w:r>
      <w:r w:rsidR="009D1C3A" w:rsidRPr="006166CC">
        <w:rPr>
          <w:rFonts w:ascii="Times New Roman" w:hAnsi="Times New Roman" w:cs="Times New Roman"/>
          <w:b/>
          <w:sz w:val="24"/>
          <w:szCs w:val="24"/>
          <w:u w:val="single"/>
          <w:lang w:val="lv-LV"/>
        </w:rPr>
        <w:t>daļējas kotācijas vai atsevišķos gadījumos pat</w:t>
      </w:r>
      <w:r w:rsidR="00E324DF" w:rsidRPr="006166CC">
        <w:rPr>
          <w:rFonts w:ascii="Times New Roman" w:hAnsi="Times New Roman" w:cs="Times New Roman"/>
          <w:b/>
          <w:sz w:val="24"/>
          <w:szCs w:val="24"/>
          <w:u w:val="single"/>
          <w:lang w:val="lv-LV"/>
        </w:rPr>
        <w:t xml:space="preserve"> pilnīgas </w:t>
      </w:r>
      <w:r w:rsidR="009D1C3A" w:rsidRPr="006166CC">
        <w:rPr>
          <w:rFonts w:ascii="Times New Roman" w:hAnsi="Times New Roman" w:cs="Times New Roman"/>
          <w:b/>
          <w:sz w:val="24"/>
          <w:szCs w:val="24"/>
          <w:u w:val="single"/>
          <w:lang w:val="lv-LV"/>
        </w:rPr>
        <w:t xml:space="preserve">pārdošanas </w:t>
      </w:r>
      <w:r w:rsidR="00A60A6D" w:rsidRPr="006166CC">
        <w:rPr>
          <w:rFonts w:ascii="Times New Roman" w:hAnsi="Times New Roman" w:cs="Times New Roman"/>
          <w:b/>
          <w:sz w:val="24"/>
          <w:szCs w:val="24"/>
          <w:u w:val="single"/>
          <w:lang w:val="lv-LV"/>
        </w:rPr>
        <w:t>biržā</w:t>
      </w:r>
      <w:r w:rsidR="00E324DF" w:rsidRPr="006166CC">
        <w:rPr>
          <w:rFonts w:ascii="Times New Roman" w:hAnsi="Times New Roman" w:cs="Times New Roman"/>
          <w:b/>
          <w:sz w:val="24"/>
          <w:szCs w:val="24"/>
          <w:u w:val="single"/>
          <w:lang w:val="lv-LV"/>
        </w:rPr>
        <w:t>, jauna attīstības kapitāla piesaistes un papildu finanšu resursu ieplūšana</w:t>
      </w:r>
      <w:r w:rsidR="00DF6144" w:rsidRPr="006166CC">
        <w:rPr>
          <w:rFonts w:ascii="Times New Roman" w:hAnsi="Times New Roman" w:cs="Times New Roman"/>
          <w:b/>
          <w:sz w:val="24"/>
          <w:szCs w:val="24"/>
          <w:u w:val="single"/>
          <w:lang w:val="lv-LV"/>
        </w:rPr>
        <w:t>s</w:t>
      </w:r>
      <w:r w:rsidR="00E324DF" w:rsidRPr="006166CC">
        <w:rPr>
          <w:rFonts w:ascii="Times New Roman" w:hAnsi="Times New Roman" w:cs="Times New Roman"/>
          <w:b/>
          <w:sz w:val="24"/>
          <w:szCs w:val="24"/>
          <w:u w:val="single"/>
          <w:lang w:val="lv-LV"/>
        </w:rPr>
        <w:t xml:space="preserve"> uzņēmumā, </w:t>
      </w:r>
      <w:r w:rsidR="00213861" w:rsidRPr="006166CC">
        <w:rPr>
          <w:rFonts w:ascii="Times New Roman" w:hAnsi="Times New Roman" w:cs="Times New Roman"/>
          <w:b/>
          <w:sz w:val="24"/>
          <w:szCs w:val="24"/>
          <w:u w:val="single"/>
          <w:lang w:val="lv-LV"/>
        </w:rPr>
        <w:t>izmantojot obligācijas</w:t>
      </w:r>
      <w:r w:rsidR="00D828EC" w:rsidRPr="006166CC">
        <w:rPr>
          <w:rFonts w:ascii="Times New Roman" w:hAnsi="Times New Roman" w:cs="Times New Roman"/>
          <w:b/>
          <w:sz w:val="24"/>
          <w:szCs w:val="24"/>
          <w:u w:val="single"/>
          <w:lang w:val="lv-LV"/>
        </w:rPr>
        <w:t>,</w:t>
      </w:r>
      <w:r w:rsidR="00213861" w:rsidRPr="006166CC">
        <w:rPr>
          <w:rFonts w:ascii="Times New Roman" w:hAnsi="Times New Roman" w:cs="Times New Roman"/>
          <w:b/>
          <w:sz w:val="24"/>
          <w:szCs w:val="24"/>
          <w:u w:val="single"/>
          <w:lang w:val="lv-LV"/>
        </w:rPr>
        <w:t xml:space="preserve"> un </w:t>
      </w:r>
      <w:r w:rsidR="00E324DF" w:rsidRPr="006166CC">
        <w:rPr>
          <w:rFonts w:ascii="Times New Roman" w:hAnsi="Times New Roman" w:cs="Times New Roman"/>
          <w:b/>
          <w:sz w:val="24"/>
          <w:szCs w:val="24"/>
          <w:u w:val="single"/>
          <w:lang w:val="lv-LV"/>
        </w:rPr>
        <w:t>valstij saglabājot kontroli, bet vienlaikus dalot uzņēmējdarbības risku ar privāto sektoru.</w:t>
      </w:r>
      <w:r w:rsidR="00511546" w:rsidRPr="006166CC">
        <w:rPr>
          <w:rFonts w:ascii="Times New Roman" w:hAnsi="Times New Roman" w:cs="Times New Roman"/>
          <w:sz w:val="24"/>
          <w:szCs w:val="24"/>
          <w:lang w:val="lv-LV"/>
        </w:rPr>
        <w:t xml:space="preserve"> </w:t>
      </w:r>
      <w:r w:rsidR="009D74F6" w:rsidRPr="006166CC">
        <w:rPr>
          <w:rFonts w:ascii="Times New Roman" w:hAnsi="Times New Roman" w:cs="Times New Roman"/>
          <w:sz w:val="24"/>
          <w:szCs w:val="24"/>
          <w:lang w:val="lv-LV"/>
        </w:rPr>
        <w:t>Attīstītajās valstīs e</w:t>
      </w:r>
      <w:r w:rsidR="00511546" w:rsidRPr="006166CC">
        <w:rPr>
          <w:rFonts w:ascii="Times New Roman" w:hAnsi="Times New Roman" w:cs="Times New Roman"/>
          <w:sz w:val="24"/>
          <w:szCs w:val="24"/>
          <w:lang w:val="lv-LV"/>
        </w:rPr>
        <w:t>konomikas izaugsmes veicināšanai šāda prakse tiek plaši pielietota</w:t>
      </w:r>
      <w:r w:rsidR="009D74F6" w:rsidRPr="006166CC">
        <w:rPr>
          <w:rFonts w:ascii="Times New Roman" w:hAnsi="Times New Roman" w:cs="Times New Roman"/>
          <w:sz w:val="24"/>
          <w:szCs w:val="24"/>
          <w:lang w:val="lv-LV"/>
        </w:rPr>
        <w:t>, tādējādi nodrošinot jauna</w:t>
      </w:r>
      <w:r w:rsidR="00511546" w:rsidRPr="006166CC">
        <w:rPr>
          <w:rFonts w:ascii="Times New Roman" w:hAnsi="Times New Roman" w:cs="Times New Roman"/>
          <w:sz w:val="24"/>
          <w:szCs w:val="24"/>
          <w:lang w:val="lv-LV"/>
        </w:rPr>
        <w:t xml:space="preserve"> attīstības kapitāla ieplūšanu </w:t>
      </w:r>
      <w:r w:rsidR="009D74F6" w:rsidRPr="006166CC">
        <w:rPr>
          <w:rFonts w:ascii="Times New Roman" w:hAnsi="Times New Roman" w:cs="Times New Roman"/>
          <w:sz w:val="24"/>
          <w:szCs w:val="24"/>
          <w:lang w:val="lv-LV"/>
        </w:rPr>
        <w:t xml:space="preserve">valstij </w:t>
      </w:r>
      <w:r w:rsidR="009D1C3A" w:rsidRPr="006166CC">
        <w:rPr>
          <w:rFonts w:ascii="Times New Roman" w:hAnsi="Times New Roman" w:cs="Times New Roman"/>
          <w:sz w:val="24"/>
          <w:szCs w:val="24"/>
          <w:lang w:val="lv-LV"/>
        </w:rPr>
        <w:t xml:space="preserve">piederošajās un valsts izšķirošā ietekmē esošajās kapitālsabiedrībās </w:t>
      </w:r>
      <w:r w:rsidR="00F261CC" w:rsidRPr="006166CC">
        <w:rPr>
          <w:rFonts w:ascii="Times New Roman" w:hAnsi="Times New Roman" w:cs="Times New Roman"/>
          <w:sz w:val="24"/>
          <w:szCs w:val="24"/>
          <w:lang w:val="lv-LV"/>
        </w:rPr>
        <w:t>un vienlaikus radot papildu</w:t>
      </w:r>
      <w:r w:rsidR="009D74F6" w:rsidRPr="006166CC">
        <w:rPr>
          <w:rFonts w:ascii="Times New Roman" w:hAnsi="Times New Roman" w:cs="Times New Roman"/>
          <w:sz w:val="24"/>
          <w:szCs w:val="24"/>
          <w:lang w:val="lv-LV"/>
        </w:rPr>
        <w:t xml:space="preserve"> stimulu un iekustinot privātā sektora uzņēmumus izmanto</w:t>
      </w:r>
      <w:r w:rsidR="00F261CC" w:rsidRPr="006166CC">
        <w:rPr>
          <w:rFonts w:ascii="Times New Roman" w:hAnsi="Times New Roman" w:cs="Times New Roman"/>
          <w:sz w:val="24"/>
          <w:szCs w:val="24"/>
          <w:lang w:val="lv-LV"/>
        </w:rPr>
        <w:t>t</w:t>
      </w:r>
      <w:r w:rsidR="009D74F6" w:rsidRPr="006166CC">
        <w:rPr>
          <w:rFonts w:ascii="Times New Roman" w:hAnsi="Times New Roman" w:cs="Times New Roman"/>
          <w:sz w:val="24"/>
          <w:szCs w:val="24"/>
          <w:lang w:val="lv-LV"/>
        </w:rPr>
        <w:t xml:space="preserve"> alternatīvas kapitāla piesaistes iespējas, samazinot savu atkarību no banku </w:t>
      </w:r>
      <w:r w:rsidR="00213861" w:rsidRPr="006166CC">
        <w:rPr>
          <w:rFonts w:ascii="Times New Roman" w:hAnsi="Times New Roman" w:cs="Times New Roman"/>
          <w:sz w:val="24"/>
          <w:szCs w:val="24"/>
          <w:lang w:val="lv-LV"/>
        </w:rPr>
        <w:t xml:space="preserve">vai valsts budžeta </w:t>
      </w:r>
      <w:r w:rsidR="009D74F6" w:rsidRPr="006166CC">
        <w:rPr>
          <w:rFonts w:ascii="Times New Roman" w:hAnsi="Times New Roman" w:cs="Times New Roman"/>
          <w:sz w:val="24"/>
          <w:szCs w:val="24"/>
          <w:lang w:val="lv-LV"/>
        </w:rPr>
        <w:t>finansējuma</w:t>
      </w:r>
      <w:r w:rsidR="00F261CC" w:rsidRPr="006166CC">
        <w:rPr>
          <w:rFonts w:ascii="Times New Roman" w:hAnsi="Times New Roman" w:cs="Times New Roman"/>
          <w:sz w:val="24"/>
          <w:szCs w:val="24"/>
          <w:lang w:val="lv-LV"/>
        </w:rPr>
        <w:t xml:space="preserve"> un veicinot inovatīvu produktu un</w:t>
      </w:r>
      <w:r w:rsidR="009D74F6" w:rsidRPr="006166CC">
        <w:rPr>
          <w:rFonts w:ascii="Times New Roman" w:hAnsi="Times New Roman" w:cs="Times New Roman"/>
          <w:sz w:val="24"/>
          <w:szCs w:val="24"/>
          <w:lang w:val="lv-LV"/>
        </w:rPr>
        <w:t xml:space="preserve"> pakalpojumu</w:t>
      </w:r>
      <w:r w:rsidR="00F261CC" w:rsidRPr="006166CC">
        <w:rPr>
          <w:rFonts w:ascii="Times New Roman" w:hAnsi="Times New Roman" w:cs="Times New Roman"/>
          <w:sz w:val="24"/>
          <w:szCs w:val="24"/>
          <w:lang w:val="lv-LV"/>
        </w:rPr>
        <w:t>, kā arī</w:t>
      </w:r>
      <w:r w:rsidR="009D74F6" w:rsidRPr="006166CC">
        <w:rPr>
          <w:rFonts w:ascii="Times New Roman" w:hAnsi="Times New Roman" w:cs="Times New Roman"/>
          <w:sz w:val="24"/>
          <w:szCs w:val="24"/>
          <w:lang w:val="lv-LV"/>
        </w:rPr>
        <w:t xml:space="preserve"> </w:t>
      </w:r>
      <w:r w:rsidR="006E6AFA" w:rsidRPr="006166CC">
        <w:rPr>
          <w:rFonts w:ascii="Times New Roman" w:hAnsi="Times New Roman" w:cs="Times New Roman"/>
          <w:sz w:val="24"/>
          <w:szCs w:val="24"/>
          <w:lang w:val="lv-LV"/>
        </w:rPr>
        <w:t>darba vietu ar augstu</w:t>
      </w:r>
      <w:r w:rsidR="009D74F6" w:rsidRPr="006166CC">
        <w:rPr>
          <w:rFonts w:ascii="Times New Roman" w:hAnsi="Times New Roman" w:cs="Times New Roman"/>
          <w:sz w:val="24"/>
          <w:szCs w:val="24"/>
          <w:lang w:val="lv-LV"/>
        </w:rPr>
        <w:t xml:space="preserve"> pievieno</w:t>
      </w:r>
      <w:r w:rsidR="006E6AFA" w:rsidRPr="006166CC">
        <w:rPr>
          <w:rFonts w:ascii="Times New Roman" w:hAnsi="Times New Roman" w:cs="Times New Roman"/>
          <w:sz w:val="24"/>
          <w:szCs w:val="24"/>
          <w:lang w:val="lv-LV"/>
        </w:rPr>
        <w:t>to vērtību</w:t>
      </w:r>
      <w:r w:rsidR="00E03F58" w:rsidRPr="006166CC">
        <w:rPr>
          <w:rFonts w:ascii="Times New Roman" w:hAnsi="Times New Roman" w:cs="Times New Roman"/>
          <w:sz w:val="24"/>
          <w:szCs w:val="24"/>
          <w:lang w:val="lv-LV"/>
        </w:rPr>
        <w:t xml:space="preserve"> </w:t>
      </w:r>
      <w:r w:rsidR="009D74F6" w:rsidRPr="006166CC">
        <w:rPr>
          <w:rFonts w:ascii="Times New Roman" w:hAnsi="Times New Roman" w:cs="Times New Roman"/>
          <w:sz w:val="24"/>
          <w:szCs w:val="24"/>
          <w:lang w:val="lv-LV"/>
        </w:rPr>
        <w:t>radīšanu</w:t>
      </w:r>
      <w:r w:rsidR="00511546" w:rsidRPr="006166CC">
        <w:rPr>
          <w:rFonts w:ascii="Times New Roman" w:hAnsi="Times New Roman" w:cs="Times New Roman"/>
          <w:sz w:val="24"/>
          <w:szCs w:val="24"/>
          <w:lang w:val="lv-LV"/>
        </w:rPr>
        <w:t xml:space="preserve">. </w:t>
      </w:r>
      <w:r w:rsidR="00590D60" w:rsidRPr="006166CC">
        <w:rPr>
          <w:rFonts w:ascii="Times New Roman" w:hAnsi="Times New Roman" w:cs="Times New Roman"/>
          <w:sz w:val="24"/>
          <w:szCs w:val="24"/>
          <w:lang w:val="lv-LV"/>
        </w:rPr>
        <w:t>Saskaņā ar 2017.</w:t>
      </w:r>
      <w:r w:rsidR="00D828EC" w:rsidRPr="006166CC">
        <w:rPr>
          <w:rFonts w:ascii="Times New Roman" w:hAnsi="Times New Roman" w:cs="Times New Roman"/>
          <w:sz w:val="24"/>
          <w:szCs w:val="24"/>
          <w:lang w:val="lv-LV"/>
        </w:rPr>
        <w:t xml:space="preserve"> </w:t>
      </w:r>
      <w:r w:rsidR="00590D60" w:rsidRPr="006166CC">
        <w:rPr>
          <w:rFonts w:ascii="Times New Roman" w:hAnsi="Times New Roman" w:cs="Times New Roman"/>
          <w:sz w:val="24"/>
          <w:szCs w:val="24"/>
          <w:lang w:val="lv-LV"/>
        </w:rPr>
        <w:t>gada decembrī veikto SKDS aptauju 67% aptaujāto iedzīvotāju atbalsta Latvijas valstij piederošo lielo uzņēmumu akciju iekļaušanu biržā, lai tās būtu iespējams brīvi iegādāties visiem iedzīvotājiem</w:t>
      </w:r>
      <w:r w:rsidR="00590D60" w:rsidRPr="006166CC">
        <w:rPr>
          <w:rStyle w:val="FootnoteReference"/>
          <w:rFonts w:ascii="Times New Roman" w:hAnsi="Times New Roman" w:cs="Times New Roman"/>
          <w:sz w:val="24"/>
          <w:szCs w:val="24"/>
          <w:lang w:val="lv-LV"/>
        </w:rPr>
        <w:footnoteReference w:id="1"/>
      </w:r>
      <w:r w:rsidR="00590D60" w:rsidRPr="006166CC">
        <w:rPr>
          <w:rFonts w:ascii="Times New Roman" w:hAnsi="Times New Roman" w:cs="Times New Roman"/>
          <w:sz w:val="24"/>
          <w:szCs w:val="24"/>
          <w:lang w:val="lv-LV"/>
        </w:rPr>
        <w:t xml:space="preserve">. </w:t>
      </w:r>
    </w:p>
    <w:p w14:paraId="7F266E5B" w14:textId="77777777" w:rsidR="00D828EC" w:rsidRPr="006166CC" w:rsidRDefault="00A0374A" w:rsidP="002A74B9">
      <w:pPr>
        <w:jc w:val="both"/>
        <w:rPr>
          <w:rFonts w:ascii="Times New Roman" w:hAnsi="Times New Roman" w:cs="Times New Roman"/>
          <w:color w:val="000000" w:themeColor="text1"/>
          <w:sz w:val="24"/>
          <w:szCs w:val="24"/>
          <w:lang w:val="lv-LV"/>
        </w:rPr>
      </w:pPr>
      <w:r w:rsidRPr="006166CC">
        <w:rPr>
          <w:rFonts w:ascii="Times New Roman" w:hAnsi="Times New Roman" w:cs="Times New Roman"/>
          <w:sz w:val="24"/>
          <w:szCs w:val="24"/>
          <w:lang w:val="lv-LV"/>
        </w:rPr>
        <w:t>Šāda prakse</w:t>
      </w:r>
      <w:r w:rsidR="00511546" w:rsidRPr="006166CC">
        <w:rPr>
          <w:rFonts w:ascii="Times New Roman" w:hAnsi="Times New Roman" w:cs="Times New Roman"/>
          <w:sz w:val="24"/>
          <w:szCs w:val="24"/>
          <w:lang w:val="lv-LV"/>
        </w:rPr>
        <w:t xml:space="preserve"> ir </w:t>
      </w:r>
      <w:r w:rsidRPr="006166CC">
        <w:rPr>
          <w:rFonts w:ascii="Times New Roman" w:hAnsi="Times New Roman" w:cs="Times New Roman"/>
          <w:sz w:val="24"/>
          <w:szCs w:val="24"/>
          <w:lang w:val="lv-LV"/>
        </w:rPr>
        <w:t>pielietota Lietuvā</w:t>
      </w:r>
      <w:r w:rsidR="00511546" w:rsidRPr="006166CC">
        <w:rPr>
          <w:rFonts w:ascii="Times New Roman" w:hAnsi="Times New Roman" w:cs="Times New Roman"/>
          <w:sz w:val="24"/>
          <w:szCs w:val="24"/>
          <w:lang w:val="lv-LV"/>
        </w:rPr>
        <w:t>, kur pieci enerģētikas sektora uzņēmum</w:t>
      </w:r>
      <w:r w:rsidR="00213861" w:rsidRPr="006166CC">
        <w:rPr>
          <w:rFonts w:ascii="Times New Roman" w:hAnsi="Times New Roman" w:cs="Times New Roman"/>
          <w:sz w:val="24"/>
          <w:szCs w:val="24"/>
          <w:lang w:val="lv-LV"/>
        </w:rPr>
        <w:t>u akcijas</w:t>
      </w:r>
      <w:r w:rsidR="00511546" w:rsidRPr="006166CC">
        <w:rPr>
          <w:rFonts w:ascii="Times New Roman" w:hAnsi="Times New Roman" w:cs="Times New Roman"/>
          <w:sz w:val="24"/>
          <w:szCs w:val="24"/>
          <w:lang w:val="lv-LV"/>
        </w:rPr>
        <w:t xml:space="preserve"> veiksmīgi t</w:t>
      </w:r>
      <w:r w:rsidRPr="006166CC">
        <w:rPr>
          <w:rFonts w:ascii="Times New Roman" w:hAnsi="Times New Roman" w:cs="Times New Roman"/>
          <w:sz w:val="24"/>
          <w:szCs w:val="24"/>
          <w:lang w:val="lv-LV"/>
        </w:rPr>
        <w:t>i</w:t>
      </w:r>
      <w:r w:rsidR="00511546" w:rsidRPr="006166CC">
        <w:rPr>
          <w:rFonts w:ascii="Times New Roman" w:hAnsi="Times New Roman" w:cs="Times New Roman"/>
          <w:sz w:val="24"/>
          <w:szCs w:val="24"/>
          <w:lang w:val="lv-LV"/>
        </w:rPr>
        <w:t>ek kotēt</w:t>
      </w:r>
      <w:r w:rsidR="00213861" w:rsidRPr="006166CC">
        <w:rPr>
          <w:rFonts w:ascii="Times New Roman" w:hAnsi="Times New Roman" w:cs="Times New Roman"/>
          <w:sz w:val="24"/>
          <w:szCs w:val="24"/>
          <w:lang w:val="lv-LV"/>
        </w:rPr>
        <w:t>as</w:t>
      </w:r>
      <w:r w:rsidR="00511546" w:rsidRPr="006166CC">
        <w:rPr>
          <w:rFonts w:ascii="Times New Roman" w:hAnsi="Times New Roman" w:cs="Times New Roman"/>
          <w:sz w:val="24"/>
          <w:szCs w:val="24"/>
          <w:lang w:val="lv-LV"/>
        </w:rPr>
        <w:t xml:space="preserve"> biržā, valstij saglabājot kontroli.</w:t>
      </w:r>
      <w:r w:rsidRPr="006166CC">
        <w:rPr>
          <w:rFonts w:ascii="Times New Roman" w:hAnsi="Times New Roman" w:cs="Times New Roman"/>
          <w:sz w:val="24"/>
          <w:szCs w:val="24"/>
          <w:lang w:val="lv-LV"/>
        </w:rPr>
        <w:t xml:space="preserve"> Pētījumi rāda, </w:t>
      </w:r>
      <w:r w:rsidRPr="006166CC">
        <w:rPr>
          <w:rFonts w:ascii="Times New Roman" w:hAnsi="Times New Roman" w:cs="Times New Roman"/>
          <w:bCs/>
          <w:sz w:val="24"/>
          <w:szCs w:val="24"/>
          <w:lang w:val="lv-LV"/>
        </w:rPr>
        <w:t xml:space="preserve">ka, attīstot nacionālo kapitāla tirgu Latvijā līdz Igaunijas līmenim, investīciju piesaistes rezultātā tiks nodrošināts </w:t>
      </w:r>
      <w:r w:rsidR="00461047" w:rsidRPr="006166CC">
        <w:rPr>
          <w:rFonts w:ascii="Times New Roman" w:hAnsi="Times New Roman" w:cs="Times New Roman"/>
          <w:bCs/>
          <w:sz w:val="24"/>
          <w:szCs w:val="24"/>
          <w:lang w:val="lv-LV"/>
        </w:rPr>
        <w:t xml:space="preserve">pieaugums </w:t>
      </w:r>
      <w:r w:rsidRPr="006166CC">
        <w:rPr>
          <w:rFonts w:ascii="Times New Roman" w:hAnsi="Times New Roman" w:cs="Times New Roman"/>
          <w:bCs/>
          <w:sz w:val="24"/>
          <w:szCs w:val="24"/>
          <w:lang w:val="lv-LV"/>
        </w:rPr>
        <w:t xml:space="preserve">IKP </w:t>
      </w:r>
      <w:r w:rsidR="00461047" w:rsidRPr="006166CC">
        <w:rPr>
          <w:rFonts w:ascii="Times New Roman" w:hAnsi="Times New Roman" w:cs="Times New Roman"/>
          <w:bCs/>
          <w:sz w:val="24"/>
          <w:szCs w:val="24"/>
          <w:lang w:val="lv-LV"/>
        </w:rPr>
        <w:t>uz vienu iedzīvotāju</w:t>
      </w:r>
      <w:r w:rsidRPr="006166CC">
        <w:rPr>
          <w:rFonts w:ascii="Times New Roman" w:hAnsi="Times New Roman" w:cs="Times New Roman"/>
          <w:bCs/>
          <w:sz w:val="24"/>
          <w:szCs w:val="24"/>
          <w:lang w:val="lv-LV"/>
        </w:rPr>
        <w:t xml:space="preserve"> par 1.8%</w:t>
      </w:r>
      <w:r w:rsidR="000D39BC" w:rsidRPr="006166CC">
        <w:rPr>
          <w:rFonts w:ascii="Times New Roman" w:hAnsi="Times New Roman" w:cs="Times New Roman"/>
          <w:bCs/>
          <w:sz w:val="24"/>
          <w:szCs w:val="24"/>
          <w:lang w:val="lv-LV"/>
        </w:rPr>
        <w:t xml:space="preserve"> ik gadu</w:t>
      </w:r>
      <w:r w:rsidRPr="006166CC">
        <w:rPr>
          <w:rFonts w:ascii="Times New Roman" w:hAnsi="Times New Roman" w:cs="Times New Roman"/>
          <w:bCs/>
          <w:sz w:val="24"/>
          <w:szCs w:val="24"/>
          <w:lang w:val="lv-LV"/>
        </w:rPr>
        <w:t>, tādējādi samazinot atšķirību ienākumos starp valstīm par 30% piecu gadu laikā un radot papildu 120 miljonus eiro nodokļu ieņēmumus ik gadu.</w:t>
      </w:r>
      <w:r w:rsidRPr="006166CC">
        <w:rPr>
          <w:rFonts w:ascii="Times New Roman" w:hAnsi="Times New Roman" w:cs="Times New Roman"/>
          <w:sz w:val="24"/>
          <w:szCs w:val="24"/>
          <w:lang w:val="lv-LV"/>
        </w:rPr>
        <w:t xml:space="preserve"> Skaitliski tas nozīmē, ka tirgus kapitalizāciju ir nepieciešams trīskāršot, tas ir, no 0.8 mi</w:t>
      </w:r>
      <w:r w:rsidR="00FA76D9" w:rsidRPr="006166CC">
        <w:rPr>
          <w:rFonts w:ascii="Times New Roman" w:hAnsi="Times New Roman" w:cs="Times New Roman"/>
          <w:sz w:val="24"/>
          <w:szCs w:val="24"/>
          <w:lang w:val="lv-LV"/>
        </w:rPr>
        <w:t xml:space="preserve">ljardiem eiro uz 2.4 miljardiem </w:t>
      </w:r>
      <w:r w:rsidR="00322792" w:rsidRPr="006166CC">
        <w:rPr>
          <w:rFonts w:ascii="Times New Roman" w:hAnsi="Times New Roman" w:cs="Times New Roman"/>
          <w:sz w:val="24"/>
          <w:szCs w:val="24"/>
          <w:lang w:val="lv-LV"/>
        </w:rPr>
        <w:t>eiro</w:t>
      </w:r>
      <w:r w:rsidRPr="006166CC">
        <w:rPr>
          <w:rFonts w:ascii="Times New Roman" w:hAnsi="Times New Roman" w:cs="Times New Roman"/>
          <w:sz w:val="24"/>
          <w:szCs w:val="24"/>
          <w:lang w:val="lv-LV"/>
        </w:rPr>
        <w:t xml:space="preserve"> pie </w:t>
      </w:r>
      <w:r w:rsidR="0032002D" w:rsidRPr="006166CC">
        <w:rPr>
          <w:rFonts w:ascii="Times New Roman" w:hAnsi="Times New Roman" w:cs="Times New Roman"/>
          <w:sz w:val="24"/>
          <w:szCs w:val="24"/>
          <w:lang w:val="lv-LV"/>
        </w:rPr>
        <w:t xml:space="preserve">nemainīga </w:t>
      </w:r>
      <w:r w:rsidRPr="006166CC">
        <w:rPr>
          <w:rFonts w:ascii="Times New Roman" w:hAnsi="Times New Roman" w:cs="Times New Roman"/>
          <w:sz w:val="24"/>
          <w:szCs w:val="24"/>
          <w:lang w:val="lv-LV"/>
        </w:rPr>
        <w:t xml:space="preserve">IKP. </w:t>
      </w:r>
      <w:r w:rsidRPr="006166CC">
        <w:rPr>
          <w:rFonts w:ascii="Times New Roman" w:hAnsi="Times New Roman" w:cs="Times New Roman"/>
          <w:color w:val="000000" w:themeColor="text1"/>
          <w:sz w:val="24"/>
          <w:szCs w:val="24"/>
          <w:lang w:val="lv-LV"/>
        </w:rPr>
        <w:t>To ir iespējams sa</w:t>
      </w:r>
      <w:r w:rsidR="006E6AFA" w:rsidRPr="006166CC">
        <w:rPr>
          <w:rFonts w:ascii="Times New Roman" w:hAnsi="Times New Roman" w:cs="Times New Roman"/>
          <w:color w:val="000000" w:themeColor="text1"/>
          <w:sz w:val="24"/>
          <w:szCs w:val="24"/>
          <w:lang w:val="lv-LV"/>
        </w:rPr>
        <w:t>s</w:t>
      </w:r>
      <w:r w:rsidRPr="006166CC">
        <w:rPr>
          <w:rFonts w:ascii="Times New Roman" w:hAnsi="Times New Roman" w:cs="Times New Roman"/>
          <w:color w:val="000000" w:themeColor="text1"/>
          <w:sz w:val="24"/>
          <w:szCs w:val="24"/>
          <w:lang w:val="lv-LV"/>
        </w:rPr>
        <w:t>niegt</w:t>
      </w:r>
      <w:r w:rsidR="00E03F58" w:rsidRPr="006166CC">
        <w:rPr>
          <w:rFonts w:ascii="Times New Roman" w:hAnsi="Times New Roman" w:cs="Times New Roman"/>
          <w:color w:val="000000" w:themeColor="text1"/>
          <w:sz w:val="24"/>
          <w:szCs w:val="24"/>
          <w:lang w:val="lv-LV"/>
        </w:rPr>
        <w:t>,</w:t>
      </w:r>
      <w:r w:rsidRPr="006166CC">
        <w:rPr>
          <w:rFonts w:ascii="Times New Roman" w:hAnsi="Times New Roman" w:cs="Times New Roman"/>
          <w:color w:val="000000" w:themeColor="text1"/>
          <w:sz w:val="24"/>
          <w:szCs w:val="24"/>
          <w:lang w:val="lv-LV"/>
        </w:rPr>
        <w:t xml:space="preserve"> </w:t>
      </w:r>
      <w:r w:rsidR="007652B4" w:rsidRPr="006166CC">
        <w:rPr>
          <w:rFonts w:ascii="Times New Roman" w:hAnsi="Times New Roman" w:cs="Times New Roman"/>
          <w:color w:val="000000" w:themeColor="text1"/>
          <w:sz w:val="24"/>
          <w:szCs w:val="24"/>
          <w:lang w:val="lv-LV"/>
        </w:rPr>
        <w:t xml:space="preserve">piemēram, </w:t>
      </w:r>
      <w:r w:rsidRPr="006166CC">
        <w:rPr>
          <w:rFonts w:ascii="Times New Roman" w:hAnsi="Times New Roman" w:cs="Times New Roman"/>
          <w:color w:val="000000" w:themeColor="text1"/>
          <w:sz w:val="24"/>
          <w:szCs w:val="24"/>
          <w:lang w:val="lv-LV"/>
        </w:rPr>
        <w:t>birž</w:t>
      </w:r>
      <w:r w:rsidR="00322792" w:rsidRPr="006166CC">
        <w:rPr>
          <w:rFonts w:ascii="Times New Roman" w:hAnsi="Times New Roman" w:cs="Times New Roman"/>
          <w:color w:val="000000" w:themeColor="text1"/>
          <w:sz w:val="24"/>
          <w:szCs w:val="24"/>
          <w:lang w:val="lv-LV"/>
        </w:rPr>
        <w:t xml:space="preserve">ā </w:t>
      </w:r>
      <w:r w:rsidRPr="006166CC">
        <w:rPr>
          <w:rFonts w:ascii="Times New Roman" w:hAnsi="Times New Roman" w:cs="Times New Roman"/>
          <w:color w:val="000000" w:themeColor="text1"/>
          <w:sz w:val="24"/>
          <w:szCs w:val="24"/>
          <w:lang w:val="lv-LV"/>
        </w:rPr>
        <w:t xml:space="preserve">kotējot </w:t>
      </w:r>
      <w:r w:rsidR="00025B8D" w:rsidRPr="006166CC">
        <w:rPr>
          <w:rFonts w:ascii="Times New Roman" w:hAnsi="Times New Roman" w:cs="Times New Roman"/>
          <w:color w:val="000000" w:themeColor="text1"/>
          <w:sz w:val="24"/>
          <w:szCs w:val="24"/>
          <w:lang w:val="lv-LV"/>
        </w:rPr>
        <w:t xml:space="preserve">SIA </w:t>
      </w:r>
      <w:r w:rsidR="003B2F07" w:rsidRPr="006166CC">
        <w:rPr>
          <w:rFonts w:ascii="Times New Roman" w:hAnsi="Times New Roman" w:cs="Times New Roman"/>
          <w:color w:val="000000" w:themeColor="text1"/>
          <w:sz w:val="24"/>
          <w:szCs w:val="24"/>
          <w:lang w:val="lv-LV"/>
        </w:rPr>
        <w:lastRenderedPageBreak/>
        <w:t>“</w:t>
      </w:r>
      <w:r w:rsidR="00FA76D9" w:rsidRPr="006166CC">
        <w:rPr>
          <w:rFonts w:ascii="Times New Roman" w:hAnsi="Times New Roman" w:cs="Times New Roman"/>
          <w:color w:val="000000" w:themeColor="text1"/>
          <w:sz w:val="24"/>
          <w:szCs w:val="24"/>
          <w:lang w:val="lv-LV"/>
        </w:rPr>
        <w:t>Lattelecom</w:t>
      </w:r>
      <w:r w:rsidR="003B2F07" w:rsidRPr="006166CC">
        <w:rPr>
          <w:rFonts w:ascii="Times New Roman" w:hAnsi="Times New Roman" w:cs="Times New Roman"/>
          <w:color w:val="000000" w:themeColor="text1"/>
          <w:sz w:val="24"/>
          <w:szCs w:val="24"/>
          <w:lang w:val="lv-LV"/>
        </w:rPr>
        <w:t>”</w:t>
      </w:r>
      <w:r w:rsidR="00FA76D9" w:rsidRPr="006166CC">
        <w:rPr>
          <w:rFonts w:ascii="Times New Roman" w:hAnsi="Times New Roman" w:cs="Times New Roman"/>
          <w:color w:val="000000" w:themeColor="text1"/>
          <w:sz w:val="24"/>
          <w:szCs w:val="24"/>
          <w:lang w:val="lv-LV"/>
        </w:rPr>
        <w:t xml:space="preserve"> un </w:t>
      </w:r>
      <w:r w:rsidR="00025B8D" w:rsidRPr="006166CC">
        <w:rPr>
          <w:rFonts w:ascii="Times New Roman" w:hAnsi="Times New Roman" w:cs="Times New Roman"/>
          <w:color w:val="000000" w:themeColor="text1"/>
          <w:sz w:val="24"/>
          <w:szCs w:val="24"/>
          <w:lang w:val="lv-LV"/>
        </w:rPr>
        <w:t>SIA “</w:t>
      </w:r>
      <w:r w:rsidR="00FA76D9" w:rsidRPr="006166CC">
        <w:rPr>
          <w:rFonts w:ascii="Times New Roman" w:hAnsi="Times New Roman" w:cs="Times New Roman"/>
          <w:color w:val="000000" w:themeColor="text1"/>
          <w:sz w:val="24"/>
          <w:szCs w:val="24"/>
          <w:lang w:val="lv-LV"/>
        </w:rPr>
        <w:t>LMT</w:t>
      </w:r>
      <w:r w:rsidR="00025B8D" w:rsidRPr="006166CC">
        <w:rPr>
          <w:rFonts w:ascii="Times New Roman" w:hAnsi="Times New Roman" w:cs="Times New Roman"/>
          <w:color w:val="000000" w:themeColor="text1"/>
          <w:sz w:val="24"/>
          <w:szCs w:val="24"/>
          <w:lang w:val="lv-LV"/>
        </w:rPr>
        <w:t>”</w:t>
      </w:r>
      <w:r w:rsidR="00322792" w:rsidRPr="006166CC">
        <w:rPr>
          <w:rFonts w:ascii="Times New Roman" w:hAnsi="Times New Roman" w:cs="Times New Roman"/>
          <w:color w:val="000000" w:themeColor="text1"/>
          <w:sz w:val="24"/>
          <w:szCs w:val="24"/>
          <w:lang w:val="lv-LV"/>
        </w:rPr>
        <w:t>, kā arī</w:t>
      </w:r>
      <w:r w:rsidR="00FA76D9" w:rsidRPr="006166CC">
        <w:rPr>
          <w:rFonts w:ascii="Times New Roman" w:hAnsi="Times New Roman" w:cs="Times New Roman"/>
          <w:color w:val="000000" w:themeColor="text1"/>
          <w:sz w:val="24"/>
          <w:szCs w:val="24"/>
          <w:lang w:val="lv-LV"/>
        </w:rPr>
        <w:t xml:space="preserve"> vēl vienu no tālāk</w:t>
      </w:r>
      <w:r w:rsidR="00E03F58" w:rsidRPr="006166CC">
        <w:rPr>
          <w:rFonts w:ascii="Times New Roman" w:hAnsi="Times New Roman" w:cs="Times New Roman"/>
          <w:color w:val="000000" w:themeColor="text1"/>
          <w:sz w:val="24"/>
          <w:szCs w:val="24"/>
          <w:lang w:val="lv-LV"/>
        </w:rPr>
        <w:t xml:space="preserve"> ziņojumā</w:t>
      </w:r>
      <w:r w:rsidR="00FA76D9" w:rsidRPr="006166CC">
        <w:rPr>
          <w:rFonts w:ascii="Times New Roman" w:hAnsi="Times New Roman" w:cs="Times New Roman"/>
          <w:color w:val="000000" w:themeColor="text1"/>
          <w:sz w:val="24"/>
          <w:szCs w:val="24"/>
          <w:lang w:val="lv-LV"/>
        </w:rPr>
        <w:t xml:space="preserve"> pieminētaj</w:t>
      </w:r>
      <w:r w:rsidR="00393D2F" w:rsidRPr="006166CC">
        <w:rPr>
          <w:rFonts w:ascii="Times New Roman" w:hAnsi="Times New Roman" w:cs="Times New Roman"/>
          <w:color w:val="000000" w:themeColor="text1"/>
          <w:sz w:val="24"/>
          <w:szCs w:val="24"/>
          <w:lang w:val="lv-LV"/>
        </w:rPr>
        <w:t>ām</w:t>
      </w:r>
      <w:r w:rsidR="00FA76D9" w:rsidRPr="006166CC">
        <w:rPr>
          <w:rFonts w:ascii="Times New Roman" w:hAnsi="Times New Roman" w:cs="Times New Roman"/>
          <w:color w:val="000000" w:themeColor="text1"/>
          <w:sz w:val="24"/>
          <w:szCs w:val="24"/>
          <w:lang w:val="lv-LV"/>
        </w:rPr>
        <w:t xml:space="preserve"> </w:t>
      </w:r>
      <w:r w:rsidR="00393D2F" w:rsidRPr="006166CC">
        <w:rPr>
          <w:rFonts w:ascii="Times New Roman" w:hAnsi="Times New Roman" w:cs="Times New Roman"/>
          <w:color w:val="000000" w:themeColor="text1"/>
          <w:sz w:val="24"/>
          <w:szCs w:val="24"/>
          <w:lang w:val="lv-LV"/>
        </w:rPr>
        <w:t>kapitālsabiedrībām</w:t>
      </w:r>
      <w:r w:rsidR="00322792" w:rsidRPr="006166CC">
        <w:rPr>
          <w:rFonts w:ascii="Times New Roman" w:hAnsi="Times New Roman" w:cs="Times New Roman"/>
          <w:color w:val="000000" w:themeColor="text1"/>
          <w:sz w:val="24"/>
          <w:szCs w:val="24"/>
          <w:lang w:val="lv-LV"/>
        </w:rPr>
        <w:t xml:space="preserve"> nākamo trīs</w:t>
      </w:r>
      <w:r w:rsidR="001C35C8" w:rsidRPr="006166CC">
        <w:rPr>
          <w:rFonts w:ascii="Times New Roman" w:hAnsi="Times New Roman" w:cs="Times New Roman"/>
          <w:color w:val="000000" w:themeColor="text1"/>
          <w:sz w:val="24"/>
          <w:szCs w:val="24"/>
          <w:lang w:val="lv-LV"/>
        </w:rPr>
        <w:t xml:space="preserve"> gadu laikā</w:t>
      </w:r>
      <w:r w:rsidR="00322792" w:rsidRPr="006166CC">
        <w:rPr>
          <w:rFonts w:ascii="Times New Roman" w:hAnsi="Times New Roman" w:cs="Times New Roman"/>
          <w:color w:val="000000" w:themeColor="text1"/>
          <w:sz w:val="24"/>
          <w:szCs w:val="24"/>
          <w:lang w:val="lv-LV"/>
        </w:rPr>
        <w:t xml:space="preserve">. </w:t>
      </w:r>
      <w:r w:rsidR="009D1C3A" w:rsidRPr="006166CC">
        <w:rPr>
          <w:rFonts w:ascii="Times New Roman" w:hAnsi="Times New Roman" w:cs="Times New Roman"/>
          <w:sz w:val="24"/>
          <w:szCs w:val="24"/>
          <w:lang w:val="lv-LV"/>
        </w:rPr>
        <w:t xml:space="preserve">Jau pašlaik valsts kapitālsabiedrību sektorā ir divi labi finanšu tirgus izmantošanas piemēri – AS “Latvenergo” un AS “Attīstības finanšu institūcija ALTUM”, kuras emitējušas biržā aizņēmuma obligācijas. </w:t>
      </w:r>
      <w:r w:rsidR="00322792" w:rsidRPr="006166CC">
        <w:rPr>
          <w:rFonts w:ascii="Times New Roman" w:hAnsi="Times New Roman" w:cs="Times New Roman"/>
          <w:color w:val="000000" w:themeColor="text1"/>
          <w:sz w:val="24"/>
          <w:szCs w:val="24"/>
          <w:lang w:val="lv-LV"/>
        </w:rPr>
        <w:t>K</w:t>
      </w:r>
      <w:r w:rsidR="00FA76D9" w:rsidRPr="006166CC">
        <w:rPr>
          <w:rFonts w:ascii="Times New Roman" w:hAnsi="Times New Roman" w:cs="Times New Roman"/>
          <w:color w:val="000000" w:themeColor="text1"/>
          <w:sz w:val="24"/>
          <w:szCs w:val="24"/>
          <w:lang w:val="lv-LV"/>
        </w:rPr>
        <w:t xml:space="preserve">opā ar privātā sektora uzņēmumiem, kas plāno ienākšanu biržā </w:t>
      </w:r>
      <w:r w:rsidR="009D1C3A" w:rsidRPr="006166CC">
        <w:rPr>
          <w:rFonts w:ascii="Times New Roman" w:hAnsi="Times New Roman" w:cs="Times New Roman"/>
          <w:color w:val="000000" w:themeColor="text1"/>
          <w:sz w:val="24"/>
          <w:szCs w:val="24"/>
          <w:lang w:val="lv-LV"/>
        </w:rPr>
        <w:t>2018</w:t>
      </w:r>
      <w:r w:rsidR="00FA76D9" w:rsidRPr="006166CC">
        <w:rPr>
          <w:rFonts w:ascii="Times New Roman" w:hAnsi="Times New Roman" w:cs="Times New Roman"/>
          <w:color w:val="000000" w:themeColor="text1"/>
          <w:sz w:val="24"/>
          <w:szCs w:val="24"/>
          <w:lang w:val="lv-LV"/>
        </w:rPr>
        <w:t>.</w:t>
      </w:r>
      <w:r w:rsidR="008635CB" w:rsidRPr="006166CC">
        <w:rPr>
          <w:rFonts w:ascii="Times New Roman" w:hAnsi="Times New Roman" w:cs="Times New Roman"/>
          <w:color w:val="000000" w:themeColor="text1"/>
          <w:sz w:val="24"/>
          <w:szCs w:val="24"/>
          <w:lang w:val="lv-LV"/>
        </w:rPr>
        <w:t xml:space="preserve"> </w:t>
      </w:r>
      <w:r w:rsidR="00FA76D9" w:rsidRPr="006166CC">
        <w:rPr>
          <w:rFonts w:ascii="Times New Roman" w:hAnsi="Times New Roman" w:cs="Times New Roman"/>
          <w:color w:val="000000" w:themeColor="text1"/>
          <w:sz w:val="24"/>
          <w:szCs w:val="24"/>
          <w:lang w:val="lv-LV"/>
        </w:rPr>
        <w:t>ga</w:t>
      </w:r>
      <w:r w:rsidR="001C35C8" w:rsidRPr="006166CC">
        <w:rPr>
          <w:rFonts w:ascii="Times New Roman" w:hAnsi="Times New Roman" w:cs="Times New Roman"/>
          <w:color w:val="000000" w:themeColor="text1"/>
          <w:sz w:val="24"/>
          <w:szCs w:val="24"/>
          <w:lang w:val="lv-LV"/>
        </w:rPr>
        <w:t>dā un turpmāk</w:t>
      </w:r>
      <w:r w:rsidR="00E03F58" w:rsidRPr="006166CC">
        <w:rPr>
          <w:rFonts w:ascii="Times New Roman" w:hAnsi="Times New Roman" w:cs="Times New Roman"/>
          <w:color w:val="000000" w:themeColor="text1"/>
          <w:sz w:val="24"/>
          <w:szCs w:val="24"/>
          <w:lang w:val="lv-LV"/>
        </w:rPr>
        <w:t>,</w:t>
      </w:r>
      <w:r w:rsidR="00A60A6D" w:rsidRPr="006166CC">
        <w:rPr>
          <w:rFonts w:ascii="Times New Roman" w:hAnsi="Times New Roman" w:cs="Times New Roman"/>
          <w:color w:val="000000" w:themeColor="text1"/>
          <w:sz w:val="24"/>
          <w:szCs w:val="24"/>
          <w:lang w:val="lv-LV"/>
        </w:rPr>
        <w:t xml:space="preserve"> </w:t>
      </w:r>
      <w:r w:rsidR="00DF6144" w:rsidRPr="006166CC">
        <w:rPr>
          <w:rFonts w:ascii="Times New Roman" w:hAnsi="Times New Roman" w:cs="Times New Roman"/>
          <w:color w:val="000000" w:themeColor="text1"/>
          <w:sz w:val="24"/>
          <w:szCs w:val="24"/>
          <w:lang w:val="lv-LV"/>
        </w:rPr>
        <w:t>tas veidos</w:t>
      </w:r>
      <w:r w:rsidR="001C35C8" w:rsidRPr="006166CC">
        <w:rPr>
          <w:rFonts w:ascii="Times New Roman" w:hAnsi="Times New Roman" w:cs="Times New Roman"/>
          <w:color w:val="000000" w:themeColor="text1"/>
          <w:sz w:val="24"/>
          <w:szCs w:val="24"/>
          <w:lang w:val="lv-LV"/>
        </w:rPr>
        <w:t xml:space="preserve"> nepieciešam</w:t>
      </w:r>
      <w:r w:rsidR="00A60A6D" w:rsidRPr="006166CC">
        <w:rPr>
          <w:rFonts w:ascii="Times New Roman" w:hAnsi="Times New Roman" w:cs="Times New Roman"/>
          <w:color w:val="000000" w:themeColor="text1"/>
          <w:sz w:val="24"/>
          <w:szCs w:val="24"/>
          <w:lang w:val="lv-LV"/>
        </w:rPr>
        <w:t xml:space="preserve">o </w:t>
      </w:r>
      <w:r w:rsidR="00DF6144" w:rsidRPr="006166CC">
        <w:rPr>
          <w:rFonts w:ascii="Times New Roman" w:hAnsi="Times New Roman" w:cs="Times New Roman"/>
          <w:color w:val="000000" w:themeColor="text1"/>
          <w:sz w:val="24"/>
          <w:szCs w:val="24"/>
          <w:lang w:val="lv-LV"/>
        </w:rPr>
        <w:t xml:space="preserve">pozitīvo </w:t>
      </w:r>
      <w:r w:rsidR="00A60A6D" w:rsidRPr="006166CC">
        <w:rPr>
          <w:rFonts w:ascii="Times New Roman" w:hAnsi="Times New Roman" w:cs="Times New Roman"/>
          <w:color w:val="000000" w:themeColor="text1"/>
          <w:sz w:val="24"/>
          <w:szCs w:val="24"/>
          <w:lang w:val="lv-LV"/>
        </w:rPr>
        <w:t>dinamiku</w:t>
      </w:r>
      <w:r w:rsidR="001C35C8" w:rsidRPr="006166CC">
        <w:rPr>
          <w:rFonts w:ascii="Times New Roman" w:hAnsi="Times New Roman" w:cs="Times New Roman"/>
          <w:color w:val="000000" w:themeColor="text1"/>
          <w:sz w:val="24"/>
          <w:szCs w:val="24"/>
          <w:lang w:val="lv-LV"/>
        </w:rPr>
        <w:t>.</w:t>
      </w:r>
    </w:p>
    <w:p w14:paraId="53DF7748" w14:textId="77777777" w:rsidR="00D95CC3" w:rsidRDefault="00D828EC" w:rsidP="002A74B9">
      <w:pPr>
        <w:jc w:val="both"/>
        <w:rPr>
          <w:rFonts w:ascii="Times New Roman" w:hAnsi="Times New Roman" w:cs="Times New Roman"/>
          <w:color w:val="000000" w:themeColor="text1"/>
          <w:sz w:val="24"/>
          <w:szCs w:val="24"/>
          <w:lang w:val="lv-LV"/>
        </w:rPr>
      </w:pPr>
      <w:r w:rsidRPr="006166CC">
        <w:rPr>
          <w:rFonts w:ascii="Times New Roman" w:hAnsi="Times New Roman" w:cs="Times New Roman"/>
          <w:color w:val="000000" w:themeColor="text1"/>
          <w:sz w:val="24"/>
          <w:szCs w:val="24"/>
          <w:lang w:val="lv-LV"/>
        </w:rPr>
        <w:t xml:space="preserve">Šis ir </w:t>
      </w:r>
      <w:r w:rsidR="00D5124A" w:rsidRPr="006166CC">
        <w:rPr>
          <w:rFonts w:ascii="Times New Roman" w:hAnsi="Times New Roman" w:cs="Times New Roman"/>
          <w:color w:val="000000" w:themeColor="text1"/>
          <w:sz w:val="24"/>
          <w:szCs w:val="24"/>
          <w:lang w:val="lv-LV"/>
        </w:rPr>
        <w:t>informatīvais</w:t>
      </w:r>
      <w:r w:rsidRPr="006166CC">
        <w:rPr>
          <w:rFonts w:ascii="Times New Roman" w:hAnsi="Times New Roman" w:cs="Times New Roman"/>
          <w:color w:val="000000" w:themeColor="text1"/>
          <w:sz w:val="24"/>
          <w:szCs w:val="24"/>
          <w:lang w:val="lv-LV"/>
        </w:rPr>
        <w:t xml:space="preserve"> ziņojums, kas paredzēts </w:t>
      </w:r>
      <w:r w:rsidR="00627312" w:rsidRPr="006166CC">
        <w:rPr>
          <w:rFonts w:ascii="Times New Roman" w:hAnsi="Times New Roman" w:cs="Times New Roman"/>
          <w:color w:val="000000" w:themeColor="text1"/>
          <w:sz w:val="24"/>
          <w:szCs w:val="24"/>
          <w:lang w:val="lv-LV"/>
        </w:rPr>
        <w:t xml:space="preserve">redzējuma formulēšanai par finanšu un kapitāla tirgus instrumentu izmantošanu valstij piederošo kapitāla daļu pārvaldībā un </w:t>
      </w:r>
      <w:r w:rsidRPr="006166CC">
        <w:rPr>
          <w:rFonts w:ascii="Times New Roman" w:hAnsi="Times New Roman" w:cs="Times New Roman"/>
          <w:color w:val="000000" w:themeColor="text1"/>
          <w:sz w:val="24"/>
          <w:szCs w:val="24"/>
          <w:lang w:val="lv-LV"/>
        </w:rPr>
        <w:t xml:space="preserve">lēmuma par </w:t>
      </w:r>
      <w:r w:rsidR="00627312" w:rsidRPr="006166CC">
        <w:rPr>
          <w:rFonts w:ascii="Times New Roman" w:hAnsi="Times New Roman" w:cs="Times New Roman"/>
          <w:color w:val="000000" w:themeColor="text1"/>
          <w:sz w:val="24"/>
          <w:szCs w:val="24"/>
          <w:lang w:val="lv-LV"/>
        </w:rPr>
        <w:t>turpmākajiem soļiem</w:t>
      </w:r>
      <w:r w:rsidRPr="006166CC">
        <w:rPr>
          <w:rFonts w:ascii="Times New Roman" w:hAnsi="Times New Roman" w:cs="Times New Roman"/>
          <w:color w:val="000000" w:themeColor="text1"/>
          <w:sz w:val="24"/>
          <w:szCs w:val="24"/>
          <w:lang w:val="lv-LV"/>
        </w:rPr>
        <w:t xml:space="preserve"> pieņemšanai, nevis detalizētai katra iespējami kotējamā uzņēmuma izvērtēšanai. </w:t>
      </w:r>
    </w:p>
    <w:p w14:paraId="09645AAE" w14:textId="77777777" w:rsidR="000C52F1" w:rsidRPr="006166CC" w:rsidRDefault="000C52F1" w:rsidP="003404C7">
      <w:pPr>
        <w:pStyle w:val="Heading1"/>
        <w:rPr>
          <w:rFonts w:ascii="Times New Roman" w:hAnsi="Times New Roman" w:cs="Times New Roman"/>
          <w:sz w:val="24"/>
          <w:szCs w:val="24"/>
          <w:lang w:val="lv-LV"/>
        </w:rPr>
      </w:pPr>
      <w:bookmarkStart w:id="2" w:name="_Toc511029102"/>
      <w:r w:rsidRPr="006166CC">
        <w:rPr>
          <w:rFonts w:ascii="Times New Roman" w:hAnsi="Times New Roman" w:cs="Times New Roman"/>
          <w:sz w:val="24"/>
          <w:szCs w:val="24"/>
          <w:lang w:val="lv-LV"/>
        </w:rPr>
        <w:t xml:space="preserve">Esošā situācija </w:t>
      </w:r>
      <w:r w:rsidR="00E35A1E" w:rsidRPr="006166CC">
        <w:rPr>
          <w:rFonts w:ascii="Times New Roman" w:hAnsi="Times New Roman" w:cs="Times New Roman"/>
          <w:sz w:val="24"/>
          <w:szCs w:val="24"/>
          <w:lang w:val="lv-LV"/>
        </w:rPr>
        <w:t>Latvijas kapitāla tirg</w:t>
      </w:r>
      <w:r w:rsidRPr="006166CC">
        <w:rPr>
          <w:rFonts w:ascii="Times New Roman" w:hAnsi="Times New Roman" w:cs="Times New Roman"/>
          <w:sz w:val="24"/>
          <w:szCs w:val="24"/>
          <w:lang w:val="lv-LV"/>
        </w:rPr>
        <w:t>ū</w:t>
      </w:r>
      <w:bookmarkEnd w:id="2"/>
    </w:p>
    <w:p w14:paraId="69F783A0" w14:textId="1CBF855A" w:rsidR="00F14E25" w:rsidRPr="006166CC" w:rsidRDefault="00AC0CE4" w:rsidP="00EA3BA7">
      <w:pPr>
        <w:jc w:val="both"/>
        <w:rPr>
          <w:rFonts w:ascii="Times New Roman" w:hAnsi="Times New Roman" w:cs="Times New Roman"/>
          <w:sz w:val="24"/>
          <w:szCs w:val="24"/>
          <w:lang w:val="lv-LV"/>
        </w:rPr>
      </w:pPr>
      <w:r w:rsidRPr="006166CC">
        <w:rPr>
          <w:rFonts w:ascii="Times New Roman" w:hAnsi="Times New Roman" w:cs="Times New Roman"/>
          <w:sz w:val="24"/>
          <w:szCs w:val="24"/>
          <w:lang w:val="lv-LV"/>
        </w:rPr>
        <w:t>Vērtējot</w:t>
      </w:r>
      <w:r w:rsidR="000C52F1" w:rsidRPr="006166CC">
        <w:rPr>
          <w:rFonts w:ascii="Times New Roman" w:hAnsi="Times New Roman" w:cs="Times New Roman"/>
          <w:sz w:val="24"/>
          <w:szCs w:val="24"/>
          <w:lang w:val="lv-LV"/>
        </w:rPr>
        <w:t xml:space="preserve"> Latvijas kapitāla tirgus attīstību un</w:t>
      </w:r>
      <w:r w:rsidR="007E2926" w:rsidRPr="006166CC">
        <w:rPr>
          <w:rFonts w:ascii="Times New Roman" w:hAnsi="Times New Roman" w:cs="Times New Roman"/>
          <w:sz w:val="24"/>
          <w:szCs w:val="24"/>
          <w:lang w:val="lv-LV"/>
        </w:rPr>
        <w:t xml:space="preserve"> </w:t>
      </w:r>
      <w:r w:rsidR="000C52F1" w:rsidRPr="006166CC">
        <w:rPr>
          <w:rFonts w:ascii="Times New Roman" w:hAnsi="Times New Roman" w:cs="Times New Roman"/>
          <w:sz w:val="24"/>
          <w:szCs w:val="24"/>
          <w:lang w:val="lv-LV"/>
        </w:rPr>
        <w:t>salīdzinot to ar citām Ei</w:t>
      </w:r>
      <w:r w:rsidR="003D4A2D" w:rsidRPr="006166CC">
        <w:rPr>
          <w:rFonts w:ascii="Times New Roman" w:hAnsi="Times New Roman" w:cs="Times New Roman"/>
          <w:sz w:val="24"/>
          <w:szCs w:val="24"/>
          <w:lang w:val="lv-LV"/>
        </w:rPr>
        <w:t xml:space="preserve">ropas Ekonomiskās zonas valstīm, </w:t>
      </w:r>
      <w:r w:rsidR="00EA3BA7" w:rsidRPr="006166CC">
        <w:rPr>
          <w:rFonts w:ascii="Times New Roman" w:hAnsi="Times New Roman" w:cs="Times New Roman"/>
          <w:sz w:val="24"/>
          <w:szCs w:val="24"/>
          <w:lang w:val="lv-LV"/>
        </w:rPr>
        <w:t>var</w:t>
      </w:r>
      <w:r w:rsidR="000C52F1" w:rsidRPr="006166CC">
        <w:rPr>
          <w:rFonts w:ascii="Times New Roman" w:hAnsi="Times New Roman" w:cs="Times New Roman"/>
          <w:sz w:val="24"/>
          <w:szCs w:val="24"/>
          <w:lang w:val="lv-LV"/>
        </w:rPr>
        <w:t xml:space="preserve"> secināt, ka Latvijai ir </w:t>
      </w:r>
      <w:r w:rsidR="00AD6A03" w:rsidRPr="006166CC">
        <w:rPr>
          <w:rFonts w:ascii="Times New Roman" w:hAnsi="Times New Roman" w:cs="Times New Roman"/>
          <w:sz w:val="24"/>
          <w:szCs w:val="24"/>
          <w:lang w:val="lv-LV"/>
        </w:rPr>
        <w:t>z</w:t>
      </w:r>
      <w:r w:rsidR="00734A3E" w:rsidRPr="006166CC">
        <w:rPr>
          <w:rFonts w:ascii="Times New Roman" w:hAnsi="Times New Roman" w:cs="Times New Roman"/>
          <w:sz w:val="24"/>
          <w:szCs w:val="24"/>
          <w:lang w:val="lv-LV"/>
        </w:rPr>
        <w:t>emākā tirgus kapitalizā</w:t>
      </w:r>
      <w:r w:rsidR="00902EBC" w:rsidRPr="006166CC">
        <w:rPr>
          <w:rFonts w:ascii="Times New Roman" w:hAnsi="Times New Roman" w:cs="Times New Roman"/>
          <w:sz w:val="24"/>
          <w:szCs w:val="24"/>
          <w:lang w:val="lv-LV"/>
        </w:rPr>
        <w:t>cija</w:t>
      </w:r>
      <w:r w:rsidR="00281B98" w:rsidRPr="006166CC">
        <w:rPr>
          <w:rFonts w:ascii="Times New Roman" w:hAnsi="Times New Roman" w:cs="Times New Roman"/>
          <w:sz w:val="24"/>
          <w:szCs w:val="24"/>
          <w:lang w:val="lv-LV"/>
        </w:rPr>
        <w:t xml:space="preserve">, t.i., biržā kotēto uzņēmumu kopējā tirgus vērtība, </w:t>
      </w:r>
      <w:r w:rsidR="00902EBC" w:rsidRPr="006166CC">
        <w:rPr>
          <w:rFonts w:ascii="Times New Roman" w:hAnsi="Times New Roman" w:cs="Times New Roman"/>
          <w:sz w:val="24"/>
          <w:szCs w:val="24"/>
          <w:lang w:val="lv-LV"/>
        </w:rPr>
        <w:t xml:space="preserve">pret </w:t>
      </w:r>
      <w:r w:rsidR="004A0DCC" w:rsidRPr="006166CC">
        <w:rPr>
          <w:rFonts w:ascii="Times New Roman" w:hAnsi="Times New Roman" w:cs="Times New Roman"/>
          <w:sz w:val="24"/>
          <w:szCs w:val="24"/>
          <w:lang w:val="lv-LV"/>
        </w:rPr>
        <w:t>ikgadējo iekšzemes kopproduktu (IKP)</w:t>
      </w:r>
      <w:r w:rsidR="00902EBC" w:rsidRPr="006166CC">
        <w:rPr>
          <w:rFonts w:ascii="Times New Roman" w:hAnsi="Times New Roman" w:cs="Times New Roman"/>
          <w:sz w:val="24"/>
          <w:szCs w:val="24"/>
          <w:lang w:val="lv-LV"/>
        </w:rPr>
        <w:t>, kas norāda uz maza</w:t>
      </w:r>
      <w:r w:rsidR="00F14E25" w:rsidRPr="006166CC">
        <w:rPr>
          <w:rFonts w:ascii="Times New Roman" w:hAnsi="Times New Roman" w:cs="Times New Roman"/>
          <w:sz w:val="24"/>
          <w:szCs w:val="24"/>
          <w:lang w:val="lv-LV"/>
        </w:rPr>
        <w:t>ttīstītu kapitāla tirgu valstī.</w:t>
      </w:r>
      <w:r w:rsidR="000A62D0" w:rsidRPr="006166CC">
        <w:rPr>
          <w:rFonts w:ascii="Times New Roman" w:hAnsi="Times New Roman" w:cs="Times New Roman"/>
          <w:sz w:val="24"/>
          <w:szCs w:val="24"/>
          <w:lang w:val="lv-LV"/>
        </w:rPr>
        <w:t xml:space="preserve"> </w:t>
      </w:r>
      <w:r w:rsidR="00EA3BA7" w:rsidRPr="006166CC">
        <w:rPr>
          <w:rFonts w:ascii="Times New Roman" w:hAnsi="Times New Roman" w:cs="Times New Roman"/>
          <w:sz w:val="24"/>
          <w:szCs w:val="24"/>
          <w:lang w:val="lv-LV"/>
        </w:rPr>
        <w:t xml:space="preserve">No </w:t>
      </w:r>
      <w:r w:rsidR="003B2F07" w:rsidRPr="006166CC">
        <w:rPr>
          <w:rFonts w:ascii="Times New Roman" w:hAnsi="Times New Roman" w:cs="Times New Roman"/>
          <w:sz w:val="24"/>
          <w:szCs w:val="24"/>
          <w:lang w:val="lv-LV"/>
        </w:rPr>
        <w:t>attēla Nr.1</w:t>
      </w:r>
      <w:r w:rsidR="000A62D0" w:rsidRPr="006166CC">
        <w:rPr>
          <w:rFonts w:ascii="Times New Roman" w:hAnsi="Times New Roman" w:cs="Times New Roman"/>
          <w:sz w:val="24"/>
          <w:szCs w:val="24"/>
          <w:lang w:val="lv-LV"/>
        </w:rPr>
        <w:t xml:space="preserve"> redz</w:t>
      </w:r>
      <w:r w:rsidR="00AD6A03" w:rsidRPr="006166CC">
        <w:rPr>
          <w:rFonts w:ascii="Times New Roman" w:hAnsi="Times New Roman" w:cs="Times New Roman"/>
          <w:sz w:val="24"/>
          <w:szCs w:val="24"/>
          <w:lang w:val="lv-LV"/>
        </w:rPr>
        <w:t>am</w:t>
      </w:r>
      <w:r w:rsidR="00EA3BA7" w:rsidRPr="006166CC">
        <w:rPr>
          <w:rFonts w:ascii="Times New Roman" w:hAnsi="Times New Roman" w:cs="Times New Roman"/>
          <w:sz w:val="24"/>
          <w:szCs w:val="24"/>
          <w:lang w:val="lv-LV"/>
        </w:rPr>
        <w:t>s</w:t>
      </w:r>
      <w:r w:rsidR="00AD6A03" w:rsidRPr="006166CC">
        <w:rPr>
          <w:rFonts w:ascii="Times New Roman" w:hAnsi="Times New Roman" w:cs="Times New Roman"/>
          <w:sz w:val="24"/>
          <w:szCs w:val="24"/>
          <w:lang w:val="lv-LV"/>
        </w:rPr>
        <w:t>, ka Latvija krietni atpaliek</w:t>
      </w:r>
      <w:r w:rsidR="000A62D0" w:rsidRPr="006166CC">
        <w:rPr>
          <w:rFonts w:ascii="Times New Roman" w:hAnsi="Times New Roman" w:cs="Times New Roman"/>
          <w:sz w:val="24"/>
          <w:szCs w:val="24"/>
          <w:lang w:val="lv-LV"/>
        </w:rPr>
        <w:t xml:space="preserve"> gan no Lietuvas un Igaunijas, gan arī Islandes, kas ir salīdzinoši neliela valsts. Islandes paraugs uzskatāmi parāda, ka </w:t>
      </w:r>
      <w:r w:rsidR="007E2926" w:rsidRPr="006166CC">
        <w:rPr>
          <w:rFonts w:ascii="Times New Roman" w:hAnsi="Times New Roman" w:cs="Times New Roman"/>
          <w:sz w:val="24"/>
          <w:szCs w:val="24"/>
          <w:lang w:val="lv-LV"/>
        </w:rPr>
        <w:t xml:space="preserve">valsts izmēram </w:t>
      </w:r>
      <w:r w:rsidR="000A62D0" w:rsidRPr="006166CC">
        <w:rPr>
          <w:rFonts w:ascii="Times New Roman" w:hAnsi="Times New Roman" w:cs="Times New Roman"/>
          <w:sz w:val="24"/>
          <w:szCs w:val="24"/>
          <w:lang w:val="lv-LV"/>
        </w:rPr>
        <w:t>kapitāla tirgus attīstībā nav izšķirošā nozīme</w:t>
      </w:r>
      <w:r w:rsidR="00AD6A03" w:rsidRPr="006166CC">
        <w:rPr>
          <w:rFonts w:ascii="Times New Roman" w:hAnsi="Times New Roman" w:cs="Times New Roman"/>
          <w:sz w:val="24"/>
          <w:szCs w:val="24"/>
          <w:lang w:val="lv-LV"/>
        </w:rPr>
        <w:t>,</w:t>
      </w:r>
      <w:r w:rsidR="000A62D0" w:rsidRPr="006166CC">
        <w:rPr>
          <w:rFonts w:ascii="Times New Roman" w:hAnsi="Times New Roman" w:cs="Times New Roman"/>
          <w:sz w:val="24"/>
          <w:szCs w:val="24"/>
          <w:lang w:val="lv-LV"/>
        </w:rPr>
        <w:t xml:space="preserve"> daudz nozīmīgāku lomu spēlē valsts kopīgā ekonomiskā izaugsme, uzņēmējdarbības vide un uzņēmēju ambīcijas piesaistīt kapitālu biržā. </w:t>
      </w:r>
    </w:p>
    <w:p w14:paraId="578176BA" w14:textId="77777777" w:rsidR="00D2514C" w:rsidRPr="006166CC" w:rsidRDefault="00DC5CAD" w:rsidP="00D14348">
      <w:pPr>
        <w:rPr>
          <w:rFonts w:ascii="Times New Roman" w:hAnsi="Times New Roman" w:cs="Times New Roman"/>
          <w:sz w:val="24"/>
          <w:szCs w:val="24"/>
          <w:lang w:val="lv-LV"/>
        </w:rPr>
      </w:pPr>
      <w:r w:rsidRPr="006166CC">
        <w:rPr>
          <w:rFonts w:ascii="Times New Roman" w:hAnsi="Times New Roman" w:cs="Times New Roman"/>
          <w:b/>
          <w:noProof/>
          <w:sz w:val="24"/>
          <w:szCs w:val="24"/>
          <w:lang w:val="lv-LV" w:eastAsia="lv-LV"/>
        </w:rPr>
        <mc:AlternateContent>
          <mc:Choice Requires="wps">
            <w:drawing>
              <wp:anchor distT="0" distB="0" distL="114300" distR="114300" simplePos="0" relativeHeight="251669504" behindDoc="0" locked="0" layoutInCell="1" allowOverlap="1" wp14:anchorId="2807DF49" wp14:editId="510DB5FB">
                <wp:simplePos x="0" y="0"/>
                <wp:positionH relativeFrom="column">
                  <wp:posOffset>635</wp:posOffset>
                </wp:positionH>
                <wp:positionV relativeFrom="paragraph">
                  <wp:posOffset>3817758</wp:posOffset>
                </wp:positionV>
                <wp:extent cx="1590260" cy="298423"/>
                <wp:effectExtent l="0" t="0" r="0" b="698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260" cy="298423"/>
                        </a:xfrm>
                        <a:prstGeom prst="rect">
                          <a:avLst/>
                        </a:prstGeom>
                        <a:solidFill>
                          <a:srgbClr val="FFFFFF"/>
                        </a:solidFill>
                        <a:ln w="9525">
                          <a:noFill/>
                          <a:miter lim="800000"/>
                          <a:headEnd/>
                          <a:tailEnd/>
                        </a:ln>
                      </wps:spPr>
                      <wps:txbx>
                        <w:txbxContent>
                          <w:p w14:paraId="37742C62" w14:textId="77777777" w:rsidR="00D5124A" w:rsidRPr="00DC5CAD" w:rsidRDefault="00D5124A" w:rsidP="00DC5CAD">
                            <w:pPr>
                              <w:rPr>
                                <w:i/>
                                <w:lang w:val="lv-LV"/>
                              </w:rPr>
                            </w:pPr>
                            <w:r>
                              <w:rPr>
                                <w:i/>
                                <w:lang w:val="lv-LV"/>
                              </w:rPr>
                              <w:t>Attēls Nr.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5pt;margin-top:300.6pt;width:125.2pt;height:2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" stroked="f">
                <v:textbox>
                  <w:txbxContent>
                    <w:p w14:paraId="37742C62" w14:textId="77777777" w:rsidR="00D5124A" w:rsidRPr="00DC5CAD" w:rsidRDefault="00D5124A" w:rsidP="00DC5CAD">
                      <w:pPr>
                        <w:rPr>
                          <w:i/>
                          <w:lang w:val="lv-LV"/>
                        </w:rPr>
                      </w:pPr>
                      <w:r>
                        <w:rPr>
                          <w:i/>
                          <w:lang w:val="lv-LV"/>
                        </w:rPr>
                        <w:t>Attēls Nr. 1</w:t>
                      </w:r>
                    </w:p>
                  </w:txbxContent>
                </v:textbox>
              </v:shape>
            </w:pict>
          </mc:Fallback>
        </mc:AlternateContent>
      </w:r>
      <w:r w:rsidR="00F14E25" w:rsidRPr="006166CC">
        <w:rPr>
          <w:rFonts w:ascii="Times New Roman" w:hAnsi="Times New Roman" w:cs="Times New Roman"/>
          <w:b/>
          <w:noProof/>
          <w:sz w:val="24"/>
          <w:szCs w:val="24"/>
          <w:lang w:val="lv-LV" w:eastAsia="lv-LV"/>
        </w:rPr>
        <mc:AlternateContent>
          <mc:Choice Requires="wps">
            <w:drawing>
              <wp:anchor distT="0" distB="0" distL="114300" distR="114300" simplePos="0" relativeHeight="251667456" behindDoc="0" locked="0" layoutInCell="1" allowOverlap="1" wp14:anchorId="160B3C72" wp14:editId="481AA839">
                <wp:simplePos x="0" y="0"/>
                <wp:positionH relativeFrom="column">
                  <wp:posOffset>4206240</wp:posOffset>
                </wp:positionH>
                <wp:positionV relativeFrom="paragraph">
                  <wp:posOffset>3791026</wp:posOffset>
                </wp:positionV>
                <wp:extent cx="1645920" cy="314554"/>
                <wp:effectExtent l="0" t="0" r="0"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314554"/>
                        </a:xfrm>
                        <a:prstGeom prst="rect">
                          <a:avLst/>
                        </a:prstGeom>
                        <a:solidFill>
                          <a:srgbClr val="FFFFFF"/>
                        </a:solidFill>
                        <a:ln w="9525">
                          <a:noFill/>
                          <a:miter lim="800000"/>
                          <a:headEnd/>
                          <a:tailEnd/>
                        </a:ln>
                      </wps:spPr>
                      <wps:txbx>
                        <w:txbxContent>
                          <w:p w14:paraId="2AF0CB34" w14:textId="77777777" w:rsidR="00D5124A" w:rsidRPr="00802E7B" w:rsidRDefault="00D5124A" w:rsidP="00F14E25">
                            <w:pPr>
                              <w:jc w:val="center"/>
                              <w:rPr>
                                <w:i/>
                              </w:rPr>
                            </w:pPr>
                            <w:r w:rsidRPr="00802E7B">
                              <w:rPr>
                                <w:i/>
                              </w:rPr>
                              <w:t>Avots: Bloomberg, 2016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31.2pt;margin-top:298.5pt;width:129.6pt;height:2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" stroked="f">
                <v:textbox>
                  <w:txbxContent>
                    <w:p w14:paraId="2AF0CB34" w14:textId="77777777" w:rsidR="00D5124A" w:rsidRPr="00802E7B" w:rsidRDefault="00D5124A" w:rsidP="00F14E25">
                      <w:pPr>
                        <w:jc w:val="center"/>
                        <w:rPr>
                          <w:i/>
                        </w:rPr>
                      </w:pPr>
                      <w:r w:rsidRPr="00802E7B">
                        <w:rPr>
                          <w:i/>
                        </w:rPr>
                        <w:t>Avots: Bloomberg, 2016</w:t>
                      </w:r>
                    </w:p>
                  </w:txbxContent>
                </v:textbox>
              </v:shape>
            </w:pict>
          </mc:Fallback>
        </mc:AlternateContent>
      </w:r>
      <w:r w:rsidR="00F14E25" w:rsidRPr="006166CC">
        <w:rPr>
          <w:rFonts w:ascii="Times New Roman" w:hAnsi="Times New Roman" w:cs="Times New Roman"/>
          <w:noProof/>
          <w:sz w:val="24"/>
          <w:szCs w:val="24"/>
          <w:lang w:val="lv-LV" w:eastAsia="lv-LV"/>
        </w:rPr>
        <w:drawing>
          <wp:inline distT="0" distB="0" distL="0" distR="0" wp14:anchorId="41B45F22" wp14:editId="3FB27FAE">
            <wp:extent cx="5852160" cy="3785639"/>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54102" cy="3786895"/>
                    </a:xfrm>
                    <a:prstGeom prst="rect">
                      <a:avLst/>
                    </a:prstGeom>
                    <a:noFill/>
                  </pic:spPr>
                </pic:pic>
              </a:graphicData>
            </a:graphic>
          </wp:inline>
        </w:drawing>
      </w:r>
      <w:r w:rsidR="00D2514C" w:rsidRPr="006166CC">
        <w:rPr>
          <w:rFonts w:ascii="Times New Roman" w:hAnsi="Times New Roman" w:cs="Times New Roman"/>
          <w:sz w:val="24"/>
          <w:szCs w:val="24"/>
          <w:lang w:val="lv-LV"/>
        </w:rPr>
        <w:br/>
      </w:r>
    </w:p>
    <w:p w14:paraId="1CB4A31A" w14:textId="77777777" w:rsidR="000A62D0" w:rsidRPr="006166CC" w:rsidRDefault="000A62D0" w:rsidP="00D14348">
      <w:pPr>
        <w:rPr>
          <w:rFonts w:ascii="Times New Roman" w:hAnsi="Times New Roman" w:cs="Times New Roman"/>
          <w:sz w:val="24"/>
          <w:szCs w:val="24"/>
          <w:lang w:val="lv-LV"/>
        </w:rPr>
      </w:pPr>
      <w:bookmarkStart w:id="3" w:name="_Toc482934307"/>
      <w:bookmarkStart w:id="4" w:name="_Toc482937018"/>
      <w:r w:rsidRPr="006166CC">
        <w:rPr>
          <w:rFonts w:ascii="Times New Roman" w:hAnsi="Times New Roman" w:cs="Times New Roman"/>
          <w:sz w:val="24"/>
          <w:szCs w:val="24"/>
          <w:lang w:val="lv-LV"/>
        </w:rPr>
        <w:lastRenderedPageBreak/>
        <w:t xml:space="preserve">Latvijas kapitāla tirgus attīstību raksturo: </w:t>
      </w:r>
    </w:p>
    <w:p w14:paraId="58E1D4A4" w14:textId="1C3C2652" w:rsidR="009901AC" w:rsidRPr="006166CC" w:rsidRDefault="002711D4" w:rsidP="00EA3BA7">
      <w:pPr>
        <w:jc w:val="both"/>
        <w:rPr>
          <w:rFonts w:ascii="Times New Roman" w:hAnsi="Times New Roman" w:cs="Times New Roman"/>
          <w:sz w:val="24"/>
          <w:szCs w:val="24"/>
          <w:lang w:val="lv-LV"/>
        </w:rPr>
      </w:pPr>
      <w:r w:rsidRPr="006166CC">
        <w:rPr>
          <w:rFonts w:ascii="Times New Roman" w:hAnsi="Times New Roman" w:cs="Times New Roman"/>
          <w:b/>
          <w:sz w:val="24"/>
          <w:szCs w:val="24"/>
          <w:lang w:val="lv-LV"/>
        </w:rPr>
        <w:t>Neliels kotēto uzņēmumu skaits</w:t>
      </w:r>
      <w:bookmarkEnd w:id="3"/>
      <w:bookmarkEnd w:id="4"/>
      <w:r w:rsidR="0077198E" w:rsidRPr="006166CC">
        <w:rPr>
          <w:rFonts w:ascii="Times New Roman" w:hAnsi="Times New Roman" w:cs="Times New Roman"/>
          <w:b/>
          <w:sz w:val="24"/>
          <w:szCs w:val="24"/>
          <w:lang w:val="lv-LV"/>
        </w:rPr>
        <w:t>.</w:t>
      </w:r>
      <w:r w:rsidR="0077198E" w:rsidRPr="006166CC">
        <w:rPr>
          <w:rFonts w:ascii="Times New Roman" w:hAnsi="Times New Roman" w:cs="Times New Roman"/>
          <w:sz w:val="24"/>
          <w:szCs w:val="24"/>
          <w:lang w:val="lv-LV"/>
        </w:rPr>
        <w:t xml:space="preserve"> </w:t>
      </w:r>
      <w:r w:rsidR="00F529EC" w:rsidRPr="006166CC">
        <w:rPr>
          <w:rFonts w:ascii="Times New Roman" w:hAnsi="Times New Roman" w:cs="Times New Roman"/>
          <w:sz w:val="24"/>
          <w:szCs w:val="24"/>
          <w:lang w:val="lv-LV"/>
        </w:rPr>
        <w:t xml:space="preserve">2016. gadā biržā savas akcijas </w:t>
      </w:r>
      <w:r w:rsidR="00460A3E" w:rsidRPr="006166CC">
        <w:rPr>
          <w:rFonts w:ascii="Times New Roman" w:hAnsi="Times New Roman" w:cs="Times New Roman"/>
          <w:sz w:val="24"/>
          <w:szCs w:val="24"/>
          <w:lang w:val="lv-LV"/>
        </w:rPr>
        <w:t xml:space="preserve">iekļāva </w:t>
      </w:r>
      <w:r w:rsidR="00281B98" w:rsidRPr="006166CC">
        <w:rPr>
          <w:rFonts w:ascii="Times New Roman" w:hAnsi="Times New Roman" w:cs="Times New Roman"/>
          <w:sz w:val="24"/>
          <w:szCs w:val="24"/>
          <w:lang w:val="lv-LV"/>
        </w:rPr>
        <w:t>AS “</w:t>
      </w:r>
      <w:r w:rsidR="00F529EC" w:rsidRPr="006166CC">
        <w:rPr>
          <w:rFonts w:ascii="Times New Roman" w:hAnsi="Times New Roman" w:cs="Times New Roman"/>
          <w:sz w:val="24"/>
          <w:szCs w:val="24"/>
          <w:lang w:val="lv-LV"/>
        </w:rPr>
        <w:t>HansaMatrix</w:t>
      </w:r>
      <w:r w:rsidR="00281B98" w:rsidRPr="006166CC">
        <w:rPr>
          <w:rFonts w:ascii="Times New Roman" w:hAnsi="Times New Roman" w:cs="Times New Roman"/>
          <w:sz w:val="24"/>
          <w:szCs w:val="24"/>
          <w:lang w:val="lv-LV"/>
        </w:rPr>
        <w:t>”</w:t>
      </w:r>
      <w:r w:rsidR="00F529EC" w:rsidRPr="006166CC">
        <w:rPr>
          <w:rFonts w:ascii="Times New Roman" w:hAnsi="Times New Roman" w:cs="Times New Roman"/>
          <w:sz w:val="24"/>
          <w:szCs w:val="24"/>
          <w:lang w:val="lv-LV"/>
        </w:rPr>
        <w:t xml:space="preserve">, kas bija pirmais uzņēmums pēc </w:t>
      </w:r>
      <w:r w:rsidR="002F2955" w:rsidRPr="006166CC">
        <w:rPr>
          <w:rFonts w:ascii="Times New Roman" w:hAnsi="Times New Roman" w:cs="Times New Roman"/>
          <w:sz w:val="24"/>
          <w:szCs w:val="24"/>
          <w:lang w:val="lv-LV"/>
        </w:rPr>
        <w:t>12 gadu</w:t>
      </w:r>
      <w:r w:rsidR="00F529EC" w:rsidRPr="006166CC">
        <w:rPr>
          <w:rFonts w:ascii="Times New Roman" w:hAnsi="Times New Roman" w:cs="Times New Roman"/>
          <w:color w:val="FF0000"/>
          <w:sz w:val="24"/>
          <w:szCs w:val="24"/>
          <w:lang w:val="lv-LV"/>
        </w:rPr>
        <w:t xml:space="preserve"> </w:t>
      </w:r>
      <w:r w:rsidR="00F529EC" w:rsidRPr="006166CC">
        <w:rPr>
          <w:rFonts w:ascii="Times New Roman" w:hAnsi="Times New Roman" w:cs="Times New Roman"/>
          <w:sz w:val="24"/>
          <w:szCs w:val="24"/>
          <w:lang w:val="lv-LV"/>
        </w:rPr>
        <w:t xml:space="preserve">pauzes. </w:t>
      </w:r>
      <w:r w:rsidR="0083571B" w:rsidRPr="006166CC">
        <w:rPr>
          <w:rFonts w:ascii="Times New Roman" w:hAnsi="Times New Roman" w:cs="Times New Roman"/>
          <w:sz w:val="24"/>
          <w:szCs w:val="24"/>
          <w:lang w:val="lv-LV"/>
        </w:rPr>
        <w:t xml:space="preserve">2017.gadā biržā ienāca </w:t>
      </w:r>
      <w:r w:rsidR="00634B3D" w:rsidRPr="006166CC">
        <w:rPr>
          <w:rFonts w:ascii="Times New Roman" w:hAnsi="Times New Roman" w:cs="Times New Roman"/>
          <w:sz w:val="24"/>
          <w:szCs w:val="24"/>
          <w:lang w:val="lv-LV"/>
        </w:rPr>
        <w:t xml:space="preserve">viens jauns akciju emitents </w:t>
      </w:r>
      <w:r w:rsidR="00281B98" w:rsidRPr="006166CC">
        <w:rPr>
          <w:rFonts w:ascii="Times New Roman" w:hAnsi="Times New Roman" w:cs="Times New Roman"/>
          <w:sz w:val="24"/>
          <w:szCs w:val="24"/>
          <w:lang w:val="lv-LV"/>
        </w:rPr>
        <w:t>AS “</w:t>
      </w:r>
      <w:r w:rsidR="0083571B" w:rsidRPr="006166CC">
        <w:rPr>
          <w:rFonts w:ascii="Times New Roman" w:hAnsi="Times New Roman" w:cs="Times New Roman"/>
          <w:sz w:val="24"/>
          <w:szCs w:val="24"/>
          <w:lang w:val="lv-LV"/>
        </w:rPr>
        <w:t>MADARA COSMETICS</w:t>
      </w:r>
      <w:r w:rsidR="00281B98" w:rsidRPr="006166CC">
        <w:rPr>
          <w:rFonts w:ascii="Times New Roman" w:hAnsi="Times New Roman" w:cs="Times New Roman"/>
          <w:sz w:val="24"/>
          <w:szCs w:val="24"/>
          <w:lang w:val="lv-LV"/>
        </w:rPr>
        <w:t>”</w:t>
      </w:r>
      <w:r w:rsidR="0083571B" w:rsidRPr="006166CC">
        <w:rPr>
          <w:rFonts w:ascii="Times New Roman" w:hAnsi="Times New Roman" w:cs="Times New Roman"/>
          <w:sz w:val="24"/>
          <w:szCs w:val="24"/>
          <w:lang w:val="lv-LV"/>
        </w:rPr>
        <w:t xml:space="preserve">. </w:t>
      </w:r>
      <w:r w:rsidR="00D14348" w:rsidRPr="006166CC">
        <w:rPr>
          <w:rFonts w:ascii="Times New Roman" w:hAnsi="Times New Roman" w:cs="Times New Roman"/>
          <w:sz w:val="24"/>
          <w:szCs w:val="24"/>
          <w:lang w:val="lv-LV"/>
        </w:rPr>
        <w:t>Ņemot vērā, ka kot</w:t>
      </w:r>
      <w:r w:rsidR="00DF5120" w:rsidRPr="006166CC">
        <w:rPr>
          <w:rFonts w:ascii="Times New Roman" w:hAnsi="Times New Roman" w:cs="Times New Roman"/>
          <w:sz w:val="24"/>
          <w:szCs w:val="24"/>
          <w:lang w:val="lv-LV"/>
        </w:rPr>
        <w:t xml:space="preserve">ēto </w:t>
      </w:r>
      <w:r w:rsidR="0003663A" w:rsidRPr="006166CC">
        <w:rPr>
          <w:rFonts w:ascii="Times New Roman" w:hAnsi="Times New Roman" w:cs="Times New Roman"/>
          <w:sz w:val="24"/>
          <w:szCs w:val="24"/>
          <w:lang w:val="lv-LV"/>
        </w:rPr>
        <w:t>uzņēmumu daudzums ir neliels -</w:t>
      </w:r>
      <w:r w:rsidR="00C67123" w:rsidRPr="006166CC">
        <w:rPr>
          <w:rFonts w:ascii="Times New Roman" w:hAnsi="Times New Roman" w:cs="Times New Roman"/>
          <w:sz w:val="24"/>
          <w:szCs w:val="24"/>
          <w:lang w:val="lv-LV"/>
        </w:rPr>
        <w:t xml:space="preserve"> 24</w:t>
      </w:r>
      <w:r w:rsidR="00DF5120" w:rsidRPr="006166CC">
        <w:rPr>
          <w:rFonts w:ascii="Times New Roman" w:hAnsi="Times New Roman" w:cs="Times New Roman"/>
          <w:sz w:val="24"/>
          <w:szCs w:val="24"/>
          <w:lang w:val="lv-LV"/>
        </w:rPr>
        <w:t xml:space="preserve"> kompānijas</w:t>
      </w:r>
      <w:r w:rsidR="00DF5120" w:rsidRPr="006166CC">
        <w:rPr>
          <w:rStyle w:val="FootnoteReference"/>
          <w:rFonts w:ascii="Times New Roman" w:hAnsi="Times New Roman" w:cs="Times New Roman"/>
          <w:sz w:val="24"/>
          <w:szCs w:val="24"/>
          <w:lang w:val="lv-LV"/>
        </w:rPr>
        <w:footnoteReference w:id="2"/>
      </w:r>
      <w:r w:rsidR="00D14348" w:rsidRPr="006166CC">
        <w:rPr>
          <w:rFonts w:ascii="Times New Roman" w:hAnsi="Times New Roman" w:cs="Times New Roman"/>
          <w:sz w:val="24"/>
          <w:szCs w:val="24"/>
          <w:lang w:val="lv-LV"/>
        </w:rPr>
        <w:t>, a</w:t>
      </w:r>
      <w:r w:rsidR="003D5FBE" w:rsidRPr="006166CC">
        <w:rPr>
          <w:rFonts w:ascii="Times New Roman" w:hAnsi="Times New Roman" w:cs="Times New Roman"/>
          <w:sz w:val="24"/>
          <w:szCs w:val="24"/>
          <w:lang w:val="lv-LV"/>
        </w:rPr>
        <w:t xml:space="preserve">kciju tirgus kapitalizācija Latvijā ir </w:t>
      </w:r>
      <w:r w:rsidR="00D14348" w:rsidRPr="006166CC">
        <w:rPr>
          <w:rFonts w:ascii="Times New Roman" w:hAnsi="Times New Roman" w:cs="Times New Roman"/>
          <w:sz w:val="24"/>
          <w:szCs w:val="24"/>
          <w:lang w:val="lv-LV"/>
        </w:rPr>
        <w:t>tikai</w:t>
      </w:r>
      <w:r w:rsidR="003D5FBE" w:rsidRPr="006166CC">
        <w:rPr>
          <w:rFonts w:ascii="Times New Roman" w:hAnsi="Times New Roman" w:cs="Times New Roman"/>
          <w:sz w:val="24"/>
          <w:szCs w:val="24"/>
          <w:lang w:val="lv-LV"/>
        </w:rPr>
        <w:t xml:space="preserve"> </w:t>
      </w:r>
      <w:r w:rsidR="001A6FAC" w:rsidRPr="006166CC">
        <w:rPr>
          <w:rFonts w:ascii="Times New Roman" w:hAnsi="Times New Roman" w:cs="Times New Roman"/>
          <w:sz w:val="24"/>
          <w:szCs w:val="24"/>
          <w:lang w:val="lv-LV"/>
        </w:rPr>
        <w:t>0</w:t>
      </w:r>
      <w:r w:rsidR="000676EC" w:rsidRPr="006166CC">
        <w:rPr>
          <w:rFonts w:ascii="Times New Roman" w:hAnsi="Times New Roman" w:cs="Times New Roman"/>
          <w:sz w:val="24"/>
          <w:szCs w:val="24"/>
          <w:lang w:val="lv-LV"/>
        </w:rPr>
        <w:t>.</w:t>
      </w:r>
      <w:r w:rsidR="001A6FAC" w:rsidRPr="006166CC">
        <w:rPr>
          <w:rFonts w:ascii="Times New Roman" w:hAnsi="Times New Roman" w:cs="Times New Roman"/>
          <w:sz w:val="24"/>
          <w:szCs w:val="24"/>
          <w:lang w:val="lv-LV"/>
        </w:rPr>
        <w:t>8 miljardi</w:t>
      </w:r>
      <w:r w:rsidR="003D5FBE" w:rsidRPr="006166CC">
        <w:rPr>
          <w:rFonts w:ascii="Times New Roman" w:hAnsi="Times New Roman" w:cs="Times New Roman"/>
          <w:sz w:val="24"/>
          <w:szCs w:val="24"/>
          <w:lang w:val="lv-LV"/>
        </w:rPr>
        <w:t xml:space="preserve"> eiro. </w:t>
      </w:r>
      <w:r w:rsidRPr="006166CC">
        <w:rPr>
          <w:rFonts w:ascii="Times New Roman" w:hAnsi="Times New Roman" w:cs="Times New Roman"/>
          <w:sz w:val="24"/>
          <w:szCs w:val="24"/>
          <w:lang w:val="lv-LV"/>
        </w:rPr>
        <w:t>Salīdzinājumu ar citām valstīm sk</w:t>
      </w:r>
      <w:r w:rsidR="0095168D" w:rsidRPr="006166CC">
        <w:rPr>
          <w:rFonts w:ascii="Times New Roman" w:hAnsi="Times New Roman" w:cs="Times New Roman"/>
          <w:sz w:val="24"/>
          <w:szCs w:val="24"/>
          <w:lang w:val="lv-LV"/>
        </w:rPr>
        <w:t xml:space="preserve">atīt pielikumā. (Pielikums Nr. </w:t>
      </w:r>
      <w:r w:rsidR="00FB783C" w:rsidRPr="006166CC">
        <w:rPr>
          <w:rFonts w:ascii="Times New Roman" w:hAnsi="Times New Roman" w:cs="Times New Roman"/>
          <w:sz w:val="24"/>
          <w:szCs w:val="24"/>
          <w:lang w:val="lv-LV"/>
        </w:rPr>
        <w:t>1</w:t>
      </w:r>
      <w:r w:rsidRPr="006166CC">
        <w:rPr>
          <w:rFonts w:ascii="Times New Roman" w:hAnsi="Times New Roman" w:cs="Times New Roman"/>
          <w:sz w:val="24"/>
          <w:szCs w:val="24"/>
          <w:lang w:val="lv-LV"/>
        </w:rPr>
        <w:t>)</w:t>
      </w:r>
    </w:p>
    <w:p w14:paraId="6AA77A42" w14:textId="3A1A8F1B" w:rsidR="00311177" w:rsidRPr="006166CC" w:rsidRDefault="00311177" w:rsidP="00EA3BA7">
      <w:pPr>
        <w:jc w:val="both"/>
        <w:rPr>
          <w:rFonts w:ascii="Times New Roman" w:hAnsi="Times New Roman" w:cs="Times New Roman"/>
          <w:sz w:val="24"/>
          <w:szCs w:val="24"/>
          <w:lang w:val="lv-LV"/>
        </w:rPr>
      </w:pPr>
      <w:bookmarkStart w:id="5" w:name="_Toc482934308"/>
      <w:bookmarkStart w:id="6" w:name="_Toc482937019"/>
      <w:r w:rsidRPr="006166CC">
        <w:rPr>
          <w:rFonts w:ascii="Times New Roman" w:hAnsi="Times New Roman" w:cs="Times New Roman"/>
          <w:b/>
          <w:bCs/>
          <w:sz w:val="24"/>
          <w:szCs w:val="24"/>
          <w:lang w:val="lv-LV"/>
        </w:rPr>
        <w:t>Zems akciju tirdzniecības apgrozījums biržā</w:t>
      </w:r>
      <w:bookmarkEnd w:id="5"/>
      <w:bookmarkEnd w:id="6"/>
      <w:r w:rsidR="0077198E" w:rsidRPr="006166CC">
        <w:rPr>
          <w:rFonts w:ascii="Times New Roman" w:hAnsi="Times New Roman" w:cs="Times New Roman"/>
          <w:b/>
          <w:bCs/>
          <w:sz w:val="24"/>
          <w:szCs w:val="24"/>
          <w:lang w:val="lv-LV"/>
        </w:rPr>
        <w:t>.</w:t>
      </w:r>
      <w:r w:rsidR="0077198E" w:rsidRPr="006166CC">
        <w:rPr>
          <w:rFonts w:ascii="Times New Roman" w:hAnsi="Times New Roman" w:cs="Times New Roman"/>
          <w:sz w:val="24"/>
          <w:szCs w:val="24"/>
          <w:lang w:val="lv-LV"/>
        </w:rPr>
        <w:t xml:space="preserve"> </w:t>
      </w:r>
      <w:r w:rsidR="00B61E02" w:rsidRPr="006166CC">
        <w:rPr>
          <w:rFonts w:ascii="Times New Roman" w:hAnsi="Times New Roman" w:cs="Times New Roman"/>
          <w:sz w:val="24"/>
          <w:szCs w:val="24"/>
          <w:lang w:val="lv-LV"/>
        </w:rPr>
        <w:t>2016. gadā</w:t>
      </w:r>
      <w:r w:rsidRPr="006166CC">
        <w:rPr>
          <w:rFonts w:ascii="Times New Roman" w:hAnsi="Times New Roman" w:cs="Times New Roman"/>
          <w:sz w:val="24"/>
          <w:szCs w:val="24"/>
          <w:lang w:val="lv-LV"/>
        </w:rPr>
        <w:t xml:space="preserve"> Latvijā</w:t>
      </w:r>
      <w:r w:rsidR="009901AC" w:rsidRPr="006166CC">
        <w:rPr>
          <w:rFonts w:ascii="Times New Roman" w:hAnsi="Times New Roman" w:cs="Times New Roman"/>
          <w:sz w:val="24"/>
          <w:szCs w:val="24"/>
          <w:lang w:val="lv-LV"/>
        </w:rPr>
        <w:t xml:space="preserve"> vidēji dienā tas bija 50 tūkstoši eiro,</w:t>
      </w:r>
      <w:r w:rsidR="00740DD6" w:rsidRPr="006166CC">
        <w:rPr>
          <w:rFonts w:ascii="Times New Roman" w:hAnsi="Times New Roman" w:cs="Times New Roman"/>
          <w:sz w:val="24"/>
          <w:szCs w:val="24"/>
          <w:lang w:val="lv-LV"/>
        </w:rPr>
        <w:t xml:space="preserve"> </w:t>
      </w:r>
      <w:r w:rsidR="009901AC" w:rsidRPr="006166CC">
        <w:rPr>
          <w:rFonts w:ascii="Times New Roman" w:hAnsi="Times New Roman" w:cs="Times New Roman"/>
          <w:sz w:val="24"/>
          <w:szCs w:val="24"/>
          <w:lang w:val="lv-LV"/>
        </w:rPr>
        <w:t>salīdzinot ar 630 tūksto</w:t>
      </w:r>
      <w:r w:rsidR="002F7B34" w:rsidRPr="006166CC">
        <w:rPr>
          <w:rFonts w:ascii="Times New Roman" w:hAnsi="Times New Roman" w:cs="Times New Roman"/>
          <w:sz w:val="24"/>
          <w:szCs w:val="24"/>
          <w:lang w:val="lv-LV"/>
        </w:rPr>
        <w:t>šiem</w:t>
      </w:r>
      <w:r w:rsidR="009C5F45" w:rsidRPr="006166CC">
        <w:rPr>
          <w:rFonts w:ascii="Times New Roman" w:hAnsi="Times New Roman" w:cs="Times New Roman"/>
          <w:sz w:val="24"/>
          <w:szCs w:val="24"/>
          <w:lang w:val="lv-LV"/>
        </w:rPr>
        <w:t xml:space="preserve"> eiro</w:t>
      </w:r>
      <w:r w:rsidR="002F7B34" w:rsidRPr="006166CC">
        <w:rPr>
          <w:rFonts w:ascii="Times New Roman" w:hAnsi="Times New Roman" w:cs="Times New Roman"/>
          <w:sz w:val="24"/>
          <w:szCs w:val="24"/>
          <w:lang w:val="lv-LV"/>
        </w:rPr>
        <w:t xml:space="preserve"> Igaunijā, 350 tūkstošiem</w:t>
      </w:r>
      <w:r w:rsidR="009C5F45" w:rsidRPr="006166CC">
        <w:rPr>
          <w:rFonts w:ascii="Times New Roman" w:hAnsi="Times New Roman" w:cs="Times New Roman"/>
          <w:sz w:val="24"/>
          <w:szCs w:val="24"/>
          <w:lang w:val="lv-LV"/>
        </w:rPr>
        <w:t xml:space="preserve"> eiro</w:t>
      </w:r>
      <w:r w:rsidR="002F7B34" w:rsidRPr="006166CC">
        <w:rPr>
          <w:rFonts w:ascii="Times New Roman" w:hAnsi="Times New Roman" w:cs="Times New Roman"/>
          <w:sz w:val="24"/>
          <w:szCs w:val="24"/>
          <w:lang w:val="lv-LV"/>
        </w:rPr>
        <w:t xml:space="preserve"> Lietuvā</w:t>
      </w:r>
      <w:r w:rsidR="006C4506" w:rsidRPr="006166CC">
        <w:rPr>
          <w:rStyle w:val="FootnoteReference"/>
          <w:rFonts w:ascii="Times New Roman" w:hAnsi="Times New Roman" w:cs="Times New Roman"/>
          <w:sz w:val="24"/>
          <w:szCs w:val="24"/>
          <w:lang w:val="lv-LV"/>
        </w:rPr>
        <w:footnoteReference w:id="3"/>
      </w:r>
      <w:r w:rsidR="009901AC" w:rsidRPr="006166CC">
        <w:rPr>
          <w:rFonts w:ascii="Times New Roman" w:hAnsi="Times New Roman" w:cs="Times New Roman"/>
          <w:sz w:val="24"/>
          <w:szCs w:val="24"/>
          <w:lang w:val="lv-LV"/>
        </w:rPr>
        <w:t xml:space="preserve"> </w:t>
      </w:r>
      <w:r w:rsidR="002F7B34" w:rsidRPr="006166CC">
        <w:rPr>
          <w:rFonts w:ascii="Times New Roman" w:hAnsi="Times New Roman" w:cs="Times New Roman"/>
          <w:sz w:val="24"/>
          <w:szCs w:val="24"/>
          <w:lang w:val="lv-LV"/>
        </w:rPr>
        <w:t>un teju 20 miljoniem</w:t>
      </w:r>
      <w:r w:rsidR="009C5F45" w:rsidRPr="006166CC">
        <w:rPr>
          <w:rFonts w:ascii="Times New Roman" w:hAnsi="Times New Roman" w:cs="Times New Roman"/>
          <w:sz w:val="24"/>
          <w:szCs w:val="24"/>
          <w:lang w:val="lv-LV"/>
        </w:rPr>
        <w:t xml:space="preserve"> eiro</w:t>
      </w:r>
      <w:r w:rsidR="002F7B34" w:rsidRPr="006166CC">
        <w:rPr>
          <w:rFonts w:ascii="Times New Roman" w:hAnsi="Times New Roman" w:cs="Times New Roman"/>
          <w:sz w:val="24"/>
          <w:szCs w:val="24"/>
          <w:lang w:val="lv-LV"/>
        </w:rPr>
        <w:t xml:space="preserve"> Islandē.</w:t>
      </w:r>
      <w:r w:rsidR="002F7B34" w:rsidRPr="006166CC">
        <w:rPr>
          <w:rStyle w:val="FootnoteReference"/>
          <w:rFonts w:ascii="Times New Roman" w:hAnsi="Times New Roman" w:cs="Times New Roman"/>
          <w:sz w:val="24"/>
          <w:szCs w:val="24"/>
          <w:lang w:val="lv-LV"/>
        </w:rPr>
        <w:footnoteReference w:id="4"/>
      </w:r>
    </w:p>
    <w:p w14:paraId="360A1849" w14:textId="4A96C9D7" w:rsidR="00D17D4C" w:rsidRPr="006166CC" w:rsidRDefault="00311177" w:rsidP="00EA3BA7">
      <w:pPr>
        <w:jc w:val="both"/>
        <w:rPr>
          <w:rFonts w:ascii="Times New Roman" w:hAnsi="Times New Roman" w:cs="Times New Roman"/>
          <w:b/>
          <w:sz w:val="24"/>
          <w:szCs w:val="24"/>
          <w:lang w:val="lv-LV"/>
        </w:rPr>
      </w:pPr>
      <w:bookmarkStart w:id="7" w:name="_Toc482934309"/>
      <w:bookmarkStart w:id="8" w:name="_Toc482937020"/>
      <w:r w:rsidRPr="006166CC">
        <w:rPr>
          <w:rFonts w:ascii="Times New Roman" w:hAnsi="Times New Roman" w:cs="Times New Roman"/>
          <w:b/>
          <w:sz w:val="24"/>
          <w:szCs w:val="24"/>
          <w:lang w:val="lv-LV"/>
        </w:rPr>
        <w:t>Zema likviditāte</w:t>
      </w:r>
      <w:bookmarkEnd w:id="7"/>
      <w:bookmarkEnd w:id="8"/>
      <w:r w:rsidR="0077198E" w:rsidRPr="006166CC">
        <w:rPr>
          <w:rFonts w:ascii="Times New Roman" w:hAnsi="Times New Roman" w:cs="Times New Roman"/>
          <w:b/>
          <w:sz w:val="24"/>
          <w:szCs w:val="24"/>
          <w:lang w:val="lv-LV"/>
        </w:rPr>
        <w:t xml:space="preserve">. </w:t>
      </w:r>
      <w:r w:rsidR="008526E8" w:rsidRPr="006166CC">
        <w:rPr>
          <w:rFonts w:ascii="Times New Roman" w:hAnsi="Times New Roman" w:cs="Times New Roman"/>
          <w:sz w:val="24"/>
          <w:szCs w:val="24"/>
          <w:lang w:val="lv-LV"/>
        </w:rPr>
        <w:t>Likviditāti</w:t>
      </w:r>
      <w:r w:rsidR="00D17D4C" w:rsidRPr="006166CC">
        <w:rPr>
          <w:rFonts w:ascii="Times New Roman" w:hAnsi="Times New Roman" w:cs="Times New Roman"/>
          <w:sz w:val="24"/>
          <w:szCs w:val="24"/>
          <w:lang w:val="lv-LV"/>
        </w:rPr>
        <w:t xml:space="preserve"> </w:t>
      </w:r>
      <w:r w:rsidR="00460A3E" w:rsidRPr="006166CC">
        <w:rPr>
          <w:rFonts w:ascii="Times New Roman" w:hAnsi="Times New Roman" w:cs="Times New Roman"/>
          <w:sz w:val="24"/>
          <w:szCs w:val="24"/>
          <w:lang w:val="lv-LV"/>
        </w:rPr>
        <w:t>mazina</w:t>
      </w:r>
      <w:r w:rsidR="00D17D4C" w:rsidRPr="006166CC">
        <w:rPr>
          <w:rFonts w:ascii="Times New Roman" w:hAnsi="Times New Roman" w:cs="Times New Roman"/>
          <w:sz w:val="24"/>
          <w:szCs w:val="24"/>
          <w:lang w:val="lv-LV"/>
        </w:rPr>
        <w:t xml:space="preserve"> koncentrēta ak</w:t>
      </w:r>
      <w:r w:rsidR="0003663A" w:rsidRPr="006166CC">
        <w:rPr>
          <w:rFonts w:ascii="Times New Roman" w:hAnsi="Times New Roman" w:cs="Times New Roman"/>
          <w:sz w:val="24"/>
          <w:szCs w:val="24"/>
          <w:lang w:val="lv-LV"/>
        </w:rPr>
        <w:t xml:space="preserve">cionāru struktūra </w:t>
      </w:r>
      <w:r w:rsidR="00393D2F" w:rsidRPr="006166CC">
        <w:rPr>
          <w:rFonts w:ascii="Times New Roman" w:hAnsi="Times New Roman" w:cs="Times New Roman"/>
          <w:sz w:val="24"/>
          <w:szCs w:val="24"/>
          <w:lang w:val="lv-LV"/>
        </w:rPr>
        <w:t>kapitālsabiedrībās</w:t>
      </w:r>
      <w:r w:rsidR="0003663A" w:rsidRPr="006166CC">
        <w:rPr>
          <w:rFonts w:ascii="Times New Roman" w:hAnsi="Times New Roman" w:cs="Times New Roman"/>
          <w:sz w:val="24"/>
          <w:szCs w:val="24"/>
          <w:lang w:val="lv-LV"/>
        </w:rPr>
        <w:t>. Tas</w:t>
      </w:r>
      <w:r w:rsidR="00D17D4C" w:rsidRPr="006166CC">
        <w:rPr>
          <w:rFonts w:ascii="Times New Roman" w:hAnsi="Times New Roman" w:cs="Times New Roman"/>
          <w:sz w:val="24"/>
          <w:szCs w:val="24"/>
          <w:lang w:val="lv-LV"/>
        </w:rPr>
        <w:t xml:space="preserve"> nozīmē</w:t>
      </w:r>
      <w:r w:rsidRPr="006166CC">
        <w:rPr>
          <w:rFonts w:ascii="Times New Roman" w:hAnsi="Times New Roman" w:cs="Times New Roman"/>
          <w:sz w:val="24"/>
          <w:szCs w:val="24"/>
          <w:lang w:val="lv-LV"/>
        </w:rPr>
        <w:t>,</w:t>
      </w:r>
      <w:r w:rsidR="00D17D4C" w:rsidRPr="006166CC">
        <w:rPr>
          <w:rFonts w:ascii="Times New Roman" w:hAnsi="Times New Roman" w:cs="Times New Roman"/>
          <w:sz w:val="24"/>
          <w:szCs w:val="24"/>
          <w:lang w:val="lv-LV"/>
        </w:rPr>
        <w:t xml:space="preserve"> ka ir zems brīvā publiskā apgrozībā esošo akciju apjoms.</w:t>
      </w:r>
      <w:r w:rsidR="000A62D0" w:rsidRPr="006166CC">
        <w:rPr>
          <w:rFonts w:ascii="Times New Roman" w:hAnsi="Times New Roman" w:cs="Times New Roman"/>
          <w:sz w:val="24"/>
          <w:szCs w:val="24"/>
          <w:lang w:val="lv-LV"/>
        </w:rPr>
        <w:t xml:space="preserve"> Līdz ar to akciju tirdzniecība otrreizējā tirgū ir neliela.</w:t>
      </w:r>
    </w:p>
    <w:p w14:paraId="3C5267FC" w14:textId="7EE548BE" w:rsidR="00C1036E" w:rsidRPr="006166CC" w:rsidRDefault="008E6036" w:rsidP="00B04D71">
      <w:pPr>
        <w:jc w:val="both"/>
        <w:rPr>
          <w:rFonts w:ascii="Times New Roman" w:hAnsi="Times New Roman" w:cs="Times New Roman"/>
          <w:sz w:val="24"/>
          <w:szCs w:val="24"/>
          <w:lang w:val="lv-LV"/>
        </w:rPr>
      </w:pPr>
      <w:bookmarkStart w:id="9" w:name="_Toc482934310"/>
      <w:bookmarkStart w:id="10" w:name="_Toc482937021"/>
      <w:r w:rsidRPr="006166CC">
        <w:rPr>
          <w:rFonts w:ascii="Times New Roman" w:hAnsi="Times New Roman" w:cs="Times New Roman"/>
          <w:b/>
          <w:sz w:val="24"/>
          <w:szCs w:val="24"/>
          <w:lang w:val="lv-LV"/>
        </w:rPr>
        <w:t xml:space="preserve">Maz </w:t>
      </w:r>
      <w:r w:rsidR="00D17D4C" w:rsidRPr="006166CC">
        <w:rPr>
          <w:rFonts w:ascii="Times New Roman" w:hAnsi="Times New Roman" w:cs="Times New Roman"/>
          <w:b/>
          <w:sz w:val="24"/>
          <w:szCs w:val="24"/>
          <w:lang w:val="lv-LV"/>
        </w:rPr>
        <w:t>insti</w:t>
      </w:r>
      <w:r w:rsidR="008A5EE3" w:rsidRPr="006166CC">
        <w:rPr>
          <w:rFonts w:ascii="Times New Roman" w:hAnsi="Times New Roman" w:cs="Times New Roman"/>
          <w:b/>
          <w:sz w:val="24"/>
          <w:szCs w:val="24"/>
          <w:lang w:val="lv-LV"/>
        </w:rPr>
        <w:t>tucionālo un privāto investoru</w:t>
      </w:r>
      <w:bookmarkEnd w:id="9"/>
      <w:bookmarkEnd w:id="10"/>
      <w:r w:rsidR="0077198E" w:rsidRPr="006166CC">
        <w:rPr>
          <w:rFonts w:ascii="Times New Roman" w:hAnsi="Times New Roman" w:cs="Times New Roman"/>
          <w:b/>
          <w:sz w:val="24"/>
          <w:szCs w:val="24"/>
          <w:lang w:val="lv-LV"/>
        </w:rPr>
        <w:t xml:space="preserve">. </w:t>
      </w:r>
      <w:r w:rsidR="00460A3E" w:rsidRPr="006166CC">
        <w:rPr>
          <w:rFonts w:ascii="Times New Roman" w:hAnsi="Times New Roman" w:cs="Times New Roman"/>
          <w:sz w:val="24"/>
          <w:szCs w:val="24"/>
          <w:lang w:val="lv-LV"/>
        </w:rPr>
        <w:t>Latvijā populārāki ir cita veida ieguldījumi un uzkrājumi</w:t>
      </w:r>
      <w:r w:rsidR="00D17D4C" w:rsidRPr="006166CC">
        <w:rPr>
          <w:rFonts w:ascii="Times New Roman" w:hAnsi="Times New Roman" w:cs="Times New Roman"/>
          <w:sz w:val="24"/>
          <w:szCs w:val="24"/>
          <w:lang w:val="lv-LV"/>
        </w:rPr>
        <w:t>, kas nevei</w:t>
      </w:r>
      <w:r w:rsidR="00E16997" w:rsidRPr="006166CC">
        <w:rPr>
          <w:rFonts w:ascii="Times New Roman" w:hAnsi="Times New Roman" w:cs="Times New Roman"/>
          <w:sz w:val="24"/>
          <w:szCs w:val="24"/>
          <w:lang w:val="lv-LV"/>
        </w:rPr>
        <w:t xml:space="preserve">cina kapitāla tirgus attīstību. Pozitīvi, ka augsta institucionālo investoru aktivitāte bija </w:t>
      </w:r>
      <w:r w:rsidR="000A6B58" w:rsidRPr="006166CC">
        <w:rPr>
          <w:rFonts w:ascii="Times New Roman" w:hAnsi="Times New Roman" w:cs="Times New Roman"/>
          <w:sz w:val="24"/>
          <w:szCs w:val="24"/>
          <w:lang w:val="lv-LV"/>
        </w:rPr>
        <w:t>AS “</w:t>
      </w:r>
      <w:r w:rsidR="00E16997" w:rsidRPr="006166CC">
        <w:rPr>
          <w:rFonts w:ascii="Times New Roman" w:hAnsi="Times New Roman" w:cs="Times New Roman"/>
          <w:sz w:val="24"/>
          <w:szCs w:val="24"/>
          <w:lang w:val="lv-LV"/>
        </w:rPr>
        <w:t>Latvenergo</w:t>
      </w:r>
      <w:r w:rsidR="000A6B58" w:rsidRPr="006166CC">
        <w:rPr>
          <w:rFonts w:ascii="Times New Roman" w:hAnsi="Times New Roman" w:cs="Times New Roman"/>
          <w:sz w:val="24"/>
          <w:szCs w:val="24"/>
          <w:lang w:val="lv-LV"/>
        </w:rPr>
        <w:t>”</w:t>
      </w:r>
      <w:r w:rsidR="00E16997" w:rsidRPr="006166CC">
        <w:rPr>
          <w:rFonts w:ascii="Times New Roman" w:hAnsi="Times New Roman" w:cs="Times New Roman"/>
          <w:sz w:val="24"/>
          <w:szCs w:val="24"/>
          <w:lang w:val="lv-LV"/>
        </w:rPr>
        <w:t xml:space="preserve"> obligāciju emisijā, kas gandrīz pilnā apjomā tika pārdotas tieši profesionālajiem ieguldītājiem, t.sk. </w:t>
      </w:r>
      <w:r w:rsidR="006E6AFA" w:rsidRPr="006166CC">
        <w:rPr>
          <w:rFonts w:ascii="Times New Roman" w:hAnsi="Times New Roman" w:cs="Times New Roman"/>
          <w:sz w:val="24"/>
          <w:szCs w:val="24"/>
          <w:lang w:val="lv-LV"/>
        </w:rPr>
        <w:t xml:space="preserve">Latvijas </w:t>
      </w:r>
      <w:r w:rsidR="00E16997" w:rsidRPr="006166CC">
        <w:rPr>
          <w:rFonts w:ascii="Times New Roman" w:hAnsi="Times New Roman" w:cs="Times New Roman"/>
          <w:sz w:val="24"/>
          <w:szCs w:val="24"/>
          <w:lang w:val="lv-LV"/>
        </w:rPr>
        <w:t xml:space="preserve">pensiju fondiem. </w:t>
      </w:r>
      <w:r w:rsidR="008F1F37" w:rsidRPr="006166CC">
        <w:rPr>
          <w:rFonts w:ascii="Times New Roman" w:hAnsi="Times New Roman" w:cs="Times New Roman"/>
          <w:sz w:val="24"/>
          <w:szCs w:val="24"/>
          <w:lang w:val="lv-LV"/>
        </w:rPr>
        <w:t>Piemēram</w:t>
      </w:r>
      <w:r w:rsidR="00E16997" w:rsidRPr="006166CC">
        <w:rPr>
          <w:rFonts w:ascii="Times New Roman" w:hAnsi="Times New Roman" w:cs="Times New Roman"/>
          <w:sz w:val="24"/>
          <w:szCs w:val="24"/>
          <w:lang w:val="lv-LV"/>
        </w:rPr>
        <w:t xml:space="preserve">, pēdējā “zaļo obligāciju” piedāvājumā 2015. gada jūnijā </w:t>
      </w:r>
      <w:r w:rsidR="000A6B58" w:rsidRPr="006166CC">
        <w:rPr>
          <w:rFonts w:ascii="Times New Roman" w:hAnsi="Times New Roman" w:cs="Times New Roman"/>
          <w:sz w:val="24"/>
          <w:szCs w:val="24"/>
          <w:lang w:val="lv-LV"/>
        </w:rPr>
        <w:t>AS “</w:t>
      </w:r>
      <w:r w:rsidR="00E16997" w:rsidRPr="006166CC">
        <w:rPr>
          <w:rFonts w:ascii="Times New Roman" w:hAnsi="Times New Roman" w:cs="Times New Roman"/>
          <w:sz w:val="24"/>
          <w:szCs w:val="24"/>
          <w:lang w:val="lv-LV"/>
        </w:rPr>
        <w:t>Latvenergo</w:t>
      </w:r>
      <w:r w:rsidR="000A6B58" w:rsidRPr="006166CC">
        <w:rPr>
          <w:rFonts w:ascii="Times New Roman" w:hAnsi="Times New Roman" w:cs="Times New Roman"/>
          <w:sz w:val="24"/>
          <w:szCs w:val="24"/>
          <w:lang w:val="lv-LV"/>
        </w:rPr>
        <w:t>”</w:t>
      </w:r>
      <w:r w:rsidR="00E16997" w:rsidRPr="006166CC">
        <w:rPr>
          <w:rFonts w:ascii="Times New Roman" w:hAnsi="Times New Roman" w:cs="Times New Roman"/>
          <w:sz w:val="24"/>
          <w:szCs w:val="24"/>
          <w:lang w:val="lv-LV"/>
        </w:rPr>
        <w:t xml:space="preserve"> piesaistīja 25 dažādus investorus, tostarp aktīvu pārvaldības fondus, apdrošināšanas sabiedrības un bankas. </w:t>
      </w:r>
      <w:r w:rsidR="000A6B58" w:rsidRPr="006166CC">
        <w:rPr>
          <w:rFonts w:ascii="Times New Roman" w:hAnsi="Times New Roman" w:cs="Times New Roman"/>
          <w:sz w:val="24"/>
          <w:szCs w:val="24"/>
          <w:lang w:val="lv-LV"/>
        </w:rPr>
        <w:t>AS “</w:t>
      </w:r>
      <w:r w:rsidR="00E16997" w:rsidRPr="006166CC">
        <w:rPr>
          <w:rFonts w:ascii="Times New Roman" w:hAnsi="Times New Roman" w:cs="Times New Roman"/>
          <w:sz w:val="24"/>
          <w:szCs w:val="24"/>
          <w:lang w:val="lv-LV"/>
        </w:rPr>
        <w:t>Latvenergo</w:t>
      </w:r>
      <w:r w:rsidR="000A6B58" w:rsidRPr="006166CC">
        <w:rPr>
          <w:rFonts w:ascii="Times New Roman" w:hAnsi="Times New Roman" w:cs="Times New Roman"/>
          <w:sz w:val="24"/>
          <w:szCs w:val="24"/>
          <w:lang w:val="lv-LV"/>
        </w:rPr>
        <w:t>”</w:t>
      </w:r>
      <w:r w:rsidR="00E16997" w:rsidRPr="006166CC">
        <w:rPr>
          <w:rFonts w:ascii="Times New Roman" w:hAnsi="Times New Roman" w:cs="Times New Roman"/>
          <w:sz w:val="24"/>
          <w:szCs w:val="24"/>
          <w:lang w:val="lv-LV"/>
        </w:rPr>
        <w:t xml:space="preserve"> piemērs ir</w:t>
      </w:r>
      <w:r w:rsidR="000551BF" w:rsidRPr="006166CC">
        <w:rPr>
          <w:rFonts w:ascii="Times New Roman" w:hAnsi="Times New Roman" w:cs="Times New Roman"/>
          <w:sz w:val="24"/>
          <w:szCs w:val="24"/>
          <w:lang w:val="lv-LV"/>
        </w:rPr>
        <w:t xml:space="preserve"> pozitīvs un</w:t>
      </w:r>
      <w:r w:rsidR="00E16997" w:rsidRPr="006166CC">
        <w:rPr>
          <w:rFonts w:ascii="Times New Roman" w:hAnsi="Times New Roman" w:cs="Times New Roman"/>
          <w:sz w:val="24"/>
          <w:szCs w:val="24"/>
          <w:lang w:val="lv-LV"/>
        </w:rPr>
        <w:t xml:space="preserve"> </w:t>
      </w:r>
      <w:r w:rsidR="007C04E8" w:rsidRPr="006166CC">
        <w:rPr>
          <w:rFonts w:ascii="Times New Roman" w:hAnsi="Times New Roman" w:cs="Times New Roman"/>
          <w:sz w:val="24"/>
          <w:szCs w:val="24"/>
          <w:lang w:val="lv-LV"/>
        </w:rPr>
        <w:t xml:space="preserve">ir </w:t>
      </w:r>
      <w:r w:rsidR="00E16997" w:rsidRPr="006166CC">
        <w:rPr>
          <w:rFonts w:ascii="Times New Roman" w:hAnsi="Times New Roman" w:cs="Times New Roman"/>
          <w:sz w:val="24"/>
          <w:szCs w:val="24"/>
          <w:lang w:val="lv-LV"/>
        </w:rPr>
        <w:t>nepieciešam</w:t>
      </w:r>
      <w:r w:rsidR="00393D2F" w:rsidRPr="006166CC">
        <w:rPr>
          <w:rFonts w:ascii="Times New Roman" w:hAnsi="Times New Roman" w:cs="Times New Roman"/>
          <w:sz w:val="24"/>
          <w:szCs w:val="24"/>
          <w:lang w:val="lv-LV"/>
        </w:rPr>
        <w:t>as</w:t>
      </w:r>
      <w:r w:rsidR="00E16997" w:rsidRPr="006166CC">
        <w:rPr>
          <w:rFonts w:ascii="Times New Roman" w:hAnsi="Times New Roman" w:cs="Times New Roman"/>
          <w:sz w:val="24"/>
          <w:szCs w:val="24"/>
          <w:lang w:val="lv-LV"/>
        </w:rPr>
        <w:t xml:space="preserve"> v</w:t>
      </w:r>
      <w:r w:rsidR="002C0608" w:rsidRPr="006166CC">
        <w:rPr>
          <w:rFonts w:ascii="Times New Roman" w:hAnsi="Times New Roman" w:cs="Times New Roman"/>
          <w:sz w:val="24"/>
          <w:szCs w:val="24"/>
          <w:lang w:val="lv-LV"/>
        </w:rPr>
        <w:t>airāk</w:t>
      </w:r>
      <w:r w:rsidR="00393D2F" w:rsidRPr="006166CC">
        <w:rPr>
          <w:rFonts w:ascii="Times New Roman" w:hAnsi="Times New Roman" w:cs="Times New Roman"/>
          <w:sz w:val="24"/>
          <w:szCs w:val="24"/>
          <w:lang w:val="lv-LV"/>
        </w:rPr>
        <w:t>as</w:t>
      </w:r>
      <w:r w:rsidR="002C0608" w:rsidRPr="006166CC">
        <w:rPr>
          <w:rFonts w:ascii="Times New Roman" w:hAnsi="Times New Roman" w:cs="Times New Roman"/>
          <w:sz w:val="24"/>
          <w:szCs w:val="24"/>
          <w:lang w:val="lv-LV"/>
        </w:rPr>
        <w:t xml:space="preserve"> šād</w:t>
      </w:r>
      <w:r w:rsidR="00393D2F" w:rsidRPr="006166CC">
        <w:rPr>
          <w:rFonts w:ascii="Times New Roman" w:hAnsi="Times New Roman" w:cs="Times New Roman"/>
          <w:sz w:val="24"/>
          <w:szCs w:val="24"/>
          <w:lang w:val="lv-LV"/>
        </w:rPr>
        <w:t>as</w:t>
      </w:r>
      <w:r w:rsidR="002C0608" w:rsidRPr="006166CC">
        <w:rPr>
          <w:rFonts w:ascii="Times New Roman" w:hAnsi="Times New Roman" w:cs="Times New Roman"/>
          <w:sz w:val="24"/>
          <w:szCs w:val="24"/>
          <w:lang w:val="lv-LV"/>
        </w:rPr>
        <w:t xml:space="preserve"> </w:t>
      </w:r>
      <w:r w:rsidR="00393D2F" w:rsidRPr="006166CC">
        <w:rPr>
          <w:rFonts w:ascii="Times New Roman" w:hAnsi="Times New Roman" w:cs="Times New Roman"/>
          <w:sz w:val="24"/>
          <w:szCs w:val="24"/>
          <w:lang w:val="lv-LV"/>
        </w:rPr>
        <w:t>kapitālsabiedrības</w:t>
      </w:r>
      <w:r w:rsidR="00C0395B" w:rsidRPr="006166CC">
        <w:rPr>
          <w:rFonts w:ascii="Times New Roman" w:hAnsi="Times New Roman" w:cs="Times New Roman"/>
          <w:sz w:val="24"/>
          <w:szCs w:val="24"/>
          <w:lang w:val="lv-LV"/>
        </w:rPr>
        <w:t>.</w:t>
      </w:r>
      <w:bookmarkStart w:id="11" w:name="_Toc482937022"/>
    </w:p>
    <w:p w14:paraId="406C029E" w14:textId="31A5C9AF" w:rsidR="00275468" w:rsidRPr="006166CC" w:rsidRDefault="00B51E92" w:rsidP="00B04D71">
      <w:pPr>
        <w:jc w:val="both"/>
        <w:rPr>
          <w:rFonts w:ascii="Times New Roman" w:hAnsi="Times New Roman" w:cs="Times New Roman"/>
          <w:b/>
          <w:sz w:val="24"/>
          <w:szCs w:val="24"/>
          <w:lang w:val="lv-LV"/>
        </w:rPr>
      </w:pPr>
      <w:r w:rsidRPr="006166CC">
        <w:rPr>
          <w:rFonts w:ascii="Times New Roman" w:hAnsi="Times New Roman" w:cs="Times New Roman"/>
          <w:b/>
          <w:sz w:val="24"/>
          <w:szCs w:val="24"/>
          <w:lang w:val="lv-LV"/>
        </w:rPr>
        <w:t xml:space="preserve">Ievērojami </w:t>
      </w:r>
      <w:r w:rsidR="006C6B2C" w:rsidRPr="006166CC">
        <w:rPr>
          <w:rFonts w:ascii="Times New Roman" w:hAnsi="Times New Roman" w:cs="Times New Roman"/>
          <w:b/>
          <w:sz w:val="24"/>
          <w:szCs w:val="24"/>
          <w:lang w:val="lv-LV"/>
        </w:rPr>
        <w:t>rezidentu mājsaimniecību un privāto nefinanšu sabiedrību</w:t>
      </w:r>
      <w:r w:rsidR="00275468" w:rsidRPr="006166CC">
        <w:rPr>
          <w:rFonts w:ascii="Times New Roman" w:hAnsi="Times New Roman" w:cs="Times New Roman"/>
          <w:b/>
          <w:sz w:val="24"/>
          <w:szCs w:val="24"/>
          <w:lang w:val="lv-LV"/>
        </w:rPr>
        <w:t xml:space="preserve"> naudas līdzekļu uzkrājumi bankās</w:t>
      </w:r>
      <w:bookmarkEnd w:id="11"/>
      <w:r w:rsidR="0077198E" w:rsidRPr="006166CC">
        <w:rPr>
          <w:rFonts w:ascii="Times New Roman" w:hAnsi="Times New Roman" w:cs="Times New Roman"/>
          <w:b/>
          <w:sz w:val="24"/>
          <w:szCs w:val="24"/>
          <w:lang w:val="lv-LV"/>
        </w:rPr>
        <w:t xml:space="preserve">. </w:t>
      </w:r>
      <w:r w:rsidR="006C6B2C" w:rsidRPr="006166CC">
        <w:rPr>
          <w:rFonts w:ascii="Times New Roman" w:hAnsi="Times New Roman" w:cs="Times New Roman"/>
          <w:sz w:val="24"/>
          <w:szCs w:val="24"/>
          <w:lang w:val="lv-LV"/>
        </w:rPr>
        <w:t>Ap</w:t>
      </w:r>
      <w:r w:rsidR="006C6B2C" w:rsidRPr="006166CC">
        <w:rPr>
          <w:rFonts w:ascii="Times New Roman" w:hAnsi="Times New Roman" w:cs="Times New Roman"/>
          <w:b/>
          <w:sz w:val="24"/>
          <w:szCs w:val="24"/>
          <w:lang w:val="lv-LV"/>
        </w:rPr>
        <w:t xml:space="preserve"> </w:t>
      </w:r>
      <w:r w:rsidR="003E5A3B" w:rsidRPr="006166CC">
        <w:rPr>
          <w:rFonts w:ascii="Times New Roman" w:hAnsi="Times New Roman" w:cs="Times New Roman"/>
          <w:sz w:val="24"/>
          <w:szCs w:val="24"/>
          <w:lang w:val="lv-LV"/>
        </w:rPr>
        <w:t>9.</w:t>
      </w:r>
      <w:r w:rsidR="00857030" w:rsidRPr="006166CC">
        <w:rPr>
          <w:rFonts w:ascii="Times New Roman" w:hAnsi="Times New Roman" w:cs="Times New Roman"/>
          <w:sz w:val="24"/>
          <w:szCs w:val="24"/>
          <w:lang w:val="lv-LV"/>
        </w:rPr>
        <w:t xml:space="preserve">9 </w:t>
      </w:r>
      <w:r w:rsidR="00FE4B8F" w:rsidRPr="006166CC">
        <w:rPr>
          <w:rFonts w:ascii="Times New Roman" w:hAnsi="Times New Roman" w:cs="Times New Roman"/>
          <w:sz w:val="24"/>
          <w:szCs w:val="24"/>
          <w:lang w:val="lv-LV"/>
        </w:rPr>
        <w:t>miljardi</w:t>
      </w:r>
      <w:r w:rsidR="006C6B2C" w:rsidRPr="006166CC">
        <w:rPr>
          <w:rFonts w:ascii="Times New Roman" w:hAnsi="Times New Roman" w:cs="Times New Roman"/>
          <w:sz w:val="24"/>
          <w:szCs w:val="24"/>
          <w:lang w:val="lv-LV"/>
        </w:rPr>
        <w:t>em</w:t>
      </w:r>
      <w:r w:rsidR="00FE4B8F" w:rsidRPr="006166CC">
        <w:rPr>
          <w:rFonts w:ascii="Times New Roman" w:hAnsi="Times New Roman" w:cs="Times New Roman"/>
          <w:sz w:val="24"/>
          <w:szCs w:val="24"/>
          <w:lang w:val="lv-LV"/>
        </w:rPr>
        <w:t xml:space="preserve"> eiro </w:t>
      </w:r>
      <w:r w:rsidR="006C6B2C" w:rsidRPr="006166CC">
        <w:rPr>
          <w:rFonts w:ascii="Times New Roman" w:hAnsi="Times New Roman" w:cs="Times New Roman"/>
          <w:sz w:val="24"/>
          <w:szCs w:val="24"/>
          <w:lang w:val="lv-LV"/>
        </w:rPr>
        <w:t xml:space="preserve">rezidentu mājsaimniecību un privāto nefinanšu sabiedrību </w:t>
      </w:r>
      <w:r w:rsidR="00460A3E" w:rsidRPr="006166CC">
        <w:rPr>
          <w:rFonts w:ascii="Times New Roman" w:hAnsi="Times New Roman" w:cs="Times New Roman"/>
          <w:sz w:val="24"/>
          <w:szCs w:val="24"/>
          <w:lang w:val="lv-LV"/>
        </w:rPr>
        <w:t>naudas līdzekļu</w:t>
      </w:r>
      <w:r w:rsidR="00D17D4C" w:rsidRPr="006166CC">
        <w:rPr>
          <w:rFonts w:ascii="Times New Roman" w:hAnsi="Times New Roman" w:cs="Times New Roman"/>
          <w:sz w:val="24"/>
          <w:szCs w:val="24"/>
          <w:lang w:val="lv-LV"/>
        </w:rPr>
        <w:t xml:space="preserve"> </w:t>
      </w:r>
      <w:r w:rsidR="00B55500" w:rsidRPr="006166CC">
        <w:rPr>
          <w:rFonts w:ascii="Times New Roman" w:hAnsi="Times New Roman" w:cs="Times New Roman"/>
          <w:sz w:val="24"/>
          <w:szCs w:val="24"/>
          <w:lang w:val="lv-LV"/>
        </w:rPr>
        <w:t>atrodas uzkrājumos bankās</w:t>
      </w:r>
      <w:r w:rsidR="006C4506" w:rsidRPr="006166CC">
        <w:rPr>
          <w:rFonts w:ascii="Times New Roman" w:hAnsi="Times New Roman" w:cs="Times New Roman"/>
          <w:sz w:val="24"/>
          <w:szCs w:val="24"/>
          <w:lang w:val="lv-LV"/>
        </w:rPr>
        <w:t>,</w:t>
      </w:r>
      <w:r w:rsidR="00FE4B8F" w:rsidRPr="006166CC">
        <w:rPr>
          <w:rStyle w:val="FootnoteReference"/>
          <w:rFonts w:ascii="Times New Roman" w:hAnsi="Times New Roman" w:cs="Times New Roman"/>
          <w:sz w:val="24"/>
          <w:szCs w:val="24"/>
          <w:lang w:val="lv-LV"/>
        </w:rPr>
        <w:footnoteReference w:id="5"/>
      </w:r>
      <w:r w:rsidR="00B55500" w:rsidRPr="006166CC">
        <w:rPr>
          <w:rFonts w:ascii="Times New Roman" w:hAnsi="Times New Roman" w:cs="Times New Roman"/>
          <w:sz w:val="24"/>
          <w:szCs w:val="24"/>
          <w:lang w:val="lv-LV"/>
        </w:rPr>
        <w:t xml:space="preserve"> kur naudas ienesīgums ir </w:t>
      </w:r>
      <w:r w:rsidR="006C6B2C" w:rsidRPr="006166CC">
        <w:rPr>
          <w:rFonts w:ascii="Times New Roman" w:hAnsi="Times New Roman" w:cs="Times New Roman"/>
          <w:sz w:val="24"/>
          <w:szCs w:val="24"/>
          <w:lang w:val="lv-LV"/>
        </w:rPr>
        <w:t>ļoti zems</w:t>
      </w:r>
      <w:r w:rsidR="00B55500" w:rsidRPr="006166CC">
        <w:rPr>
          <w:rFonts w:ascii="Times New Roman" w:hAnsi="Times New Roman" w:cs="Times New Roman"/>
          <w:sz w:val="24"/>
          <w:szCs w:val="24"/>
          <w:lang w:val="lv-LV"/>
        </w:rPr>
        <w:t xml:space="preserve">. </w:t>
      </w:r>
      <w:r w:rsidR="00416A2E" w:rsidRPr="006166CC">
        <w:rPr>
          <w:rFonts w:ascii="Times New Roman" w:hAnsi="Times New Roman" w:cs="Times New Roman"/>
          <w:sz w:val="24"/>
          <w:szCs w:val="24"/>
          <w:lang w:val="lv-LV"/>
        </w:rPr>
        <w:t xml:space="preserve">Saskaņā ar 2017.gadā veikto SKDS pētījumu </w:t>
      </w:r>
      <w:r w:rsidR="00FA3882" w:rsidRPr="006166CC">
        <w:rPr>
          <w:rFonts w:ascii="Times New Roman" w:eastAsia="+mn-ea" w:hAnsi="Times New Roman" w:cs="Times New Roman"/>
          <w:bCs/>
          <w:color w:val="000000"/>
          <w:kern w:val="24"/>
          <w:sz w:val="24"/>
          <w:szCs w:val="24"/>
          <w:lang w:val="lv-LV"/>
        </w:rPr>
        <w:t>d</w:t>
      </w:r>
      <w:r w:rsidR="00416A2E" w:rsidRPr="006166CC">
        <w:rPr>
          <w:rFonts w:ascii="Times New Roman" w:eastAsia="+mn-ea" w:hAnsi="Times New Roman" w:cs="Times New Roman"/>
          <w:bCs/>
          <w:color w:val="000000"/>
          <w:kern w:val="24"/>
          <w:sz w:val="24"/>
          <w:szCs w:val="24"/>
          <w:lang w:val="lv-LV"/>
        </w:rPr>
        <w:t xml:space="preserve">ivas trešdaļas aptaujāto iedzīvotāju (67%) uzskata, ka vajadzētu Latvijas valstij piederošo lielo </w:t>
      </w:r>
      <w:r w:rsidR="006859C1" w:rsidRPr="006166CC">
        <w:rPr>
          <w:rFonts w:ascii="Times New Roman" w:eastAsia="+mn-ea" w:hAnsi="Times New Roman" w:cs="Times New Roman"/>
          <w:bCs/>
          <w:color w:val="000000"/>
          <w:kern w:val="24"/>
          <w:sz w:val="24"/>
          <w:szCs w:val="24"/>
          <w:lang w:val="lv-LV"/>
        </w:rPr>
        <w:t xml:space="preserve">kapitālsabiedrību </w:t>
      </w:r>
      <w:r w:rsidR="00416A2E" w:rsidRPr="006166CC">
        <w:rPr>
          <w:rFonts w:ascii="Times New Roman" w:eastAsia="+mn-ea" w:hAnsi="Times New Roman" w:cs="Times New Roman"/>
          <w:bCs/>
          <w:color w:val="000000"/>
          <w:kern w:val="24"/>
          <w:sz w:val="24"/>
          <w:szCs w:val="24"/>
          <w:lang w:val="lv-LV"/>
        </w:rPr>
        <w:t>akcijas iekļaut biržā (valstij saglabājot kontrolpaketi), lai tās būtu iespējams brīvi iegādāties visiem iedzīvotājiem</w:t>
      </w:r>
      <w:r w:rsidR="00FA3882" w:rsidRPr="006166CC">
        <w:rPr>
          <w:rStyle w:val="FootnoteReference"/>
          <w:rFonts w:ascii="Times New Roman" w:eastAsia="+mn-ea" w:hAnsi="Times New Roman" w:cs="Times New Roman"/>
          <w:bCs/>
          <w:color w:val="000000"/>
          <w:kern w:val="24"/>
          <w:sz w:val="24"/>
          <w:szCs w:val="24"/>
          <w:lang w:val="lv-LV"/>
        </w:rPr>
        <w:footnoteReference w:id="6"/>
      </w:r>
      <w:r w:rsidR="00416A2E" w:rsidRPr="006166CC">
        <w:rPr>
          <w:rFonts w:ascii="Times New Roman" w:eastAsia="+mn-ea" w:hAnsi="Times New Roman" w:cs="Times New Roman"/>
          <w:color w:val="000000"/>
          <w:kern w:val="24"/>
          <w:sz w:val="24"/>
          <w:szCs w:val="24"/>
          <w:lang w:val="lv-LV"/>
        </w:rPr>
        <w:t xml:space="preserve">. </w:t>
      </w:r>
    </w:p>
    <w:p w14:paraId="0AAD3999" w14:textId="1D6863E8" w:rsidR="009901AC" w:rsidRPr="006166CC" w:rsidRDefault="00275468" w:rsidP="00EA3BA7">
      <w:pPr>
        <w:jc w:val="both"/>
        <w:rPr>
          <w:rFonts w:ascii="Times New Roman" w:hAnsi="Times New Roman" w:cs="Times New Roman"/>
          <w:b/>
          <w:sz w:val="24"/>
          <w:szCs w:val="24"/>
          <w:lang w:val="lv-LV"/>
        </w:rPr>
      </w:pPr>
      <w:bookmarkStart w:id="12" w:name="_Toc482937023"/>
      <w:r w:rsidRPr="006166CC">
        <w:rPr>
          <w:rFonts w:ascii="Times New Roman" w:hAnsi="Times New Roman" w:cs="Times New Roman"/>
          <w:b/>
          <w:sz w:val="24"/>
          <w:szCs w:val="24"/>
          <w:lang w:val="lv-LV"/>
        </w:rPr>
        <w:t>Pasīvi Latvijas 2. līmeņa pensiju fondi</w:t>
      </w:r>
      <w:bookmarkEnd w:id="12"/>
      <w:r w:rsidR="0077198E" w:rsidRPr="006166CC">
        <w:rPr>
          <w:rFonts w:ascii="Times New Roman" w:hAnsi="Times New Roman" w:cs="Times New Roman"/>
          <w:b/>
          <w:sz w:val="24"/>
          <w:szCs w:val="24"/>
          <w:lang w:val="lv-LV"/>
        </w:rPr>
        <w:t xml:space="preserve">. </w:t>
      </w:r>
      <w:r w:rsidRPr="006166CC">
        <w:rPr>
          <w:rFonts w:ascii="Times New Roman" w:hAnsi="Times New Roman" w:cs="Times New Roman"/>
          <w:sz w:val="24"/>
          <w:szCs w:val="24"/>
          <w:lang w:val="lv-LV"/>
        </w:rPr>
        <w:t xml:space="preserve">Kā </w:t>
      </w:r>
      <w:r w:rsidR="00B55500" w:rsidRPr="006166CC">
        <w:rPr>
          <w:rFonts w:ascii="Times New Roman" w:hAnsi="Times New Roman" w:cs="Times New Roman"/>
          <w:sz w:val="24"/>
          <w:szCs w:val="24"/>
          <w:lang w:val="lv-LV"/>
        </w:rPr>
        <w:t>potenci</w:t>
      </w:r>
      <w:r w:rsidR="003628D7" w:rsidRPr="006166CC">
        <w:rPr>
          <w:rFonts w:ascii="Times New Roman" w:hAnsi="Times New Roman" w:cs="Times New Roman"/>
          <w:sz w:val="24"/>
          <w:szCs w:val="24"/>
          <w:lang w:val="lv-LV"/>
        </w:rPr>
        <w:t>ālie institucionālie investori</w:t>
      </w:r>
      <w:r w:rsidRPr="006166CC">
        <w:rPr>
          <w:rFonts w:ascii="Times New Roman" w:hAnsi="Times New Roman" w:cs="Times New Roman"/>
          <w:sz w:val="24"/>
          <w:szCs w:val="24"/>
          <w:lang w:val="lv-LV"/>
        </w:rPr>
        <w:t xml:space="preserve"> 2. līmeņa pensiju fondi</w:t>
      </w:r>
      <w:r w:rsidR="00502B54" w:rsidRPr="006166CC">
        <w:rPr>
          <w:rFonts w:ascii="Times New Roman" w:hAnsi="Times New Roman" w:cs="Times New Roman"/>
          <w:sz w:val="24"/>
          <w:szCs w:val="24"/>
          <w:lang w:val="lv-LV"/>
        </w:rPr>
        <w:t xml:space="preserve"> </w:t>
      </w:r>
      <w:r w:rsidR="00B55500" w:rsidRPr="006166CC">
        <w:rPr>
          <w:rFonts w:ascii="Times New Roman" w:hAnsi="Times New Roman" w:cs="Times New Roman"/>
          <w:sz w:val="24"/>
          <w:szCs w:val="24"/>
          <w:lang w:val="lv-LV"/>
        </w:rPr>
        <w:t>ir pasīvi savā līd</w:t>
      </w:r>
      <w:r w:rsidR="00C0571E" w:rsidRPr="006166CC">
        <w:rPr>
          <w:rFonts w:ascii="Times New Roman" w:hAnsi="Times New Roman" w:cs="Times New Roman"/>
          <w:sz w:val="24"/>
          <w:szCs w:val="24"/>
          <w:lang w:val="lv-LV"/>
        </w:rPr>
        <w:t>zdalībā biržā kotētos uzņēmumos, neskatoties uz salīdzinoši lielo naudas apjomu</w:t>
      </w:r>
      <w:r w:rsidR="00FE4B8F" w:rsidRPr="006166CC">
        <w:rPr>
          <w:rFonts w:ascii="Times New Roman" w:hAnsi="Times New Roman" w:cs="Times New Roman"/>
          <w:sz w:val="24"/>
          <w:szCs w:val="24"/>
          <w:lang w:val="lv-LV"/>
        </w:rPr>
        <w:t xml:space="preserve"> (3</w:t>
      </w:r>
      <w:r w:rsidR="006C6B2C" w:rsidRPr="006166CC">
        <w:rPr>
          <w:rFonts w:ascii="Times New Roman" w:hAnsi="Times New Roman" w:cs="Times New Roman"/>
          <w:sz w:val="24"/>
          <w:szCs w:val="24"/>
          <w:lang w:val="lv-LV"/>
        </w:rPr>
        <w:t>.</w:t>
      </w:r>
      <w:r w:rsidR="0040371A" w:rsidRPr="006166CC">
        <w:rPr>
          <w:rFonts w:ascii="Times New Roman" w:hAnsi="Times New Roman" w:cs="Times New Roman"/>
          <w:sz w:val="24"/>
          <w:szCs w:val="24"/>
          <w:lang w:val="lv-LV"/>
        </w:rPr>
        <w:t xml:space="preserve">36 </w:t>
      </w:r>
      <w:r w:rsidR="00FE4B8F" w:rsidRPr="006166CC">
        <w:rPr>
          <w:rFonts w:ascii="Times New Roman" w:hAnsi="Times New Roman" w:cs="Times New Roman"/>
          <w:sz w:val="24"/>
          <w:szCs w:val="24"/>
          <w:lang w:val="lv-LV"/>
        </w:rPr>
        <w:t>miljardi eiro</w:t>
      </w:r>
      <w:r w:rsidR="00FE4B8F" w:rsidRPr="006166CC">
        <w:rPr>
          <w:rStyle w:val="FootnoteReference"/>
          <w:rFonts w:ascii="Times New Roman" w:hAnsi="Times New Roman" w:cs="Times New Roman"/>
          <w:sz w:val="24"/>
          <w:szCs w:val="24"/>
          <w:lang w:val="lv-LV"/>
        </w:rPr>
        <w:footnoteReference w:id="7"/>
      </w:r>
      <w:r w:rsidR="003628D7" w:rsidRPr="006166CC">
        <w:rPr>
          <w:rFonts w:ascii="Times New Roman" w:hAnsi="Times New Roman" w:cs="Times New Roman"/>
          <w:sz w:val="24"/>
          <w:szCs w:val="24"/>
          <w:lang w:val="lv-LV"/>
        </w:rPr>
        <w:t xml:space="preserve">, starp tiem </w:t>
      </w:r>
      <w:r w:rsidR="006C6B2C" w:rsidRPr="006166CC">
        <w:rPr>
          <w:rFonts w:ascii="Times New Roman" w:hAnsi="Times New Roman" w:cs="Times New Roman"/>
          <w:sz w:val="24"/>
          <w:szCs w:val="24"/>
          <w:lang w:val="lv-LV"/>
        </w:rPr>
        <w:t xml:space="preserve">ap </w:t>
      </w:r>
      <w:r w:rsidR="003628D7" w:rsidRPr="006166CC">
        <w:rPr>
          <w:rFonts w:ascii="Times New Roman" w:hAnsi="Times New Roman" w:cs="Times New Roman"/>
          <w:sz w:val="24"/>
          <w:szCs w:val="24"/>
          <w:lang w:val="lv-LV"/>
        </w:rPr>
        <w:t>2.</w:t>
      </w:r>
      <w:r w:rsidR="006C6B2C" w:rsidRPr="006166CC">
        <w:rPr>
          <w:rFonts w:ascii="Times New Roman" w:hAnsi="Times New Roman" w:cs="Times New Roman"/>
          <w:sz w:val="24"/>
          <w:szCs w:val="24"/>
          <w:lang w:val="lv-LV"/>
        </w:rPr>
        <w:t>5</w:t>
      </w:r>
      <w:r w:rsidR="0040371A" w:rsidRPr="006166CC">
        <w:rPr>
          <w:rFonts w:ascii="Times New Roman" w:hAnsi="Times New Roman" w:cs="Times New Roman"/>
          <w:sz w:val="24"/>
          <w:szCs w:val="24"/>
          <w:lang w:val="lv-LV"/>
        </w:rPr>
        <w:t>5</w:t>
      </w:r>
      <w:r w:rsidR="003628D7" w:rsidRPr="006166CC">
        <w:rPr>
          <w:rFonts w:ascii="Times New Roman" w:hAnsi="Times New Roman" w:cs="Times New Roman"/>
          <w:sz w:val="24"/>
          <w:szCs w:val="24"/>
          <w:lang w:val="lv-LV"/>
        </w:rPr>
        <w:t xml:space="preserve"> miljardi</w:t>
      </w:r>
      <w:r w:rsidR="0040371A" w:rsidRPr="006166CC">
        <w:rPr>
          <w:rFonts w:ascii="Times New Roman" w:hAnsi="Times New Roman" w:cs="Times New Roman"/>
          <w:sz w:val="24"/>
          <w:szCs w:val="24"/>
          <w:lang w:val="lv-LV"/>
        </w:rPr>
        <w:t>em</w:t>
      </w:r>
      <w:r w:rsidR="0019117F" w:rsidRPr="006166CC">
        <w:rPr>
          <w:rFonts w:ascii="Times New Roman" w:hAnsi="Times New Roman" w:cs="Times New Roman"/>
          <w:sz w:val="24"/>
          <w:szCs w:val="24"/>
          <w:lang w:val="lv-LV"/>
        </w:rPr>
        <w:t xml:space="preserve"> </w:t>
      </w:r>
      <w:r w:rsidR="006C6B2C" w:rsidRPr="006166CC">
        <w:rPr>
          <w:rFonts w:ascii="Times New Roman" w:hAnsi="Times New Roman" w:cs="Times New Roman"/>
          <w:sz w:val="24"/>
          <w:szCs w:val="24"/>
          <w:lang w:val="lv-LV"/>
        </w:rPr>
        <w:t xml:space="preserve">eiro </w:t>
      </w:r>
      <w:r w:rsidR="0019117F" w:rsidRPr="006166CC">
        <w:rPr>
          <w:rFonts w:ascii="Times New Roman" w:hAnsi="Times New Roman" w:cs="Times New Roman"/>
          <w:sz w:val="24"/>
          <w:szCs w:val="24"/>
          <w:lang w:val="lv-LV"/>
        </w:rPr>
        <w:t>aktīvajos un sabalansētajos plānos</w:t>
      </w:r>
      <w:r w:rsidR="00FE4B8F" w:rsidRPr="006166CC">
        <w:rPr>
          <w:rFonts w:ascii="Times New Roman" w:hAnsi="Times New Roman" w:cs="Times New Roman"/>
          <w:sz w:val="24"/>
          <w:szCs w:val="24"/>
          <w:lang w:val="lv-LV"/>
        </w:rPr>
        <w:t>)</w:t>
      </w:r>
      <w:r w:rsidR="00C0571E" w:rsidRPr="006166CC">
        <w:rPr>
          <w:rFonts w:ascii="Times New Roman" w:hAnsi="Times New Roman" w:cs="Times New Roman"/>
          <w:sz w:val="24"/>
          <w:szCs w:val="24"/>
          <w:lang w:val="lv-LV"/>
        </w:rPr>
        <w:t>, kas ir to rīcībā.</w:t>
      </w:r>
      <w:r w:rsidR="00FE4B8F" w:rsidRPr="006166CC">
        <w:rPr>
          <w:rFonts w:ascii="Times New Roman" w:hAnsi="Times New Roman" w:cs="Times New Roman"/>
          <w:sz w:val="24"/>
          <w:szCs w:val="24"/>
          <w:lang w:val="lv-LV"/>
        </w:rPr>
        <w:t xml:space="preserve"> </w:t>
      </w:r>
      <w:r w:rsidR="006C4506" w:rsidRPr="006166CC">
        <w:rPr>
          <w:rFonts w:ascii="Times New Roman" w:hAnsi="Times New Roman" w:cs="Times New Roman"/>
          <w:sz w:val="24"/>
          <w:szCs w:val="24"/>
          <w:lang w:val="lv-LV"/>
        </w:rPr>
        <w:t>Pensiju fondi 2014. gadā iekšzemes aktīvos vidēji investēja zem 1% no visiem tiem pieejamajiem līdzekļiem.</w:t>
      </w:r>
      <w:r w:rsidR="006C4506" w:rsidRPr="006166CC">
        <w:rPr>
          <w:rStyle w:val="FootnoteReference"/>
          <w:rFonts w:ascii="Times New Roman" w:hAnsi="Times New Roman" w:cs="Times New Roman"/>
          <w:sz w:val="24"/>
          <w:szCs w:val="24"/>
          <w:lang w:val="lv-LV"/>
        </w:rPr>
        <w:footnoteReference w:id="8"/>
      </w:r>
    </w:p>
    <w:p w14:paraId="32876006" w14:textId="77777777" w:rsidR="00416A2E" w:rsidRPr="006166CC" w:rsidRDefault="00E16997" w:rsidP="00416A2E">
      <w:pPr>
        <w:jc w:val="both"/>
        <w:rPr>
          <w:rFonts w:ascii="Times New Roman" w:hAnsi="Times New Roman" w:cs="Times New Roman"/>
          <w:color w:val="222222"/>
          <w:sz w:val="24"/>
          <w:szCs w:val="24"/>
          <w:lang w:val="lv-LV"/>
        </w:rPr>
      </w:pPr>
      <w:r w:rsidRPr="006166CC">
        <w:rPr>
          <w:rFonts w:ascii="Times New Roman" w:hAnsi="Times New Roman" w:cs="Times New Roman"/>
          <w:sz w:val="24"/>
          <w:szCs w:val="24"/>
          <w:lang w:val="lv-LV"/>
        </w:rPr>
        <w:lastRenderedPageBreak/>
        <w:t xml:space="preserve">Latvijas pensiju fondu pārskata par 2016. gadu autori arī atzīst: “Latvijas finanšu un kapitāla tirgus pagaidām nespēj nodrošināt atbilstošus finanšu instrumentus ilgtermiņa uzkrājumu ieguldījumiem, kā tikai Latvijas valdības vērtspapīrus un </w:t>
      </w:r>
      <w:r w:rsidR="000551BF" w:rsidRPr="006166CC">
        <w:rPr>
          <w:rFonts w:ascii="Times New Roman" w:hAnsi="Times New Roman" w:cs="Times New Roman"/>
          <w:sz w:val="24"/>
          <w:szCs w:val="24"/>
          <w:lang w:val="lv-LV"/>
        </w:rPr>
        <w:t>AS “</w:t>
      </w:r>
      <w:r w:rsidRPr="006166CC">
        <w:rPr>
          <w:rFonts w:ascii="Times New Roman" w:hAnsi="Times New Roman" w:cs="Times New Roman"/>
          <w:sz w:val="24"/>
          <w:szCs w:val="24"/>
          <w:lang w:val="lv-LV"/>
        </w:rPr>
        <w:t>Latvenergo</w:t>
      </w:r>
      <w:r w:rsidR="000551BF" w:rsidRPr="006166CC">
        <w:rPr>
          <w:rFonts w:ascii="Times New Roman" w:hAnsi="Times New Roman" w:cs="Times New Roman"/>
          <w:sz w:val="24"/>
          <w:szCs w:val="24"/>
          <w:lang w:val="lv-LV"/>
        </w:rPr>
        <w:t>”</w:t>
      </w:r>
      <w:r w:rsidRPr="006166CC">
        <w:rPr>
          <w:rFonts w:ascii="Times New Roman" w:hAnsi="Times New Roman" w:cs="Times New Roman"/>
          <w:sz w:val="24"/>
          <w:szCs w:val="24"/>
          <w:lang w:val="lv-LV"/>
        </w:rPr>
        <w:t xml:space="preserve"> obligācijas. Lai nodrošinātu Latvijas kapitāla tirgus izaugsmi nākotnē, finanšu tirgus attīstības plānā būtu iekļaujama stratēģiska pieeja – valdības, valsts atbalstītu vai pašvaldību projektu finansēšanai nepieciešamos līdzekļus piesaistīt ar finanšu instrumentu emisiju, nevis bankas kredītiem.” Piemēram, Zviedrijā, valstī ar trešo lielāko tirgus kapitalizāciju pret IKP, kas lepojas ar vienu no attīstītākajiem kapitāla tirgiem Eiropas Savienībā, četri lielākie pensiju fondu pārvaldnieki ir investējuši vietējā kapitāla tirgū vidēji 35% no saviem aktīviem</w:t>
      </w:r>
      <w:r w:rsidRPr="006166CC">
        <w:rPr>
          <w:rStyle w:val="FootnoteReference"/>
          <w:rFonts w:ascii="Times New Roman" w:hAnsi="Times New Roman" w:cs="Times New Roman"/>
          <w:sz w:val="24"/>
          <w:szCs w:val="24"/>
          <w:lang w:val="lv-LV"/>
        </w:rPr>
        <w:footnoteReference w:id="9"/>
      </w:r>
      <w:r w:rsidRPr="006166CC">
        <w:rPr>
          <w:rFonts w:ascii="Times New Roman" w:hAnsi="Times New Roman" w:cs="Times New Roman"/>
          <w:sz w:val="24"/>
          <w:szCs w:val="24"/>
          <w:lang w:val="lv-LV"/>
        </w:rPr>
        <w:t>.</w:t>
      </w:r>
      <w:r w:rsidR="00416A2E" w:rsidRPr="006166CC">
        <w:rPr>
          <w:rFonts w:ascii="Times New Roman" w:hAnsi="Times New Roman" w:cs="Times New Roman"/>
          <w:sz w:val="24"/>
          <w:szCs w:val="24"/>
          <w:lang w:val="lv-LV"/>
        </w:rPr>
        <w:t xml:space="preserve"> Latvijas pensiju fondu atklātajā vēstulē ir norādīts, ka “</w:t>
      </w:r>
      <w:r w:rsidR="00416A2E" w:rsidRPr="006166CC">
        <w:rPr>
          <w:rFonts w:ascii="Times New Roman" w:hAnsi="Times New Roman" w:cs="Times New Roman"/>
          <w:color w:val="222222"/>
          <w:sz w:val="24"/>
          <w:szCs w:val="24"/>
          <w:lang w:val="lv-LV"/>
        </w:rPr>
        <w:t>Lai veicinātu Latvijas kapitāla tirgus izaugsmi nākotnē, valdībai</w:t>
      </w:r>
      <w:r w:rsidR="000551BF" w:rsidRPr="006166CC">
        <w:rPr>
          <w:rFonts w:ascii="Times New Roman" w:hAnsi="Times New Roman" w:cs="Times New Roman"/>
          <w:color w:val="222222"/>
          <w:sz w:val="24"/>
          <w:szCs w:val="24"/>
          <w:lang w:val="lv-LV"/>
        </w:rPr>
        <w:t>,</w:t>
      </w:r>
      <w:r w:rsidR="00416A2E" w:rsidRPr="006166CC">
        <w:rPr>
          <w:rFonts w:ascii="Times New Roman" w:hAnsi="Times New Roman" w:cs="Times New Roman"/>
          <w:color w:val="222222"/>
          <w:sz w:val="24"/>
          <w:szCs w:val="24"/>
          <w:lang w:val="lv-LV"/>
        </w:rPr>
        <w:t xml:space="preserve"> izstrādājot finanšu tirgus attīstības plānu, tajā būtu iekļaujama stratēģiska pieeja – valsts vai pašvaldību realizētu projektu finansējumam nepieciešamo līdzekļu piesaistīšana ar finanšu tirgus starpniecību, kā arī valsts un pašvaldību uzņēmumu daļēja kotācija biržā.”</w:t>
      </w:r>
      <w:r w:rsidR="00B04D71" w:rsidRPr="006166CC">
        <w:rPr>
          <w:rStyle w:val="FootnoteReference"/>
          <w:rFonts w:ascii="Times New Roman" w:hAnsi="Times New Roman" w:cs="Times New Roman"/>
          <w:color w:val="222222"/>
          <w:sz w:val="24"/>
          <w:szCs w:val="24"/>
          <w:lang w:val="lv-LV"/>
        </w:rPr>
        <w:footnoteReference w:id="10"/>
      </w:r>
    </w:p>
    <w:p w14:paraId="0E7B9DED" w14:textId="65FE58D7" w:rsidR="00503CFC" w:rsidRPr="006166CC" w:rsidRDefault="00A42B32" w:rsidP="00EA3BA7">
      <w:pPr>
        <w:jc w:val="both"/>
        <w:rPr>
          <w:rFonts w:ascii="Times New Roman" w:hAnsi="Times New Roman" w:cs="Times New Roman"/>
          <w:sz w:val="24"/>
          <w:szCs w:val="24"/>
          <w:lang w:val="lv-LV"/>
        </w:rPr>
      </w:pPr>
      <w:bookmarkStart w:id="13" w:name="_Toc482937024"/>
      <w:r w:rsidRPr="006166CC">
        <w:rPr>
          <w:rFonts w:ascii="Times New Roman" w:hAnsi="Times New Roman" w:cs="Times New Roman"/>
          <w:b/>
          <w:sz w:val="24"/>
          <w:szCs w:val="24"/>
          <w:lang w:val="lv-LV"/>
        </w:rPr>
        <w:t>Pozitīvu piemēru trūkums</w:t>
      </w:r>
      <w:bookmarkEnd w:id="13"/>
      <w:r w:rsidR="0077198E" w:rsidRPr="006166CC">
        <w:rPr>
          <w:rFonts w:ascii="Times New Roman" w:hAnsi="Times New Roman" w:cs="Times New Roman"/>
          <w:b/>
          <w:sz w:val="24"/>
          <w:szCs w:val="24"/>
          <w:lang w:val="lv-LV"/>
        </w:rPr>
        <w:t xml:space="preserve">. </w:t>
      </w:r>
      <w:r w:rsidR="00C6659C" w:rsidRPr="006166CC">
        <w:rPr>
          <w:rFonts w:ascii="Times New Roman" w:hAnsi="Times New Roman" w:cs="Times New Roman"/>
          <w:sz w:val="24"/>
          <w:szCs w:val="24"/>
          <w:lang w:val="lv-LV"/>
        </w:rPr>
        <w:t>Mazo un vidējo uzņēmumu (MVU) vidū ir s</w:t>
      </w:r>
      <w:r w:rsidR="00503CFC" w:rsidRPr="006166CC">
        <w:rPr>
          <w:rFonts w:ascii="Times New Roman" w:hAnsi="Times New Roman" w:cs="Times New Roman"/>
          <w:sz w:val="24"/>
          <w:szCs w:val="24"/>
          <w:lang w:val="lv-LV"/>
        </w:rPr>
        <w:t>amērā ierobežotas iespējas un izpratne par to, kā piesaistīt kapitālu straujākai attīstībai. Bankas nefinansē projektus ar augstu riska pakāpi</w:t>
      </w:r>
      <w:r w:rsidR="003628D7" w:rsidRPr="006166CC">
        <w:rPr>
          <w:rFonts w:ascii="Times New Roman" w:hAnsi="Times New Roman" w:cs="Times New Roman"/>
          <w:sz w:val="24"/>
          <w:szCs w:val="24"/>
          <w:lang w:val="lv-LV"/>
        </w:rPr>
        <w:t>, līdz ar to daudz ideju</w:t>
      </w:r>
      <w:r w:rsidR="00503CFC" w:rsidRPr="006166CC">
        <w:rPr>
          <w:rFonts w:ascii="Times New Roman" w:hAnsi="Times New Roman" w:cs="Times New Roman"/>
          <w:sz w:val="24"/>
          <w:szCs w:val="24"/>
          <w:lang w:val="lv-LV"/>
        </w:rPr>
        <w:t>, kas varētu būt interesantas biržas</w:t>
      </w:r>
      <w:r w:rsidR="003628D7" w:rsidRPr="006166CC">
        <w:rPr>
          <w:rFonts w:ascii="Times New Roman" w:hAnsi="Times New Roman" w:cs="Times New Roman"/>
          <w:sz w:val="24"/>
          <w:szCs w:val="24"/>
          <w:lang w:val="lv-LV"/>
        </w:rPr>
        <w:t xml:space="preserve"> investoriem, netiek realizētas.</w:t>
      </w:r>
      <w:r w:rsidR="00503CFC" w:rsidRPr="006166CC">
        <w:rPr>
          <w:rFonts w:ascii="Times New Roman" w:hAnsi="Times New Roman" w:cs="Times New Roman"/>
          <w:sz w:val="24"/>
          <w:szCs w:val="24"/>
          <w:lang w:val="lv-LV"/>
        </w:rPr>
        <w:t xml:space="preserve"> </w:t>
      </w:r>
      <w:r w:rsidR="003628D7" w:rsidRPr="006166CC">
        <w:rPr>
          <w:rFonts w:ascii="Times New Roman" w:hAnsi="Times New Roman" w:cs="Times New Roman"/>
          <w:sz w:val="24"/>
          <w:szCs w:val="24"/>
          <w:lang w:val="lv-LV"/>
        </w:rPr>
        <w:t>I</w:t>
      </w:r>
      <w:r w:rsidR="00503CFC" w:rsidRPr="006166CC">
        <w:rPr>
          <w:rFonts w:ascii="Times New Roman" w:hAnsi="Times New Roman" w:cs="Times New Roman"/>
          <w:sz w:val="24"/>
          <w:szCs w:val="24"/>
          <w:lang w:val="lv-LV"/>
        </w:rPr>
        <w:t>r</w:t>
      </w:r>
      <w:r w:rsidR="00745B3D" w:rsidRPr="006166CC">
        <w:rPr>
          <w:rFonts w:ascii="Times New Roman" w:hAnsi="Times New Roman" w:cs="Times New Roman"/>
          <w:sz w:val="24"/>
          <w:szCs w:val="24"/>
          <w:lang w:val="lv-LV"/>
        </w:rPr>
        <w:t xml:space="preserve"> m</w:t>
      </w:r>
      <w:r w:rsidR="00503CFC" w:rsidRPr="006166CC">
        <w:rPr>
          <w:rFonts w:ascii="Times New Roman" w:hAnsi="Times New Roman" w:cs="Times New Roman"/>
          <w:sz w:val="24"/>
          <w:szCs w:val="24"/>
          <w:lang w:val="lv-LV"/>
        </w:rPr>
        <w:t xml:space="preserve">az pozitīvu piemēru </w:t>
      </w:r>
      <w:r w:rsidR="000551BF" w:rsidRPr="006166CC">
        <w:rPr>
          <w:rFonts w:ascii="Times New Roman" w:hAnsi="Times New Roman" w:cs="Times New Roman"/>
          <w:sz w:val="24"/>
          <w:szCs w:val="24"/>
          <w:lang w:val="lv-LV"/>
        </w:rPr>
        <w:t xml:space="preserve">(AS “HansaMatrix”, AS "MADARA Cosmetics") </w:t>
      </w:r>
      <w:r w:rsidR="00503CFC" w:rsidRPr="006166CC">
        <w:rPr>
          <w:rFonts w:ascii="Times New Roman" w:hAnsi="Times New Roman" w:cs="Times New Roman"/>
          <w:sz w:val="24"/>
          <w:szCs w:val="24"/>
          <w:lang w:val="lv-LV"/>
        </w:rPr>
        <w:t>kapitāla piesaistei b</w:t>
      </w:r>
      <w:r w:rsidR="00647823" w:rsidRPr="006166CC">
        <w:rPr>
          <w:rFonts w:ascii="Times New Roman" w:hAnsi="Times New Roman" w:cs="Times New Roman"/>
          <w:sz w:val="24"/>
          <w:szCs w:val="24"/>
          <w:lang w:val="lv-LV"/>
        </w:rPr>
        <w:t xml:space="preserve">iržā, </w:t>
      </w:r>
      <w:r w:rsidR="003628D7" w:rsidRPr="006166CC">
        <w:rPr>
          <w:rFonts w:ascii="Times New Roman" w:hAnsi="Times New Roman" w:cs="Times New Roman"/>
          <w:sz w:val="24"/>
          <w:szCs w:val="24"/>
          <w:lang w:val="lv-LV"/>
        </w:rPr>
        <w:t>liedzot</w:t>
      </w:r>
      <w:r w:rsidR="00647823" w:rsidRPr="006166CC">
        <w:rPr>
          <w:rFonts w:ascii="Times New Roman" w:hAnsi="Times New Roman" w:cs="Times New Roman"/>
          <w:sz w:val="24"/>
          <w:szCs w:val="24"/>
          <w:lang w:val="lv-LV"/>
        </w:rPr>
        <w:t xml:space="preserve"> cit</w:t>
      </w:r>
      <w:r w:rsidR="006859C1" w:rsidRPr="006166CC">
        <w:rPr>
          <w:rFonts w:ascii="Times New Roman" w:hAnsi="Times New Roman" w:cs="Times New Roman"/>
          <w:sz w:val="24"/>
          <w:szCs w:val="24"/>
          <w:lang w:val="lv-LV"/>
        </w:rPr>
        <w:t>ām</w:t>
      </w:r>
      <w:r w:rsidR="003628D7" w:rsidRPr="006166CC">
        <w:rPr>
          <w:rFonts w:ascii="Times New Roman" w:hAnsi="Times New Roman" w:cs="Times New Roman"/>
          <w:sz w:val="24"/>
          <w:szCs w:val="24"/>
          <w:lang w:val="lv-LV"/>
        </w:rPr>
        <w:t xml:space="preserve"> </w:t>
      </w:r>
      <w:r w:rsidR="006859C1" w:rsidRPr="006166CC">
        <w:rPr>
          <w:rFonts w:ascii="Times New Roman" w:hAnsi="Times New Roman" w:cs="Times New Roman"/>
          <w:sz w:val="24"/>
          <w:szCs w:val="24"/>
          <w:lang w:val="lv-LV"/>
        </w:rPr>
        <w:t>kapitālsabiedrībām</w:t>
      </w:r>
      <w:r w:rsidR="00647823" w:rsidRPr="006166CC">
        <w:rPr>
          <w:rFonts w:ascii="Times New Roman" w:hAnsi="Times New Roman" w:cs="Times New Roman"/>
          <w:sz w:val="24"/>
          <w:szCs w:val="24"/>
          <w:lang w:val="lv-LV"/>
        </w:rPr>
        <w:t xml:space="preserve"> gūt pieredzi.</w:t>
      </w:r>
    </w:p>
    <w:p w14:paraId="3766351C" w14:textId="38F1DA8F" w:rsidR="00A97DF6" w:rsidRPr="006166CC" w:rsidRDefault="00827387" w:rsidP="00094FC3">
      <w:pPr>
        <w:jc w:val="both"/>
        <w:rPr>
          <w:rFonts w:ascii="Times New Roman" w:hAnsi="Times New Roman" w:cs="Times New Roman"/>
          <w:b/>
          <w:sz w:val="24"/>
          <w:szCs w:val="24"/>
          <w:lang w:val="lv-LV"/>
        </w:rPr>
      </w:pPr>
      <w:r w:rsidRPr="006166CC">
        <w:rPr>
          <w:rFonts w:ascii="Times New Roman" w:hAnsi="Times New Roman" w:cs="Times New Roman"/>
          <w:b/>
          <w:sz w:val="24"/>
          <w:szCs w:val="24"/>
          <w:lang w:val="lv-LV"/>
        </w:rPr>
        <w:t xml:space="preserve">Visattīstītākais parāda vērtspapīru </w:t>
      </w:r>
      <w:r w:rsidR="00D644A3" w:rsidRPr="006166CC">
        <w:rPr>
          <w:rFonts w:ascii="Times New Roman" w:hAnsi="Times New Roman" w:cs="Times New Roman"/>
          <w:b/>
          <w:sz w:val="24"/>
          <w:szCs w:val="24"/>
          <w:lang w:val="lv-LV"/>
        </w:rPr>
        <w:t xml:space="preserve">(aizņēmuma obligāciju) </w:t>
      </w:r>
      <w:r w:rsidRPr="006166CC">
        <w:rPr>
          <w:rFonts w:ascii="Times New Roman" w:hAnsi="Times New Roman" w:cs="Times New Roman"/>
          <w:b/>
          <w:sz w:val="24"/>
          <w:szCs w:val="24"/>
          <w:lang w:val="lv-LV"/>
        </w:rPr>
        <w:t xml:space="preserve">tirgus Baltijā un Nasdaq pasaules klases biržas infrastruktūra. </w:t>
      </w:r>
      <w:r w:rsidR="00C83854" w:rsidRPr="006166CC">
        <w:rPr>
          <w:rFonts w:ascii="Times New Roman" w:hAnsi="Times New Roman" w:cs="Times New Roman"/>
          <w:sz w:val="24"/>
          <w:szCs w:val="24"/>
          <w:lang w:val="lv-LV"/>
        </w:rPr>
        <w:t>A</w:t>
      </w:r>
      <w:r w:rsidR="009905E0" w:rsidRPr="006166CC">
        <w:rPr>
          <w:rFonts w:ascii="Times New Roman" w:hAnsi="Times New Roman" w:cs="Times New Roman"/>
          <w:sz w:val="24"/>
          <w:szCs w:val="24"/>
          <w:lang w:val="lv-LV"/>
        </w:rPr>
        <w:t>naliz</w:t>
      </w:r>
      <w:r w:rsidR="00C83854" w:rsidRPr="006166CC">
        <w:rPr>
          <w:rFonts w:ascii="Times New Roman" w:hAnsi="Times New Roman" w:cs="Times New Roman"/>
          <w:sz w:val="24"/>
          <w:szCs w:val="24"/>
          <w:lang w:val="lv-LV"/>
        </w:rPr>
        <w:t>ējot situāciju Latvijas kapitāla tirgū</w:t>
      </w:r>
      <w:r w:rsidR="002C0608" w:rsidRPr="006166CC">
        <w:rPr>
          <w:rFonts w:ascii="Times New Roman" w:hAnsi="Times New Roman" w:cs="Times New Roman"/>
          <w:sz w:val="24"/>
          <w:szCs w:val="24"/>
          <w:lang w:val="lv-LV"/>
        </w:rPr>
        <w:t>,</w:t>
      </w:r>
      <w:r w:rsidR="00C83854" w:rsidRPr="006166CC">
        <w:rPr>
          <w:rFonts w:ascii="Times New Roman" w:hAnsi="Times New Roman" w:cs="Times New Roman"/>
          <w:sz w:val="24"/>
          <w:szCs w:val="24"/>
          <w:lang w:val="lv-LV"/>
        </w:rPr>
        <w:t xml:space="preserve"> ir svarīgi izcelt arī pozitīv</w:t>
      </w:r>
      <w:r w:rsidR="001E3557" w:rsidRPr="006166CC">
        <w:rPr>
          <w:rFonts w:ascii="Times New Roman" w:hAnsi="Times New Roman" w:cs="Times New Roman"/>
          <w:sz w:val="24"/>
          <w:szCs w:val="24"/>
          <w:lang w:val="lv-LV"/>
        </w:rPr>
        <w:t>as</w:t>
      </w:r>
      <w:r w:rsidR="00C83854" w:rsidRPr="006166CC">
        <w:rPr>
          <w:rFonts w:ascii="Times New Roman" w:hAnsi="Times New Roman" w:cs="Times New Roman"/>
          <w:sz w:val="24"/>
          <w:szCs w:val="24"/>
          <w:lang w:val="lv-LV"/>
        </w:rPr>
        <w:t xml:space="preserve"> </w:t>
      </w:r>
      <w:r w:rsidR="001E3557" w:rsidRPr="006166CC">
        <w:rPr>
          <w:rFonts w:ascii="Times New Roman" w:hAnsi="Times New Roman" w:cs="Times New Roman"/>
          <w:sz w:val="24"/>
          <w:szCs w:val="24"/>
          <w:lang w:val="lv-LV"/>
        </w:rPr>
        <w:t>tendences</w:t>
      </w:r>
      <w:r w:rsidR="00C83854" w:rsidRPr="006166CC">
        <w:rPr>
          <w:rFonts w:ascii="Times New Roman" w:hAnsi="Times New Roman" w:cs="Times New Roman"/>
          <w:sz w:val="24"/>
          <w:szCs w:val="24"/>
          <w:lang w:val="lv-LV"/>
        </w:rPr>
        <w:t xml:space="preserve">. Šeit ir svarīgi pieminēt </w:t>
      </w:r>
      <w:bookmarkStart w:id="14" w:name="_Toc482937025"/>
      <w:r w:rsidR="00C83854" w:rsidRPr="006166CC">
        <w:rPr>
          <w:rFonts w:ascii="Times New Roman" w:hAnsi="Times New Roman" w:cs="Times New Roman"/>
          <w:sz w:val="24"/>
          <w:szCs w:val="24"/>
          <w:lang w:val="lv-LV"/>
        </w:rPr>
        <w:t>aktīvo</w:t>
      </w:r>
      <w:r w:rsidR="00FC318D" w:rsidRPr="006166CC">
        <w:rPr>
          <w:rFonts w:ascii="Times New Roman" w:hAnsi="Times New Roman" w:cs="Times New Roman"/>
          <w:sz w:val="24"/>
          <w:szCs w:val="24"/>
          <w:lang w:val="lv-LV"/>
        </w:rPr>
        <w:t xml:space="preserve"> parāda vērtspapīru tirgus </w:t>
      </w:r>
      <w:r w:rsidR="00C83854" w:rsidRPr="006166CC">
        <w:rPr>
          <w:rFonts w:ascii="Times New Roman" w:hAnsi="Times New Roman" w:cs="Times New Roman"/>
          <w:sz w:val="24"/>
          <w:szCs w:val="24"/>
          <w:lang w:val="lv-LV"/>
        </w:rPr>
        <w:t xml:space="preserve">attīstību pēdējo 3 gadu laikā </w:t>
      </w:r>
      <w:r w:rsidR="00FC318D" w:rsidRPr="006166CC">
        <w:rPr>
          <w:rFonts w:ascii="Times New Roman" w:hAnsi="Times New Roman" w:cs="Times New Roman"/>
          <w:sz w:val="24"/>
          <w:szCs w:val="24"/>
          <w:lang w:val="lv-LV"/>
        </w:rPr>
        <w:t xml:space="preserve">un </w:t>
      </w:r>
      <w:r w:rsidR="00C83854" w:rsidRPr="006166CC">
        <w:rPr>
          <w:rFonts w:ascii="Times New Roman" w:hAnsi="Times New Roman" w:cs="Times New Roman"/>
          <w:sz w:val="24"/>
          <w:szCs w:val="24"/>
          <w:lang w:val="lv-LV"/>
        </w:rPr>
        <w:t xml:space="preserve">pieejamo </w:t>
      </w:r>
      <w:r w:rsidR="00FC318D" w:rsidRPr="006166CC">
        <w:rPr>
          <w:rFonts w:ascii="Times New Roman" w:hAnsi="Times New Roman" w:cs="Times New Roman"/>
          <w:sz w:val="24"/>
          <w:szCs w:val="24"/>
          <w:lang w:val="lv-LV"/>
        </w:rPr>
        <w:t xml:space="preserve">augstas klases </w:t>
      </w:r>
      <w:r w:rsidR="00C83854" w:rsidRPr="006166CC">
        <w:rPr>
          <w:rFonts w:ascii="Times New Roman" w:hAnsi="Times New Roman" w:cs="Times New Roman"/>
          <w:sz w:val="24"/>
          <w:szCs w:val="24"/>
          <w:lang w:val="lv-LV"/>
        </w:rPr>
        <w:t xml:space="preserve">biržas </w:t>
      </w:r>
      <w:r w:rsidR="00FC318D" w:rsidRPr="006166CC">
        <w:rPr>
          <w:rFonts w:ascii="Times New Roman" w:hAnsi="Times New Roman" w:cs="Times New Roman"/>
          <w:sz w:val="24"/>
          <w:szCs w:val="24"/>
          <w:lang w:val="lv-LV"/>
        </w:rPr>
        <w:t>infrastruktūr</w:t>
      </w:r>
      <w:bookmarkEnd w:id="14"/>
      <w:r w:rsidR="002C0608" w:rsidRPr="006166CC">
        <w:rPr>
          <w:rFonts w:ascii="Times New Roman" w:hAnsi="Times New Roman" w:cs="Times New Roman"/>
          <w:sz w:val="24"/>
          <w:szCs w:val="24"/>
          <w:lang w:val="lv-LV"/>
        </w:rPr>
        <w:t>u Nasdaq.</w:t>
      </w:r>
      <w:r w:rsidR="0077198E" w:rsidRPr="006166CC">
        <w:rPr>
          <w:rFonts w:ascii="Times New Roman" w:hAnsi="Times New Roman" w:cs="Times New Roman"/>
          <w:sz w:val="24"/>
          <w:szCs w:val="24"/>
          <w:lang w:val="lv-LV"/>
        </w:rPr>
        <w:t xml:space="preserve"> </w:t>
      </w:r>
      <w:r w:rsidR="00C83854" w:rsidRPr="006166CC">
        <w:rPr>
          <w:rFonts w:ascii="Times New Roman" w:hAnsi="Times New Roman" w:cs="Times New Roman"/>
          <w:sz w:val="24"/>
          <w:szCs w:val="24"/>
          <w:lang w:val="lv-LV"/>
        </w:rPr>
        <w:t xml:space="preserve">Šobrīd </w:t>
      </w:r>
      <w:r w:rsidR="003D5FBE" w:rsidRPr="006166CC">
        <w:rPr>
          <w:rFonts w:ascii="Times New Roman" w:hAnsi="Times New Roman" w:cs="Times New Roman"/>
          <w:sz w:val="24"/>
          <w:szCs w:val="24"/>
          <w:lang w:val="lv-LV"/>
        </w:rPr>
        <w:t xml:space="preserve">Latvijai ir visattīstītākais parāda vērtspapīru tirgus </w:t>
      </w:r>
      <w:r w:rsidR="00647823" w:rsidRPr="006166CC">
        <w:rPr>
          <w:rFonts w:ascii="Times New Roman" w:hAnsi="Times New Roman" w:cs="Times New Roman"/>
          <w:sz w:val="24"/>
          <w:szCs w:val="24"/>
          <w:lang w:val="lv-LV"/>
        </w:rPr>
        <w:t>starp Baltijas valstīm</w:t>
      </w:r>
      <w:r w:rsidR="003D5FBE" w:rsidRPr="006166CC">
        <w:rPr>
          <w:rFonts w:ascii="Times New Roman" w:hAnsi="Times New Roman" w:cs="Times New Roman"/>
          <w:sz w:val="24"/>
          <w:szCs w:val="24"/>
          <w:lang w:val="lv-LV"/>
        </w:rPr>
        <w:t xml:space="preserve">. Pērn parāda vērtspapīrus emitēja pieci jauni uzņēmumi, bet kopējais emisiju skaits </w:t>
      </w:r>
      <w:r w:rsidR="00D14348" w:rsidRPr="006166CC">
        <w:rPr>
          <w:rFonts w:ascii="Times New Roman" w:hAnsi="Times New Roman" w:cs="Times New Roman"/>
          <w:sz w:val="24"/>
          <w:szCs w:val="24"/>
          <w:lang w:val="lv-LV"/>
        </w:rPr>
        <w:t>sasniedza 21. Turklāt, Latvijā atrodas Nasdaq pasaules klases biržas infrastruktūra ar ērtiem un tehniski moderniem risinājumiem gan inv</w:t>
      </w:r>
      <w:r w:rsidR="002C0608" w:rsidRPr="006166CC">
        <w:rPr>
          <w:rFonts w:ascii="Times New Roman" w:hAnsi="Times New Roman" w:cs="Times New Roman"/>
          <w:sz w:val="24"/>
          <w:szCs w:val="24"/>
          <w:lang w:val="lv-LV"/>
        </w:rPr>
        <w:t xml:space="preserve">estoriem, gan biržas uzņēmumiem. </w:t>
      </w:r>
      <w:r w:rsidR="00C83854" w:rsidRPr="006166CC">
        <w:rPr>
          <w:rFonts w:ascii="Times New Roman" w:hAnsi="Times New Roman" w:cs="Times New Roman"/>
          <w:sz w:val="24"/>
          <w:szCs w:val="24"/>
          <w:lang w:val="lv-LV"/>
        </w:rPr>
        <w:t>Vienlaikus Nasdaq Baltijā ir izveidojis reģionālo vērtspapīru tirgu, veicinot pārrobežu ieguldījumus, Baltijas uzņēmumu mārketingu gan</w:t>
      </w:r>
      <w:r w:rsidR="00C83854" w:rsidRPr="006166CC">
        <w:rPr>
          <w:rFonts w:ascii="Times New Roman" w:hAnsi="Times New Roman" w:cs="Times New Roman"/>
          <w:b/>
          <w:sz w:val="24"/>
          <w:szCs w:val="24"/>
          <w:lang w:val="lv-LV"/>
        </w:rPr>
        <w:t xml:space="preserve"> </w:t>
      </w:r>
      <w:r w:rsidR="00C83854" w:rsidRPr="006166CC">
        <w:rPr>
          <w:rFonts w:ascii="Times New Roman" w:hAnsi="Times New Roman" w:cs="Times New Roman"/>
          <w:sz w:val="24"/>
          <w:szCs w:val="24"/>
          <w:lang w:val="lv-LV"/>
        </w:rPr>
        <w:t xml:space="preserve">privātajiem, gan </w:t>
      </w:r>
      <w:r w:rsidR="002C0608" w:rsidRPr="006166CC">
        <w:rPr>
          <w:rFonts w:ascii="Times New Roman" w:hAnsi="Times New Roman" w:cs="Times New Roman"/>
          <w:sz w:val="24"/>
          <w:szCs w:val="24"/>
          <w:lang w:val="lv-LV"/>
        </w:rPr>
        <w:t>institucionālajiem</w:t>
      </w:r>
      <w:r w:rsidR="00C83854" w:rsidRPr="006166CC">
        <w:rPr>
          <w:rFonts w:ascii="Times New Roman" w:hAnsi="Times New Roman" w:cs="Times New Roman"/>
          <w:sz w:val="24"/>
          <w:szCs w:val="24"/>
          <w:lang w:val="lv-LV"/>
        </w:rPr>
        <w:t xml:space="preserve"> investoriem, vieglu ārvalstu investoru </w:t>
      </w:r>
      <w:r w:rsidR="002C0608" w:rsidRPr="006166CC">
        <w:rPr>
          <w:rFonts w:ascii="Times New Roman" w:hAnsi="Times New Roman" w:cs="Times New Roman"/>
          <w:sz w:val="24"/>
          <w:szCs w:val="24"/>
          <w:lang w:val="lv-LV"/>
        </w:rPr>
        <w:t>piekļuves iespēju Baltijas, tajā skaitā arī</w:t>
      </w:r>
      <w:r w:rsidR="00C83854" w:rsidRPr="006166CC">
        <w:rPr>
          <w:rFonts w:ascii="Times New Roman" w:hAnsi="Times New Roman" w:cs="Times New Roman"/>
          <w:sz w:val="24"/>
          <w:szCs w:val="24"/>
          <w:lang w:val="lv-LV"/>
        </w:rPr>
        <w:t xml:space="preserve"> Latvijas</w:t>
      </w:r>
      <w:r w:rsidR="002C0608" w:rsidRPr="006166CC">
        <w:rPr>
          <w:rFonts w:ascii="Times New Roman" w:hAnsi="Times New Roman" w:cs="Times New Roman"/>
          <w:sz w:val="24"/>
          <w:szCs w:val="24"/>
          <w:lang w:val="lv-LV"/>
        </w:rPr>
        <w:t xml:space="preserve"> tirgum.</w:t>
      </w:r>
      <w:r w:rsidR="00C83854" w:rsidRPr="006166CC">
        <w:rPr>
          <w:rFonts w:ascii="Times New Roman" w:hAnsi="Times New Roman" w:cs="Times New Roman"/>
          <w:sz w:val="24"/>
          <w:szCs w:val="24"/>
          <w:lang w:val="lv-LV"/>
        </w:rPr>
        <w:t xml:space="preserve"> </w:t>
      </w:r>
      <w:r w:rsidR="001E3557" w:rsidRPr="006166CC">
        <w:rPr>
          <w:rFonts w:ascii="Times New Roman" w:hAnsi="Times New Roman" w:cs="Times New Roman"/>
          <w:sz w:val="24"/>
          <w:szCs w:val="24"/>
          <w:lang w:val="lv-LV"/>
        </w:rPr>
        <w:t>U</w:t>
      </w:r>
      <w:r w:rsidR="00C83854" w:rsidRPr="006166CC">
        <w:rPr>
          <w:rFonts w:ascii="Times New Roman" w:hAnsi="Times New Roman" w:cs="Times New Roman"/>
          <w:sz w:val="24"/>
          <w:szCs w:val="24"/>
          <w:lang w:val="lv-LV"/>
        </w:rPr>
        <w:t xml:space="preserve">zņēmējiem </w:t>
      </w:r>
      <w:r w:rsidR="001E3557" w:rsidRPr="006166CC">
        <w:rPr>
          <w:rFonts w:ascii="Times New Roman" w:hAnsi="Times New Roman" w:cs="Times New Roman"/>
          <w:sz w:val="24"/>
          <w:szCs w:val="24"/>
          <w:lang w:val="lv-LV"/>
        </w:rPr>
        <w:t xml:space="preserve">ir iespēja </w:t>
      </w:r>
      <w:r w:rsidR="00C83854" w:rsidRPr="006166CC">
        <w:rPr>
          <w:rFonts w:ascii="Times New Roman" w:hAnsi="Times New Roman" w:cs="Times New Roman"/>
          <w:sz w:val="24"/>
          <w:szCs w:val="24"/>
          <w:lang w:val="lv-LV"/>
        </w:rPr>
        <w:t>gūt pieredzi un iedvesmu no veiksmīgiem kapitāla piesaistes gadījumiem biržā Igaunijā un Lietuvā.</w:t>
      </w:r>
    </w:p>
    <w:p w14:paraId="67104CDC" w14:textId="77777777" w:rsidR="00AC0CE4" w:rsidRPr="006166CC" w:rsidRDefault="00467D2C" w:rsidP="00F74F8C">
      <w:pPr>
        <w:pStyle w:val="Heading1"/>
        <w:rPr>
          <w:rFonts w:ascii="Times New Roman" w:hAnsi="Times New Roman" w:cs="Times New Roman"/>
          <w:sz w:val="24"/>
          <w:szCs w:val="24"/>
          <w:lang w:val="lv-LV"/>
        </w:rPr>
      </w:pPr>
      <w:bookmarkStart w:id="15" w:name="_Toc511029103"/>
      <w:r w:rsidRPr="006166CC">
        <w:rPr>
          <w:rFonts w:ascii="Times New Roman" w:hAnsi="Times New Roman" w:cs="Times New Roman"/>
          <w:sz w:val="24"/>
          <w:szCs w:val="24"/>
          <w:lang w:val="lv-LV"/>
        </w:rPr>
        <w:t>Ieguvumi no attīstīta kapitāla tirgus</w:t>
      </w:r>
      <w:bookmarkEnd w:id="15"/>
    </w:p>
    <w:p w14:paraId="77617E04" w14:textId="69A3213F" w:rsidR="00C42F01" w:rsidRPr="006166CC" w:rsidRDefault="00C42F01" w:rsidP="00EA3BA7">
      <w:pPr>
        <w:jc w:val="both"/>
        <w:rPr>
          <w:rFonts w:ascii="Times New Roman" w:hAnsi="Times New Roman" w:cs="Times New Roman"/>
          <w:sz w:val="24"/>
          <w:szCs w:val="24"/>
          <w:lang w:val="lv-LV"/>
        </w:rPr>
      </w:pPr>
      <w:r w:rsidRPr="006166CC">
        <w:rPr>
          <w:rFonts w:ascii="Times New Roman" w:hAnsi="Times New Roman" w:cs="Times New Roman"/>
          <w:sz w:val="24"/>
          <w:szCs w:val="24"/>
          <w:lang w:val="lv-LV"/>
        </w:rPr>
        <w:t xml:space="preserve">Attīstīts kapitāla tirgus ir viens no stūrakmeņiem </w:t>
      </w:r>
      <w:r w:rsidR="00DF7FF5" w:rsidRPr="006166CC">
        <w:rPr>
          <w:rFonts w:ascii="Times New Roman" w:hAnsi="Times New Roman" w:cs="Times New Roman"/>
          <w:sz w:val="24"/>
          <w:szCs w:val="24"/>
          <w:lang w:val="lv-LV"/>
        </w:rPr>
        <w:t>nacionālo ekonomiku</w:t>
      </w:r>
      <w:r w:rsidR="00626B07" w:rsidRPr="006166CC">
        <w:rPr>
          <w:rFonts w:ascii="Times New Roman" w:hAnsi="Times New Roman" w:cs="Times New Roman"/>
          <w:sz w:val="24"/>
          <w:szCs w:val="24"/>
          <w:lang w:val="lv-LV"/>
        </w:rPr>
        <w:t xml:space="preserve"> izaugsmē. </w:t>
      </w:r>
      <w:r w:rsidR="00DF7FF5" w:rsidRPr="006166CC">
        <w:rPr>
          <w:rFonts w:ascii="Times New Roman" w:hAnsi="Times New Roman" w:cs="Times New Roman"/>
          <w:sz w:val="24"/>
          <w:szCs w:val="24"/>
          <w:lang w:val="lv-LV"/>
        </w:rPr>
        <w:t>Kapitāla tirgus</w:t>
      </w:r>
      <w:r w:rsidR="00626B07" w:rsidRPr="006166CC">
        <w:rPr>
          <w:rFonts w:ascii="Times New Roman" w:hAnsi="Times New Roman" w:cs="Times New Roman"/>
          <w:sz w:val="24"/>
          <w:szCs w:val="24"/>
          <w:lang w:val="lv-LV"/>
        </w:rPr>
        <w:t xml:space="preserve"> nodroši</w:t>
      </w:r>
      <w:r w:rsidR="00DF7FF5" w:rsidRPr="006166CC">
        <w:rPr>
          <w:rFonts w:ascii="Times New Roman" w:hAnsi="Times New Roman" w:cs="Times New Roman"/>
          <w:sz w:val="24"/>
          <w:szCs w:val="24"/>
          <w:lang w:val="lv-LV"/>
        </w:rPr>
        <w:t>na efektīvu resursu izmantošanu un</w:t>
      </w:r>
      <w:r w:rsidR="00626B07" w:rsidRPr="006166CC">
        <w:rPr>
          <w:rFonts w:ascii="Times New Roman" w:hAnsi="Times New Roman" w:cs="Times New Roman"/>
          <w:sz w:val="24"/>
          <w:szCs w:val="24"/>
          <w:lang w:val="lv-LV"/>
        </w:rPr>
        <w:t xml:space="preserve"> naudas plūsmu savietošanu. Citiem vārdiem sakot, kapitāla tirgus ir vieta, kur tie, kas grib ieguldīt savus brīvos līdzekļus un nopelnīt papildus, satiekas ar tiem, kuriem nepieciešams kapitāls tālākai uzņēmuma attīstībai. Rezultātā iegūst gan </w:t>
      </w:r>
      <w:r w:rsidR="00626B07" w:rsidRPr="006166CC">
        <w:rPr>
          <w:rFonts w:ascii="Times New Roman" w:hAnsi="Times New Roman" w:cs="Times New Roman"/>
          <w:sz w:val="24"/>
          <w:szCs w:val="24"/>
          <w:lang w:val="lv-LV"/>
        </w:rPr>
        <w:lastRenderedPageBreak/>
        <w:t>nacionālā ekonomika</w:t>
      </w:r>
      <w:r w:rsidR="00C55441" w:rsidRPr="006166CC">
        <w:rPr>
          <w:rFonts w:ascii="Times New Roman" w:hAnsi="Times New Roman" w:cs="Times New Roman"/>
          <w:sz w:val="24"/>
          <w:szCs w:val="24"/>
          <w:lang w:val="lv-LV"/>
        </w:rPr>
        <w:t>, gan tirgus dalībnieki. Turpretī neatt</w:t>
      </w:r>
      <w:r w:rsidR="00A03C2E" w:rsidRPr="006166CC">
        <w:rPr>
          <w:rFonts w:ascii="Times New Roman" w:hAnsi="Times New Roman" w:cs="Times New Roman"/>
          <w:sz w:val="24"/>
          <w:szCs w:val="24"/>
          <w:lang w:val="lv-LV"/>
        </w:rPr>
        <w:t>īstīta kapitāla tirgus gadījumā</w:t>
      </w:r>
      <w:r w:rsidR="00C55441" w:rsidRPr="006166CC">
        <w:rPr>
          <w:rFonts w:ascii="Times New Roman" w:hAnsi="Times New Roman" w:cs="Times New Roman"/>
          <w:sz w:val="24"/>
          <w:szCs w:val="24"/>
          <w:lang w:val="lv-LV"/>
        </w:rPr>
        <w:t xml:space="preserve"> brīvie resursi tiek </w:t>
      </w:r>
      <w:r w:rsidR="00033284" w:rsidRPr="006166CC">
        <w:rPr>
          <w:rFonts w:ascii="Times New Roman" w:hAnsi="Times New Roman" w:cs="Times New Roman"/>
          <w:sz w:val="24"/>
          <w:szCs w:val="24"/>
          <w:lang w:val="lv-LV"/>
        </w:rPr>
        <w:t xml:space="preserve">mazāk </w:t>
      </w:r>
      <w:r w:rsidR="00C55441" w:rsidRPr="006166CC">
        <w:rPr>
          <w:rFonts w:ascii="Times New Roman" w:hAnsi="Times New Roman" w:cs="Times New Roman"/>
          <w:sz w:val="24"/>
          <w:szCs w:val="24"/>
          <w:lang w:val="lv-LV"/>
        </w:rPr>
        <w:t xml:space="preserve">efektīvi izmantoti, </w:t>
      </w:r>
      <w:r w:rsidR="00A03C2E" w:rsidRPr="006166CC">
        <w:rPr>
          <w:rFonts w:ascii="Times New Roman" w:hAnsi="Times New Roman" w:cs="Times New Roman"/>
          <w:sz w:val="24"/>
          <w:szCs w:val="24"/>
          <w:lang w:val="lv-LV"/>
        </w:rPr>
        <w:t>kavējot</w:t>
      </w:r>
      <w:r w:rsidR="00DF7FF5" w:rsidRPr="006166CC">
        <w:rPr>
          <w:rFonts w:ascii="Times New Roman" w:hAnsi="Times New Roman" w:cs="Times New Roman"/>
          <w:sz w:val="24"/>
          <w:szCs w:val="24"/>
          <w:lang w:val="lv-LV"/>
        </w:rPr>
        <w:t xml:space="preserve"> uzņēmējdarbības vides attīstību</w:t>
      </w:r>
      <w:r w:rsidR="00C55441" w:rsidRPr="006166CC">
        <w:rPr>
          <w:rFonts w:ascii="Times New Roman" w:hAnsi="Times New Roman" w:cs="Times New Roman"/>
          <w:sz w:val="24"/>
          <w:szCs w:val="24"/>
          <w:lang w:val="lv-LV"/>
        </w:rPr>
        <w:t>, investīciju piesaisti</w:t>
      </w:r>
      <w:r w:rsidR="00DF7FF5" w:rsidRPr="006166CC">
        <w:rPr>
          <w:rFonts w:ascii="Times New Roman" w:hAnsi="Times New Roman" w:cs="Times New Roman"/>
          <w:sz w:val="24"/>
          <w:szCs w:val="24"/>
          <w:lang w:val="lv-LV"/>
        </w:rPr>
        <w:t xml:space="preserve"> uzņēmumiem</w:t>
      </w:r>
      <w:r w:rsidR="00C55441" w:rsidRPr="006166CC">
        <w:rPr>
          <w:rFonts w:ascii="Times New Roman" w:hAnsi="Times New Roman" w:cs="Times New Roman"/>
          <w:sz w:val="24"/>
          <w:szCs w:val="24"/>
          <w:lang w:val="lv-LV"/>
        </w:rPr>
        <w:t xml:space="preserve">, </w:t>
      </w:r>
      <w:r w:rsidR="00DF7FF5" w:rsidRPr="006166CC">
        <w:rPr>
          <w:rFonts w:ascii="Times New Roman" w:hAnsi="Times New Roman" w:cs="Times New Roman"/>
          <w:sz w:val="24"/>
          <w:szCs w:val="24"/>
          <w:lang w:val="lv-LV"/>
        </w:rPr>
        <w:t xml:space="preserve">iedzīvotāju </w:t>
      </w:r>
      <w:r w:rsidR="00C55441" w:rsidRPr="006166CC">
        <w:rPr>
          <w:rFonts w:ascii="Times New Roman" w:hAnsi="Times New Roman" w:cs="Times New Roman"/>
          <w:sz w:val="24"/>
          <w:szCs w:val="24"/>
          <w:lang w:val="lv-LV"/>
        </w:rPr>
        <w:t xml:space="preserve">patēriņu utt. </w:t>
      </w:r>
    </w:p>
    <w:p w14:paraId="722C6772" w14:textId="0CFAE366" w:rsidR="00665F75" w:rsidRPr="006166CC" w:rsidRDefault="00665F75" w:rsidP="00094FC3">
      <w:pPr>
        <w:jc w:val="both"/>
        <w:rPr>
          <w:rFonts w:ascii="Times New Roman" w:hAnsi="Times New Roman" w:cs="Times New Roman"/>
          <w:sz w:val="24"/>
          <w:szCs w:val="24"/>
          <w:lang w:val="lv-LV"/>
        </w:rPr>
      </w:pPr>
      <w:r w:rsidRPr="006166CC">
        <w:rPr>
          <w:rFonts w:ascii="Times New Roman" w:hAnsi="Times New Roman" w:cs="Times New Roman"/>
          <w:sz w:val="24"/>
          <w:szCs w:val="24"/>
          <w:lang w:val="lv-LV"/>
        </w:rPr>
        <w:t>Saskaņā ar 2017.gada 1.decembra diskusijā “Nacionālā kapitāla tirgus loma uzņēmumu konkurētspējas un iedzīvotāju labklājības veicināšanā”</w:t>
      </w:r>
      <w:r w:rsidR="00A67729" w:rsidRPr="006166CC">
        <w:rPr>
          <w:rFonts w:ascii="Times New Roman" w:hAnsi="Times New Roman" w:cs="Times New Roman"/>
          <w:sz w:val="24"/>
          <w:szCs w:val="24"/>
          <w:lang w:val="lv-LV"/>
        </w:rPr>
        <w:t xml:space="preserve"> Ekonomikas ministrijas </w:t>
      </w:r>
      <w:r w:rsidR="005B6DFF" w:rsidRPr="006166CC">
        <w:rPr>
          <w:rFonts w:ascii="Times New Roman" w:hAnsi="Times New Roman" w:cs="Times New Roman"/>
          <w:sz w:val="24"/>
          <w:szCs w:val="24"/>
          <w:lang w:val="lv-LV"/>
        </w:rPr>
        <w:t xml:space="preserve">tā laika </w:t>
      </w:r>
      <w:r w:rsidR="00A67729" w:rsidRPr="006166CC">
        <w:rPr>
          <w:rFonts w:ascii="Times New Roman" w:hAnsi="Times New Roman" w:cs="Times New Roman"/>
          <w:sz w:val="24"/>
          <w:szCs w:val="24"/>
          <w:lang w:val="lv-LV"/>
        </w:rPr>
        <w:t>valsts sekretāra Jura Stinkas pausto</w:t>
      </w:r>
      <w:r w:rsidR="001D0305" w:rsidRPr="006166CC">
        <w:rPr>
          <w:rFonts w:ascii="Times New Roman" w:hAnsi="Times New Roman" w:cs="Times New Roman"/>
          <w:sz w:val="24"/>
          <w:szCs w:val="24"/>
          <w:lang w:val="lv-LV"/>
        </w:rPr>
        <w:t xml:space="preserve">: “Latvijas tirgus kapitalizācijas apmērs ir salīdzinoši mazs, bet dinamisku izaugsmi nākotnē ir grūti iedomāties bez attīstīta kapitāla tirgus. Veiksmīga akciju kotēšana biržā uzlabos ne tikai uzņēmumu bilances stāvokli un piesaistīs papildu kapitālu viedām investīcijām, bet arī darbosies kā plaša reklāma kā uzņēmumos, tā valstij. Ekonomikas </w:t>
      </w:r>
      <w:r w:rsidR="00094FC3" w:rsidRPr="006166CC">
        <w:rPr>
          <w:rFonts w:ascii="Times New Roman" w:hAnsi="Times New Roman" w:cs="Times New Roman"/>
          <w:sz w:val="24"/>
          <w:szCs w:val="24"/>
          <w:lang w:val="lv-LV"/>
        </w:rPr>
        <w:t>m</w:t>
      </w:r>
      <w:r w:rsidR="001D0305" w:rsidRPr="006166CC">
        <w:rPr>
          <w:rFonts w:ascii="Times New Roman" w:hAnsi="Times New Roman" w:cs="Times New Roman"/>
          <w:sz w:val="24"/>
          <w:szCs w:val="24"/>
          <w:lang w:val="lv-LV"/>
        </w:rPr>
        <w:t>inistrija atbalsta šo ideju, jo saredzami tikai ieguvumi visām iesaistītajām pusēm.”</w:t>
      </w:r>
      <w:r w:rsidR="00E0096C" w:rsidRPr="006166CC">
        <w:rPr>
          <w:rStyle w:val="FootnoteReference"/>
          <w:rFonts w:ascii="Times New Roman" w:hAnsi="Times New Roman" w:cs="Times New Roman"/>
          <w:sz w:val="24"/>
          <w:szCs w:val="24"/>
          <w:lang w:val="lv-LV"/>
        </w:rPr>
        <w:footnoteReference w:id="11"/>
      </w:r>
    </w:p>
    <w:p w14:paraId="2C897454" w14:textId="77777777" w:rsidR="000A0EB0" w:rsidRPr="006166CC" w:rsidRDefault="000A0EB0" w:rsidP="00EA3BA7">
      <w:pPr>
        <w:jc w:val="both"/>
        <w:rPr>
          <w:rFonts w:ascii="Times New Roman" w:hAnsi="Times New Roman" w:cs="Times New Roman"/>
          <w:sz w:val="24"/>
          <w:szCs w:val="24"/>
          <w:lang w:val="lv-LV"/>
        </w:rPr>
      </w:pPr>
      <w:r w:rsidRPr="006166CC">
        <w:rPr>
          <w:rFonts w:ascii="Times New Roman" w:hAnsi="Times New Roman" w:cs="Times New Roman"/>
          <w:sz w:val="24"/>
          <w:szCs w:val="24"/>
          <w:lang w:val="lv-LV"/>
        </w:rPr>
        <w:t xml:space="preserve">2016. gada novembrī tika publicēts plašs pētījums, ko veica New Financial sadarbībā ar </w:t>
      </w:r>
      <w:r w:rsidR="00DF7FF5" w:rsidRPr="006166CC">
        <w:rPr>
          <w:rFonts w:ascii="Times New Roman" w:hAnsi="Times New Roman" w:cs="Times New Roman"/>
          <w:sz w:val="24"/>
          <w:szCs w:val="24"/>
          <w:lang w:val="lv-LV"/>
        </w:rPr>
        <w:t>T</w:t>
      </w:r>
      <w:r w:rsidRPr="006166CC">
        <w:rPr>
          <w:rFonts w:ascii="Times New Roman" w:hAnsi="Times New Roman" w:cs="Times New Roman"/>
          <w:sz w:val="24"/>
          <w:szCs w:val="24"/>
          <w:lang w:val="lv-LV"/>
        </w:rPr>
        <w:t xml:space="preserve">he Association </w:t>
      </w:r>
      <w:r w:rsidR="00DF7FF5" w:rsidRPr="006166CC">
        <w:rPr>
          <w:rFonts w:ascii="Times New Roman" w:hAnsi="Times New Roman" w:cs="Times New Roman"/>
          <w:sz w:val="24"/>
          <w:szCs w:val="24"/>
          <w:lang w:val="lv-LV"/>
        </w:rPr>
        <w:t>for Fi</w:t>
      </w:r>
      <w:r w:rsidR="00B91730" w:rsidRPr="006166CC">
        <w:rPr>
          <w:rFonts w:ascii="Times New Roman" w:hAnsi="Times New Roman" w:cs="Times New Roman"/>
          <w:sz w:val="24"/>
          <w:szCs w:val="24"/>
          <w:lang w:val="lv-LV"/>
        </w:rPr>
        <w:t>nancial Markets in Europe (AFME).</w:t>
      </w:r>
      <w:r w:rsidRPr="006166CC">
        <w:rPr>
          <w:rFonts w:ascii="Times New Roman" w:hAnsi="Times New Roman" w:cs="Times New Roman"/>
          <w:sz w:val="24"/>
          <w:szCs w:val="24"/>
          <w:lang w:val="lv-LV"/>
        </w:rPr>
        <w:t xml:space="preserve"> </w:t>
      </w:r>
      <w:r w:rsidR="00B91730" w:rsidRPr="006166CC">
        <w:rPr>
          <w:rFonts w:ascii="Times New Roman" w:hAnsi="Times New Roman" w:cs="Times New Roman"/>
          <w:sz w:val="24"/>
          <w:szCs w:val="24"/>
          <w:lang w:val="lv-LV"/>
        </w:rPr>
        <w:t>Pētījuma</w:t>
      </w:r>
      <w:r w:rsidRPr="006166CC">
        <w:rPr>
          <w:rFonts w:ascii="Times New Roman" w:hAnsi="Times New Roman" w:cs="Times New Roman"/>
          <w:sz w:val="24"/>
          <w:szCs w:val="24"/>
          <w:lang w:val="lv-LV"/>
        </w:rPr>
        <w:t xml:space="preserve"> ietvaros tika analizēta situācij</w:t>
      </w:r>
      <w:r w:rsidR="00B91730" w:rsidRPr="006166CC">
        <w:rPr>
          <w:rFonts w:ascii="Times New Roman" w:hAnsi="Times New Roman" w:cs="Times New Roman"/>
          <w:sz w:val="24"/>
          <w:szCs w:val="24"/>
          <w:lang w:val="lv-LV"/>
        </w:rPr>
        <w:t>a</w:t>
      </w:r>
      <w:r w:rsidRPr="006166CC">
        <w:rPr>
          <w:rFonts w:ascii="Times New Roman" w:hAnsi="Times New Roman" w:cs="Times New Roman"/>
          <w:sz w:val="24"/>
          <w:szCs w:val="24"/>
          <w:lang w:val="lv-LV"/>
        </w:rPr>
        <w:t xml:space="preserve"> kapitāla tirgos Eiropā, kā arī identificētas valstis ar lielāko potenciālo ieguvumu no kapitāla tirgus attīstības.</w:t>
      </w:r>
      <w:r w:rsidRPr="006166CC">
        <w:rPr>
          <w:rStyle w:val="FootnoteReference"/>
          <w:rFonts w:ascii="Times New Roman" w:hAnsi="Times New Roman" w:cs="Times New Roman"/>
          <w:sz w:val="24"/>
          <w:szCs w:val="24"/>
          <w:lang w:val="lv-LV"/>
        </w:rPr>
        <w:footnoteReference w:id="12"/>
      </w:r>
      <w:r w:rsidRPr="006166CC">
        <w:rPr>
          <w:rFonts w:ascii="Times New Roman" w:hAnsi="Times New Roman" w:cs="Times New Roman"/>
          <w:sz w:val="24"/>
          <w:szCs w:val="24"/>
          <w:lang w:val="lv-LV"/>
        </w:rPr>
        <w:t xml:space="preserve"> Latvija šajā pētījumā dominē vairākās kategorijās, </w:t>
      </w:r>
      <w:r w:rsidR="00B91730" w:rsidRPr="006166CC">
        <w:rPr>
          <w:rFonts w:ascii="Times New Roman" w:hAnsi="Times New Roman" w:cs="Times New Roman"/>
          <w:sz w:val="24"/>
          <w:szCs w:val="24"/>
          <w:lang w:val="lv-LV"/>
        </w:rPr>
        <w:t>tādējādi</w:t>
      </w:r>
      <w:r w:rsidRPr="006166CC">
        <w:rPr>
          <w:rFonts w:ascii="Times New Roman" w:hAnsi="Times New Roman" w:cs="Times New Roman"/>
          <w:sz w:val="24"/>
          <w:szCs w:val="24"/>
          <w:lang w:val="lv-LV"/>
        </w:rPr>
        <w:t xml:space="preserve"> apliecin</w:t>
      </w:r>
      <w:r w:rsidR="00B91730" w:rsidRPr="006166CC">
        <w:rPr>
          <w:rFonts w:ascii="Times New Roman" w:hAnsi="Times New Roman" w:cs="Times New Roman"/>
          <w:sz w:val="24"/>
          <w:szCs w:val="24"/>
          <w:lang w:val="lv-LV"/>
        </w:rPr>
        <w:t>ot</w:t>
      </w:r>
      <w:r w:rsidRPr="006166CC">
        <w:rPr>
          <w:rFonts w:ascii="Times New Roman" w:hAnsi="Times New Roman" w:cs="Times New Roman"/>
          <w:sz w:val="24"/>
          <w:szCs w:val="24"/>
          <w:lang w:val="lv-LV"/>
        </w:rPr>
        <w:t>, ka Latvija</w:t>
      </w:r>
      <w:r w:rsidR="00B91730" w:rsidRPr="006166CC">
        <w:rPr>
          <w:rFonts w:ascii="Times New Roman" w:hAnsi="Times New Roman" w:cs="Times New Roman"/>
          <w:sz w:val="24"/>
          <w:szCs w:val="24"/>
          <w:lang w:val="lv-LV"/>
        </w:rPr>
        <w:t>i ir augsts</w:t>
      </w:r>
      <w:r w:rsidRPr="006166CC">
        <w:rPr>
          <w:rFonts w:ascii="Times New Roman" w:hAnsi="Times New Roman" w:cs="Times New Roman"/>
          <w:sz w:val="24"/>
          <w:szCs w:val="24"/>
          <w:lang w:val="lv-LV"/>
        </w:rPr>
        <w:t xml:space="preserve"> potenciāls kapitāla tirgu</w:t>
      </w:r>
      <w:r w:rsidR="00B91730" w:rsidRPr="006166CC">
        <w:rPr>
          <w:rFonts w:ascii="Times New Roman" w:hAnsi="Times New Roman" w:cs="Times New Roman"/>
          <w:sz w:val="24"/>
          <w:szCs w:val="24"/>
          <w:lang w:val="lv-LV"/>
        </w:rPr>
        <w:t>s</w:t>
      </w:r>
      <w:r w:rsidRPr="006166CC">
        <w:rPr>
          <w:rFonts w:ascii="Times New Roman" w:hAnsi="Times New Roman" w:cs="Times New Roman"/>
          <w:sz w:val="24"/>
          <w:szCs w:val="24"/>
          <w:lang w:val="lv-LV"/>
        </w:rPr>
        <w:t xml:space="preserve"> </w:t>
      </w:r>
      <w:r w:rsidR="00B91730" w:rsidRPr="006166CC">
        <w:rPr>
          <w:rFonts w:ascii="Times New Roman" w:hAnsi="Times New Roman" w:cs="Times New Roman"/>
          <w:sz w:val="24"/>
          <w:szCs w:val="24"/>
          <w:lang w:val="lv-LV"/>
        </w:rPr>
        <w:t>attīstībai un</w:t>
      </w:r>
      <w:r w:rsidRPr="006166CC">
        <w:rPr>
          <w:rFonts w:ascii="Times New Roman" w:hAnsi="Times New Roman" w:cs="Times New Roman"/>
          <w:sz w:val="24"/>
          <w:szCs w:val="24"/>
          <w:lang w:val="lv-LV"/>
        </w:rPr>
        <w:t xml:space="preserve"> ieguvumi</w:t>
      </w:r>
      <w:r w:rsidR="00B91730" w:rsidRPr="006166CC">
        <w:rPr>
          <w:rFonts w:ascii="Times New Roman" w:hAnsi="Times New Roman" w:cs="Times New Roman"/>
          <w:sz w:val="24"/>
          <w:szCs w:val="24"/>
          <w:lang w:val="lv-LV"/>
        </w:rPr>
        <w:t>em</w:t>
      </w:r>
      <w:r w:rsidRPr="006166CC">
        <w:rPr>
          <w:rFonts w:ascii="Times New Roman" w:hAnsi="Times New Roman" w:cs="Times New Roman"/>
          <w:sz w:val="24"/>
          <w:szCs w:val="24"/>
          <w:lang w:val="lv-LV"/>
        </w:rPr>
        <w:t xml:space="preserve"> no tā.</w:t>
      </w:r>
    </w:p>
    <w:p w14:paraId="3040945B" w14:textId="77777777" w:rsidR="00AC0CE4" w:rsidRPr="006166CC" w:rsidRDefault="00DF7FF5" w:rsidP="00082E96">
      <w:pPr>
        <w:pStyle w:val="Heading2"/>
        <w:rPr>
          <w:rFonts w:ascii="Times New Roman" w:hAnsi="Times New Roman" w:cs="Times New Roman"/>
          <w:sz w:val="24"/>
          <w:szCs w:val="24"/>
          <w:lang w:val="lv-LV"/>
        </w:rPr>
      </w:pPr>
      <w:bookmarkStart w:id="16" w:name="_Toc511029104"/>
      <w:r w:rsidRPr="006166CC">
        <w:rPr>
          <w:rFonts w:ascii="Times New Roman" w:hAnsi="Times New Roman" w:cs="Times New Roman"/>
          <w:sz w:val="24"/>
          <w:szCs w:val="24"/>
          <w:lang w:val="lv-LV"/>
        </w:rPr>
        <w:t xml:space="preserve">Publiskā </w:t>
      </w:r>
      <w:r w:rsidR="00340BDC" w:rsidRPr="006166CC">
        <w:rPr>
          <w:rFonts w:ascii="Times New Roman" w:hAnsi="Times New Roman" w:cs="Times New Roman"/>
          <w:sz w:val="24"/>
          <w:szCs w:val="24"/>
          <w:lang w:val="lv-LV"/>
        </w:rPr>
        <w:t>sektor</w:t>
      </w:r>
      <w:r w:rsidRPr="006166CC">
        <w:rPr>
          <w:rFonts w:ascii="Times New Roman" w:hAnsi="Times New Roman" w:cs="Times New Roman"/>
          <w:sz w:val="24"/>
          <w:szCs w:val="24"/>
          <w:lang w:val="lv-LV"/>
        </w:rPr>
        <w:t>a ieguvumi</w:t>
      </w:r>
      <w:bookmarkEnd w:id="16"/>
    </w:p>
    <w:p w14:paraId="388838BB" w14:textId="0DAE13F7" w:rsidR="006C10E3" w:rsidRPr="006166CC" w:rsidRDefault="00AC0CE4" w:rsidP="00EA3BA7">
      <w:pPr>
        <w:jc w:val="both"/>
        <w:rPr>
          <w:rFonts w:ascii="Times New Roman" w:hAnsi="Times New Roman" w:cs="Times New Roman"/>
          <w:sz w:val="24"/>
          <w:szCs w:val="24"/>
          <w:lang w:val="lv-LV"/>
        </w:rPr>
      </w:pPr>
      <w:r w:rsidRPr="006166CC">
        <w:rPr>
          <w:rFonts w:ascii="Times New Roman" w:hAnsi="Times New Roman" w:cs="Times New Roman"/>
          <w:sz w:val="24"/>
          <w:szCs w:val="24"/>
          <w:lang w:val="lv-LV"/>
        </w:rPr>
        <w:t xml:space="preserve">Attīstīts kapitāla tirgus un valstij piederošo </w:t>
      </w:r>
      <w:r w:rsidR="006859C1" w:rsidRPr="006166CC">
        <w:rPr>
          <w:rFonts w:ascii="Times New Roman" w:hAnsi="Times New Roman" w:cs="Times New Roman"/>
          <w:sz w:val="24"/>
          <w:szCs w:val="24"/>
          <w:lang w:val="lv-LV"/>
        </w:rPr>
        <w:t>kapitālsabiedrību</w:t>
      </w:r>
      <w:r w:rsidRPr="006166CC">
        <w:rPr>
          <w:rFonts w:ascii="Times New Roman" w:hAnsi="Times New Roman" w:cs="Times New Roman"/>
          <w:sz w:val="24"/>
          <w:szCs w:val="24"/>
          <w:lang w:val="lv-LV"/>
        </w:rPr>
        <w:t xml:space="preserve"> </w:t>
      </w:r>
      <w:r w:rsidR="00DB121C" w:rsidRPr="006166CC">
        <w:rPr>
          <w:rFonts w:ascii="Times New Roman" w:hAnsi="Times New Roman" w:cs="Times New Roman"/>
          <w:sz w:val="24"/>
          <w:szCs w:val="24"/>
          <w:lang w:val="lv-LV"/>
        </w:rPr>
        <w:t xml:space="preserve">akciju </w:t>
      </w:r>
      <w:r w:rsidRPr="006166CC">
        <w:rPr>
          <w:rFonts w:ascii="Times New Roman" w:hAnsi="Times New Roman" w:cs="Times New Roman"/>
          <w:sz w:val="24"/>
          <w:szCs w:val="24"/>
          <w:lang w:val="lv-LV"/>
        </w:rPr>
        <w:t xml:space="preserve">daļēja kotācija biržā veicina </w:t>
      </w:r>
      <w:r w:rsidR="00033284" w:rsidRPr="006166CC">
        <w:rPr>
          <w:rFonts w:ascii="Times New Roman" w:hAnsi="Times New Roman" w:cs="Times New Roman"/>
          <w:sz w:val="24"/>
          <w:szCs w:val="24"/>
          <w:lang w:val="lv-LV"/>
        </w:rPr>
        <w:t xml:space="preserve">korporatīvās </w:t>
      </w:r>
      <w:r w:rsidRPr="006166CC">
        <w:rPr>
          <w:rFonts w:ascii="Times New Roman" w:hAnsi="Times New Roman" w:cs="Times New Roman"/>
          <w:sz w:val="24"/>
          <w:szCs w:val="24"/>
          <w:lang w:val="lv-LV"/>
        </w:rPr>
        <w:t>pārvaldības praks</w:t>
      </w:r>
      <w:r w:rsidR="00033284" w:rsidRPr="006166CC">
        <w:rPr>
          <w:rFonts w:ascii="Times New Roman" w:hAnsi="Times New Roman" w:cs="Times New Roman"/>
          <w:sz w:val="24"/>
          <w:szCs w:val="24"/>
          <w:lang w:val="lv-LV"/>
        </w:rPr>
        <w:t>es ieviešanu</w:t>
      </w:r>
      <w:r w:rsidRPr="006166CC">
        <w:rPr>
          <w:rFonts w:ascii="Times New Roman" w:hAnsi="Times New Roman" w:cs="Times New Roman"/>
          <w:sz w:val="24"/>
          <w:szCs w:val="24"/>
          <w:lang w:val="lv-LV"/>
        </w:rPr>
        <w:t xml:space="preserve"> </w:t>
      </w:r>
      <w:r w:rsidR="00033284" w:rsidRPr="006166CC">
        <w:rPr>
          <w:rFonts w:ascii="Times New Roman" w:hAnsi="Times New Roman" w:cs="Times New Roman"/>
          <w:sz w:val="24"/>
          <w:szCs w:val="24"/>
          <w:lang w:val="lv-LV"/>
        </w:rPr>
        <w:t xml:space="preserve">un privātās uzņēmējdarbības principu un pieejas stiprināšanu </w:t>
      </w:r>
      <w:r w:rsidRPr="006166CC">
        <w:rPr>
          <w:rFonts w:ascii="Times New Roman" w:hAnsi="Times New Roman" w:cs="Times New Roman"/>
          <w:sz w:val="24"/>
          <w:szCs w:val="24"/>
          <w:lang w:val="lv-LV"/>
        </w:rPr>
        <w:t>valstij piederošaj</w:t>
      </w:r>
      <w:r w:rsidR="006859C1" w:rsidRPr="006166CC">
        <w:rPr>
          <w:rFonts w:ascii="Times New Roman" w:hAnsi="Times New Roman" w:cs="Times New Roman"/>
          <w:sz w:val="24"/>
          <w:szCs w:val="24"/>
          <w:lang w:val="lv-LV"/>
        </w:rPr>
        <w:t>ā</w:t>
      </w:r>
      <w:r w:rsidRPr="006166CC">
        <w:rPr>
          <w:rFonts w:ascii="Times New Roman" w:hAnsi="Times New Roman" w:cs="Times New Roman"/>
          <w:sz w:val="24"/>
          <w:szCs w:val="24"/>
          <w:lang w:val="lv-LV"/>
        </w:rPr>
        <w:t xml:space="preserve">s </w:t>
      </w:r>
      <w:r w:rsidR="006859C1" w:rsidRPr="006166CC">
        <w:rPr>
          <w:rFonts w:ascii="Times New Roman" w:hAnsi="Times New Roman" w:cs="Times New Roman"/>
          <w:sz w:val="24"/>
          <w:szCs w:val="24"/>
          <w:lang w:val="lv-LV"/>
        </w:rPr>
        <w:t>kapitālsabiedrībās</w:t>
      </w:r>
      <w:r w:rsidRPr="006166CC">
        <w:rPr>
          <w:rFonts w:ascii="Times New Roman" w:hAnsi="Times New Roman" w:cs="Times New Roman"/>
          <w:sz w:val="24"/>
          <w:szCs w:val="24"/>
          <w:lang w:val="lv-LV"/>
        </w:rPr>
        <w:t xml:space="preserve"> un sniedz iespēju caur piesaistīto privāto kapitālu </w:t>
      </w:r>
      <w:r w:rsidR="00096130" w:rsidRPr="006166CC">
        <w:rPr>
          <w:rFonts w:ascii="Times New Roman" w:hAnsi="Times New Roman" w:cs="Times New Roman"/>
          <w:sz w:val="24"/>
          <w:szCs w:val="24"/>
          <w:lang w:val="lv-LV"/>
        </w:rPr>
        <w:t xml:space="preserve">attīstīt </w:t>
      </w:r>
      <w:r w:rsidR="006859C1" w:rsidRPr="006166CC">
        <w:rPr>
          <w:rFonts w:ascii="Times New Roman" w:hAnsi="Times New Roman" w:cs="Times New Roman"/>
          <w:sz w:val="24"/>
          <w:szCs w:val="24"/>
          <w:lang w:val="lv-LV"/>
        </w:rPr>
        <w:t>kapitālsabiedrību</w:t>
      </w:r>
      <w:r w:rsidR="00E24D73" w:rsidRPr="006166CC">
        <w:rPr>
          <w:rFonts w:ascii="Times New Roman" w:hAnsi="Times New Roman" w:cs="Times New Roman"/>
          <w:sz w:val="24"/>
          <w:szCs w:val="24"/>
          <w:lang w:val="lv-LV"/>
        </w:rPr>
        <w:t xml:space="preserve"> tālāko izaugsmi, tādējādi</w:t>
      </w:r>
      <w:r w:rsidRPr="006166CC">
        <w:rPr>
          <w:rFonts w:ascii="Times New Roman" w:hAnsi="Times New Roman" w:cs="Times New Roman"/>
          <w:sz w:val="24"/>
          <w:szCs w:val="24"/>
          <w:lang w:val="lv-LV"/>
        </w:rPr>
        <w:t xml:space="preserve"> dalot uzņēmējdarbības risku ar privāto sektoru. Vienlaikus </w:t>
      </w:r>
      <w:r w:rsidR="00C15588" w:rsidRPr="006166CC">
        <w:rPr>
          <w:rFonts w:ascii="Times New Roman" w:hAnsi="Times New Roman" w:cs="Times New Roman"/>
          <w:sz w:val="24"/>
          <w:szCs w:val="24"/>
          <w:lang w:val="lv-LV"/>
        </w:rPr>
        <w:t xml:space="preserve">valsts </w:t>
      </w:r>
      <w:r w:rsidR="00033284" w:rsidRPr="006166CC">
        <w:rPr>
          <w:rFonts w:ascii="Times New Roman" w:hAnsi="Times New Roman" w:cs="Times New Roman"/>
          <w:sz w:val="24"/>
          <w:szCs w:val="24"/>
          <w:lang w:val="lv-LV"/>
        </w:rPr>
        <w:t xml:space="preserve">var šādā veidā </w:t>
      </w:r>
      <w:r w:rsidR="00C15588" w:rsidRPr="006166CC">
        <w:rPr>
          <w:rFonts w:ascii="Times New Roman" w:hAnsi="Times New Roman" w:cs="Times New Roman"/>
          <w:sz w:val="24"/>
          <w:szCs w:val="24"/>
          <w:lang w:val="lv-LV"/>
        </w:rPr>
        <w:t>saglabā</w:t>
      </w:r>
      <w:r w:rsidR="00033284" w:rsidRPr="006166CC">
        <w:rPr>
          <w:rFonts w:ascii="Times New Roman" w:hAnsi="Times New Roman" w:cs="Times New Roman"/>
          <w:sz w:val="24"/>
          <w:szCs w:val="24"/>
          <w:lang w:val="lv-LV"/>
        </w:rPr>
        <w:t>t</w:t>
      </w:r>
      <w:r w:rsidRPr="006166CC">
        <w:rPr>
          <w:rFonts w:ascii="Times New Roman" w:hAnsi="Times New Roman" w:cs="Times New Roman"/>
          <w:sz w:val="24"/>
          <w:szCs w:val="24"/>
          <w:lang w:val="lv-LV"/>
        </w:rPr>
        <w:t xml:space="preserve"> </w:t>
      </w:r>
      <w:r w:rsidR="00033284" w:rsidRPr="006166CC">
        <w:rPr>
          <w:rFonts w:ascii="Times New Roman" w:hAnsi="Times New Roman" w:cs="Times New Roman"/>
          <w:sz w:val="24"/>
          <w:szCs w:val="24"/>
          <w:lang w:val="lv-LV"/>
        </w:rPr>
        <w:t xml:space="preserve">izšķirošo </w:t>
      </w:r>
      <w:r w:rsidRPr="006166CC">
        <w:rPr>
          <w:rFonts w:ascii="Times New Roman" w:hAnsi="Times New Roman" w:cs="Times New Roman"/>
          <w:sz w:val="24"/>
          <w:szCs w:val="24"/>
          <w:lang w:val="lv-LV"/>
        </w:rPr>
        <w:t xml:space="preserve">ietekmi </w:t>
      </w:r>
      <w:r w:rsidR="00732E3B" w:rsidRPr="006166CC">
        <w:rPr>
          <w:rFonts w:ascii="Times New Roman" w:hAnsi="Times New Roman" w:cs="Times New Roman"/>
          <w:sz w:val="24"/>
          <w:szCs w:val="24"/>
          <w:lang w:val="lv-LV"/>
        </w:rPr>
        <w:t xml:space="preserve">tai </w:t>
      </w:r>
      <w:r w:rsidRPr="006166CC">
        <w:rPr>
          <w:rFonts w:ascii="Times New Roman" w:hAnsi="Times New Roman" w:cs="Times New Roman"/>
          <w:sz w:val="24"/>
          <w:szCs w:val="24"/>
          <w:lang w:val="lv-LV"/>
        </w:rPr>
        <w:t>stratēģiski svarīg</w:t>
      </w:r>
      <w:r w:rsidR="006859C1" w:rsidRPr="006166CC">
        <w:rPr>
          <w:rFonts w:ascii="Times New Roman" w:hAnsi="Times New Roman" w:cs="Times New Roman"/>
          <w:sz w:val="24"/>
          <w:szCs w:val="24"/>
          <w:lang w:val="lv-LV"/>
        </w:rPr>
        <w:t>ās</w:t>
      </w:r>
      <w:r w:rsidRPr="006166CC">
        <w:rPr>
          <w:rFonts w:ascii="Times New Roman" w:hAnsi="Times New Roman" w:cs="Times New Roman"/>
          <w:sz w:val="24"/>
          <w:szCs w:val="24"/>
          <w:lang w:val="lv-LV"/>
        </w:rPr>
        <w:t xml:space="preserve"> </w:t>
      </w:r>
      <w:r w:rsidR="006859C1" w:rsidRPr="006166CC">
        <w:rPr>
          <w:rFonts w:ascii="Times New Roman" w:hAnsi="Times New Roman" w:cs="Times New Roman"/>
          <w:sz w:val="24"/>
          <w:szCs w:val="24"/>
          <w:lang w:val="lv-LV"/>
        </w:rPr>
        <w:t>kapitālsabiedrībās</w:t>
      </w:r>
      <w:r w:rsidRPr="006166CC">
        <w:rPr>
          <w:rFonts w:ascii="Times New Roman" w:hAnsi="Times New Roman" w:cs="Times New Roman"/>
          <w:sz w:val="24"/>
          <w:szCs w:val="24"/>
          <w:lang w:val="lv-LV"/>
        </w:rPr>
        <w:t>.</w:t>
      </w:r>
      <w:r w:rsidR="00DA79F8" w:rsidRPr="006166CC">
        <w:rPr>
          <w:rFonts w:ascii="Times New Roman" w:hAnsi="Times New Roman" w:cs="Times New Roman"/>
          <w:sz w:val="24"/>
          <w:szCs w:val="24"/>
          <w:lang w:val="lv-LV"/>
        </w:rPr>
        <w:t xml:space="preserve"> </w:t>
      </w:r>
      <w:r w:rsidR="009E422D" w:rsidRPr="006166CC">
        <w:rPr>
          <w:rFonts w:ascii="Times New Roman" w:hAnsi="Times New Roman" w:cs="Times New Roman"/>
          <w:sz w:val="24"/>
          <w:szCs w:val="24"/>
          <w:lang w:val="lv-LV"/>
        </w:rPr>
        <w:t xml:space="preserve">Saskaņā ar </w:t>
      </w:r>
      <w:r w:rsidR="00C1693B" w:rsidRPr="006166CC">
        <w:rPr>
          <w:rFonts w:ascii="Times New Roman" w:hAnsi="Times New Roman" w:cs="Times New Roman"/>
          <w:sz w:val="24"/>
          <w:szCs w:val="24"/>
          <w:lang w:val="lv-LV"/>
        </w:rPr>
        <w:t xml:space="preserve">Latvijas Republikas </w:t>
      </w:r>
      <w:r w:rsidR="009E422D" w:rsidRPr="006166CC">
        <w:rPr>
          <w:rFonts w:ascii="Times New Roman" w:hAnsi="Times New Roman" w:cs="Times New Roman"/>
          <w:sz w:val="24"/>
          <w:szCs w:val="24"/>
          <w:lang w:val="lv-LV"/>
        </w:rPr>
        <w:t xml:space="preserve">Ministru </w:t>
      </w:r>
      <w:r w:rsidR="00094FC3" w:rsidRPr="006166CC">
        <w:rPr>
          <w:rFonts w:ascii="Times New Roman" w:hAnsi="Times New Roman" w:cs="Times New Roman"/>
          <w:sz w:val="24"/>
          <w:szCs w:val="24"/>
          <w:lang w:val="lv-LV"/>
        </w:rPr>
        <w:t>p</w:t>
      </w:r>
      <w:r w:rsidR="009E422D" w:rsidRPr="006166CC">
        <w:rPr>
          <w:rFonts w:ascii="Times New Roman" w:hAnsi="Times New Roman" w:cs="Times New Roman"/>
          <w:sz w:val="24"/>
          <w:szCs w:val="24"/>
          <w:lang w:val="lv-LV"/>
        </w:rPr>
        <w:t xml:space="preserve">rezidenta Māra Kučinska </w:t>
      </w:r>
      <w:r w:rsidR="00F21868" w:rsidRPr="006166CC">
        <w:rPr>
          <w:rFonts w:ascii="Times New Roman" w:hAnsi="Times New Roman" w:cs="Times New Roman"/>
          <w:sz w:val="24"/>
          <w:szCs w:val="24"/>
          <w:lang w:val="lv-LV"/>
        </w:rPr>
        <w:t xml:space="preserve">diskusijā </w:t>
      </w:r>
      <w:r w:rsidR="00094FC3" w:rsidRPr="006166CC">
        <w:rPr>
          <w:rFonts w:ascii="Times New Roman" w:hAnsi="Times New Roman" w:cs="Times New Roman"/>
          <w:sz w:val="24"/>
          <w:szCs w:val="24"/>
          <w:lang w:val="lv-LV"/>
        </w:rPr>
        <w:t>teikto: “</w:t>
      </w:r>
      <w:r w:rsidR="009E422D" w:rsidRPr="006166CC">
        <w:rPr>
          <w:rFonts w:ascii="Times New Roman" w:hAnsi="Times New Roman" w:cs="Times New Roman"/>
          <w:sz w:val="24"/>
          <w:szCs w:val="24"/>
          <w:lang w:val="lv-LV"/>
        </w:rPr>
        <w:t>Kotējot uzņēmumu akcijas birž</w:t>
      </w:r>
      <w:r w:rsidR="00094FC3" w:rsidRPr="006166CC">
        <w:rPr>
          <w:rFonts w:ascii="Times New Roman" w:hAnsi="Times New Roman" w:cs="Times New Roman"/>
          <w:sz w:val="24"/>
          <w:szCs w:val="24"/>
          <w:lang w:val="lv-LV"/>
        </w:rPr>
        <w:t>ā,</w:t>
      </w:r>
      <w:r w:rsidR="009E422D" w:rsidRPr="006166CC">
        <w:rPr>
          <w:rFonts w:ascii="Times New Roman" w:hAnsi="Times New Roman" w:cs="Times New Roman"/>
          <w:sz w:val="24"/>
          <w:szCs w:val="24"/>
          <w:lang w:val="lv-LV"/>
        </w:rPr>
        <w:t xml:space="preserve"> </w:t>
      </w:r>
      <w:r w:rsidR="00094FC3" w:rsidRPr="006166CC">
        <w:rPr>
          <w:rFonts w:ascii="Times New Roman" w:hAnsi="Times New Roman" w:cs="Times New Roman"/>
          <w:sz w:val="24"/>
          <w:szCs w:val="24"/>
          <w:lang w:val="lv-LV"/>
        </w:rPr>
        <w:t>m</w:t>
      </w:r>
      <w:r w:rsidR="009E422D" w:rsidRPr="006166CC">
        <w:rPr>
          <w:rFonts w:ascii="Times New Roman" w:hAnsi="Times New Roman" w:cs="Times New Roman"/>
          <w:sz w:val="24"/>
          <w:szCs w:val="24"/>
          <w:lang w:val="lv-LV"/>
        </w:rPr>
        <w:t>ēs nonāktu pie to vērtības paaugstināšanas caur labākas pārvaldības un caurspīdīguma īstenošanu, un tādējādi arī secīga būtu IKP palielināšanās valstī kopumā”.</w:t>
      </w:r>
      <w:r w:rsidR="00E0096C" w:rsidRPr="006166CC">
        <w:rPr>
          <w:rStyle w:val="FootnoteReference"/>
          <w:rFonts w:ascii="Times New Roman" w:hAnsi="Times New Roman" w:cs="Times New Roman"/>
          <w:sz w:val="24"/>
          <w:szCs w:val="24"/>
          <w:lang w:val="lv-LV"/>
        </w:rPr>
        <w:footnoteReference w:id="13"/>
      </w:r>
      <w:r w:rsidR="00502B54" w:rsidRPr="006166CC">
        <w:rPr>
          <w:rFonts w:ascii="Times New Roman" w:hAnsi="Times New Roman" w:cs="Times New Roman"/>
          <w:sz w:val="24"/>
          <w:szCs w:val="24"/>
          <w:lang w:val="lv-LV"/>
        </w:rPr>
        <w:t xml:space="preserve"> </w:t>
      </w:r>
    </w:p>
    <w:p w14:paraId="5CF53752" w14:textId="6A4099B5" w:rsidR="00256D40" w:rsidRPr="006166CC" w:rsidRDefault="00DA79F8" w:rsidP="00754212">
      <w:pPr>
        <w:jc w:val="both"/>
        <w:rPr>
          <w:rFonts w:ascii="Times New Roman" w:hAnsi="Times New Roman" w:cs="Times New Roman"/>
          <w:sz w:val="24"/>
          <w:szCs w:val="24"/>
          <w:lang w:val="lv-LV"/>
        </w:rPr>
      </w:pPr>
      <w:r w:rsidRPr="006166CC">
        <w:rPr>
          <w:rFonts w:ascii="Times New Roman" w:hAnsi="Times New Roman" w:cs="Times New Roman"/>
          <w:sz w:val="24"/>
          <w:szCs w:val="24"/>
          <w:lang w:val="lv-LV"/>
        </w:rPr>
        <w:t>Turklāt, lai stimulētu kapitāla tirgus</w:t>
      </w:r>
      <w:r w:rsidR="006C10E3" w:rsidRPr="006166CC">
        <w:rPr>
          <w:rFonts w:ascii="Times New Roman" w:hAnsi="Times New Roman" w:cs="Times New Roman"/>
          <w:sz w:val="24"/>
          <w:szCs w:val="24"/>
          <w:lang w:val="lv-LV"/>
        </w:rPr>
        <w:t xml:space="preserve"> </w:t>
      </w:r>
      <w:r w:rsidRPr="006166CC">
        <w:rPr>
          <w:rFonts w:ascii="Times New Roman" w:hAnsi="Times New Roman" w:cs="Times New Roman"/>
          <w:sz w:val="24"/>
          <w:szCs w:val="24"/>
          <w:lang w:val="lv-LV"/>
        </w:rPr>
        <w:t>attīstību, biržā jānonāk liel</w:t>
      </w:r>
      <w:r w:rsidR="006859C1" w:rsidRPr="006166CC">
        <w:rPr>
          <w:rFonts w:ascii="Times New Roman" w:hAnsi="Times New Roman" w:cs="Times New Roman"/>
          <w:sz w:val="24"/>
          <w:szCs w:val="24"/>
          <w:lang w:val="lv-LV"/>
        </w:rPr>
        <w:t>ām</w:t>
      </w:r>
      <w:r w:rsidRPr="006166CC">
        <w:rPr>
          <w:rFonts w:ascii="Times New Roman" w:hAnsi="Times New Roman" w:cs="Times New Roman"/>
          <w:sz w:val="24"/>
          <w:szCs w:val="24"/>
          <w:lang w:val="lv-LV"/>
        </w:rPr>
        <w:t xml:space="preserve"> </w:t>
      </w:r>
      <w:r w:rsidR="006859C1" w:rsidRPr="006166CC">
        <w:rPr>
          <w:rFonts w:ascii="Times New Roman" w:hAnsi="Times New Roman" w:cs="Times New Roman"/>
          <w:sz w:val="24"/>
          <w:szCs w:val="24"/>
          <w:lang w:val="lv-LV"/>
        </w:rPr>
        <w:t>kapitālsabiedrībām</w:t>
      </w:r>
      <w:r w:rsidRPr="006166CC">
        <w:rPr>
          <w:rFonts w:ascii="Times New Roman" w:hAnsi="Times New Roman" w:cs="Times New Roman"/>
          <w:sz w:val="24"/>
          <w:szCs w:val="24"/>
          <w:lang w:val="lv-LV"/>
        </w:rPr>
        <w:t xml:space="preserve"> ar tirgus vērtību, kas ir mērāma vairākos simtos miljonu eiro. Tieši šād</w:t>
      </w:r>
      <w:r w:rsidR="006859C1" w:rsidRPr="006166CC">
        <w:rPr>
          <w:rFonts w:ascii="Times New Roman" w:hAnsi="Times New Roman" w:cs="Times New Roman"/>
          <w:sz w:val="24"/>
          <w:szCs w:val="24"/>
          <w:lang w:val="lv-LV"/>
        </w:rPr>
        <w:t>as</w:t>
      </w:r>
      <w:r w:rsidRPr="006166CC">
        <w:rPr>
          <w:rFonts w:ascii="Times New Roman" w:hAnsi="Times New Roman" w:cs="Times New Roman"/>
          <w:sz w:val="24"/>
          <w:szCs w:val="24"/>
          <w:lang w:val="lv-LV"/>
        </w:rPr>
        <w:t xml:space="preserve"> </w:t>
      </w:r>
      <w:r w:rsidR="006859C1" w:rsidRPr="006166CC">
        <w:rPr>
          <w:rFonts w:ascii="Times New Roman" w:hAnsi="Times New Roman" w:cs="Times New Roman"/>
          <w:sz w:val="24"/>
          <w:szCs w:val="24"/>
          <w:lang w:val="lv-LV"/>
        </w:rPr>
        <w:t>kapitālsabiedrības</w:t>
      </w:r>
      <w:r w:rsidRPr="006166CC">
        <w:rPr>
          <w:rFonts w:ascii="Times New Roman" w:hAnsi="Times New Roman" w:cs="Times New Roman"/>
          <w:sz w:val="24"/>
          <w:szCs w:val="24"/>
          <w:lang w:val="lv-LV"/>
        </w:rPr>
        <w:t xml:space="preserve"> piesaista sākotnējo ārvalstu investoru interesi un aktivizē vietējos investorus. Tie ir likvīdi un interesanti ieguldītājiem. Raugoties uz Latvijas vērtīgāko uzņēmumu Top 101, ir redzams, ka šādu uzņēmumu skaits ir neliels un </w:t>
      </w:r>
      <w:r w:rsidR="00096130" w:rsidRPr="006166CC">
        <w:rPr>
          <w:rFonts w:ascii="Times New Roman" w:hAnsi="Times New Roman" w:cs="Times New Roman"/>
          <w:sz w:val="24"/>
          <w:szCs w:val="24"/>
          <w:lang w:val="lv-LV"/>
        </w:rPr>
        <w:t xml:space="preserve">saraksta </w:t>
      </w:r>
      <w:r w:rsidRPr="006166CC">
        <w:rPr>
          <w:rFonts w:ascii="Times New Roman" w:hAnsi="Times New Roman" w:cs="Times New Roman"/>
          <w:sz w:val="24"/>
          <w:szCs w:val="24"/>
          <w:lang w:val="lv-LV"/>
        </w:rPr>
        <w:t xml:space="preserve">augšgalā pārliecinoši dominē tādi valstij piederošie uzņēmumi kā </w:t>
      </w:r>
      <w:r w:rsidR="005523F0" w:rsidRPr="006166CC">
        <w:rPr>
          <w:rFonts w:ascii="Times New Roman" w:hAnsi="Times New Roman" w:cs="Times New Roman"/>
          <w:sz w:val="24"/>
          <w:szCs w:val="24"/>
          <w:lang w:val="lv-LV"/>
        </w:rPr>
        <w:t>AS “</w:t>
      </w:r>
      <w:r w:rsidRPr="006166CC">
        <w:rPr>
          <w:rFonts w:ascii="Times New Roman" w:hAnsi="Times New Roman" w:cs="Times New Roman"/>
          <w:sz w:val="24"/>
          <w:szCs w:val="24"/>
          <w:lang w:val="lv-LV"/>
        </w:rPr>
        <w:t>Latvenergo</w:t>
      </w:r>
      <w:r w:rsidR="005523F0" w:rsidRPr="006166CC">
        <w:rPr>
          <w:rFonts w:ascii="Times New Roman" w:hAnsi="Times New Roman" w:cs="Times New Roman"/>
          <w:sz w:val="24"/>
          <w:szCs w:val="24"/>
          <w:lang w:val="lv-LV"/>
        </w:rPr>
        <w:t>”</w:t>
      </w:r>
      <w:r w:rsidRPr="006166CC">
        <w:rPr>
          <w:rFonts w:ascii="Times New Roman" w:hAnsi="Times New Roman" w:cs="Times New Roman"/>
          <w:sz w:val="24"/>
          <w:szCs w:val="24"/>
          <w:lang w:val="lv-LV"/>
        </w:rPr>
        <w:t xml:space="preserve">, </w:t>
      </w:r>
      <w:r w:rsidR="005523F0" w:rsidRPr="006166CC">
        <w:rPr>
          <w:rFonts w:ascii="Times New Roman" w:hAnsi="Times New Roman" w:cs="Times New Roman"/>
          <w:sz w:val="24"/>
          <w:szCs w:val="24"/>
          <w:lang w:val="lv-LV"/>
        </w:rPr>
        <w:t>VAS “</w:t>
      </w:r>
      <w:r w:rsidRPr="006166CC">
        <w:rPr>
          <w:rFonts w:ascii="Times New Roman" w:hAnsi="Times New Roman" w:cs="Times New Roman"/>
          <w:sz w:val="24"/>
          <w:szCs w:val="24"/>
          <w:lang w:val="lv-LV"/>
        </w:rPr>
        <w:t>Latvijas valsts meži</w:t>
      </w:r>
      <w:r w:rsidR="005523F0" w:rsidRPr="006166CC">
        <w:rPr>
          <w:rFonts w:ascii="Times New Roman" w:hAnsi="Times New Roman" w:cs="Times New Roman"/>
          <w:sz w:val="24"/>
          <w:szCs w:val="24"/>
          <w:lang w:val="lv-LV"/>
        </w:rPr>
        <w:t>”</w:t>
      </w:r>
      <w:r w:rsidRPr="006166CC">
        <w:rPr>
          <w:rFonts w:ascii="Times New Roman" w:hAnsi="Times New Roman" w:cs="Times New Roman"/>
          <w:sz w:val="24"/>
          <w:szCs w:val="24"/>
          <w:lang w:val="lv-LV"/>
        </w:rPr>
        <w:t xml:space="preserve"> un </w:t>
      </w:r>
      <w:r w:rsidR="005523F0" w:rsidRPr="006166CC">
        <w:rPr>
          <w:rFonts w:ascii="Times New Roman" w:hAnsi="Times New Roman" w:cs="Times New Roman"/>
          <w:sz w:val="24"/>
          <w:szCs w:val="24"/>
          <w:lang w:val="lv-LV"/>
        </w:rPr>
        <w:t>VAS “</w:t>
      </w:r>
      <w:r w:rsidRPr="006166CC">
        <w:rPr>
          <w:rFonts w:ascii="Times New Roman" w:hAnsi="Times New Roman" w:cs="Times New Roman"/>
          <w:sz w:val="24"/>
          <w:szCs w:val="24"/>
          <w:lang w:val="lv-LV"/>
        </w:rPr>
        <w:t>Latvijas dzelzceļš</w:t>
      </w:r>
      <w:r w:rsidR="005523F0" w:rsidRPr="006166CC">
        <w:rPr>
          <w:rFonts w:ascii="Times New Roman" w:hAnsi="Times New Roman" w:cs="Times New Roman"/>
          <w:sz w:val="24"/>
          <w:szCs w:val="24"/>
          <w:lang w:val="lv-LV"/>
        </w:rPr>
        <w:t>”</w:t>
      </w:r>
      <w:r w:rsidR="0046298C" w:rsidRPr="006166CC">
        <w:rPr>
          <w:rFonts w:ascii="Times New Roman" w:hAnsi="Times New Roman" w:cs="Times New Roman"/>
          <w:sz w:val="24"/>
          <w:szCs w:val="24"/>
          <w:lang w:val="lv-LV"/>
        </w:rPr>
        <w:t>,</w:t>
      </w:r>
      <w:r w:rsidRPr="006166CC">
        <w:rPr>
          <w:rFonts w:ascii="Times New Roman" w:hAnsi="Times New Roman" w:cs="Times New Roman"/>
          <w:sz w:val="24"/>
          <w:szCs w:val="24"/>
          <w:vertAlign w:val="superscript"/>
        </w:rPr>
        <w:footnoteReference w:id="14"/>
      </w:r>
      <w:r w:rsidR="0067387C" w:rsidRPr="006166CC">
        <w:rPr>
          <w:rFonts w:ascii="Times New Roman" w:hAnsi="Times New Roman" w:cs="Times New Roman"/>
          <w:sz w:val="24"/>
          <w:szCs w:val="24"/>
          <w:lang w:val="lv-LV"/>
        </w:rPr>
        <w:t xml:space="preserve"> tomēr šo</w:t>
      </w:r>
      <w:r w:rsidR="0046298C" w:rsidRPr="006166CC">
        <w:rPr>
          <w:rFonts w:ascii="Times New Roman" w:hAnsi="Times New Roman" w:cs="Times New Roman"/>
          <w:sz w:val="24"/>
          <w:szCs w:val="24"/>
          <w:lang w:val="lv-LV"/>
        </w:rPr>
        <w:t xml:space="preserve"> </w:t>
      </w:r>
      <w:r w:rsidR="00256D40" w:rsidRPr="006166CC">
        <w:rPr>
          <w:rFonts w:ascii="Times New Roman" w:hAnsi="Times New Roman" w:cs="Times New Roman"/>
          <w:sz w:val="24"/>
          <w:szCs w:val="24"/>
          <w:lang w:val="lv-LV"/>
        </w:rPr>
        <w:t xml:space="preserve">un </w:t>
      </w:r>
      <w:r w:rsidR="0067387C" w:rsidRPr="006166CC">
        <w:rPr>
          <w:rFonts w:ascii="Times New Roman" w:hAnsi="Times New Roman" w:cs="Times New Roman"/>
          <w:sz w:val="24"/>
          <w:szCs w:val="24"/>
          <w:lang w:val="lv-LV"/>
        </w:rPr>
        <w:t xml:space="preserve">vēl trīs citu valsts kapitālsabiedrību </w:t>
      </w:r>
      <w:r w:rsidR="00256D40" w:rsidRPr="006166CC">
        <w:rPr>
          <w:rFonts w:ascii="Times New Roman" w:hAnsi="Times New Roman" w:cs="Times New Roman"/>
          <w:sz w:val="24"/>
          <w:szCs w:val="24"/>
          <w:lang w:val="lv-LV"/>
        </w:rPr>
        <w:t xml:space="preserve">(VAS “Latvija pasts”, VAS “Starptautiskā lidosta “Rīga”” un VAS “Latvijas gaisa satiksme”) </w:t>
      </w:r>
      <w:r w:rsidR="005523F0" w:rsidRPr="006166CC">
        <w:rPr>
          <w:rFonts w:ascii="Times New Roman" w:hAnsi="Times New Roman" w:cs="Times New Roman"/>
          <w:sz w:val="24"/>
          <w:szCs w:val="24"/>
          <w:lang w:val="lv-LV"/>
        </w:rPr>
        <w:t>akcijas</w:t>
      </w:r>
      <w:r w:rsidR="0067387C" w:rsidRPr="006166CC">
        <w:rPr>
          <w:rFonts w:ascii="Times New Roman" w:hAnsi="Times New Roman" w:cs="Times New Roman"/>
          <w:sz w:val="24"/>
          <w:szCs w:val="24"/>
          <w:lang w:val="lv-LV"/>
        </w:rPr>
        <w:t xml:space="preserve"> </w:t>
      </w:r>
      <w:r w:rsidR="0046298C" w:rsidRPr="006166CC">
        <w:rPr>
          <w:rFonts w:ascii="Times New Roman" w:hAnsi="Times New Roman" w:cs="Times New Roman"/>
          <w:sz w:val="24"/>
          <w:szCs w:val="24"/>
          <w:lang w:val="lv-LV"/>
        </w:rPr>
        <w:t xml:space="preserve">atbilstoši </w:t>
      </w:r>
      <w:r w:rsidR="0067387C" w:rsidRPr="006166CC">
        <w:rPr>
          <w:rFonts w:ascii="Times New Roman" w:hAnsi="Times New Roman" w:cs="Times New Roman"/>
          <w:sz w:val="24"/>
          <w:szCs w:val="24"/>
          <w:lang w:val="lv-LV"/>
        </w:rPr>
        <w:t>Valsts un pašvaldību īpašuma privatizācijas un privatizācijas sertifikātu izmantošanas pabeigšanas</w:t>
      </w:r>
      <w:r w:rsidR="00096130" w:rsidRPr="006166CC">
        <w:rPr>
          <w:rFonts w:ascii="Times New Roman" w:hAnsi="Times New Roman" w:cs="Times New Roman"/>
          <w:sz w:val="24"/>
          <w:szCs w:val="24"/>
          <w:lang w:val="lv-LV"/>
        </w:rPr>
        <w:t xml:space="preserve"> </w:t>
      </w:r>
      <w:r w:rsidR="0046298C" w:rsidRPr="006166CC">
        <w:rPr>
          <w:rFonts w:ascii="Times New Roman" w:hAnsi="Times New Roman" w:cs="Times New Roman"/>
          <w:sz w:val="24"/>
          <w:szCs w:val="24"/>
          <w:lang w:val="lv-LV"/>
        </w:rPr>
        <w:t>likuma</w:t>
      </w:r>
      <w:r w:rsidR="00451512" w:rsidRPr="006166CC">
        <w:rPr>
          <w:rFonts w:ascii="Times New Roman" w:hAnsi="Times New Roman" w:cs="Times New Roman"/>
          <w:sz w:val="24"/>
          <w:szCs w:val="24"/>
          <w:vertAlign w:val="superscript"/>
        </w:rPr>
        <w:footnoteReference w:id="15"/>
      </w:r>
      <w:r w:rsidR="0046298C" w:rsidRPr="006166CC">
        <w:rPr>
          <w:rFonts w:ascii="Times New Roman" w:hAnsi="Times New Roman" w:cs="Times New Roman"/>
          <w:sz w:val="24"/>
          <w:szCs w:val="24"/>
          <w:lang w:val="lv-LV"/>
        </w:rPr>
        <w:t xml:space="preserve"> </w:t>
      </w:r>
      <w:r w:rsidR="0067387C" w:rsidRPr="006166CC">
        <w:rPr>
          <w:rFonts w:ascii="Times New Roman" w:hAnsi="Times New Roman" w:cs="Times New Roman"/>
          <w:sz w:val="24"/>
          <w:szCs w:val="24"/>
          <w:lang w:val="lv-LV"/>
        </w:rPr>
        <w:t xml:space="preserve">17.pantam </w:t>
      </w:r>
      <w:r w:rsidR="0046298C" w:rsidRPr="006166CC">
        <w:rPr>
          <w:rFonts w:ascii="Times New Roman" w:hAnsi="Times New Roman" w:cs="Times New Roman"/>
          <w:sz w:val="24"/>
          <w:szCs w:val="24"/>
          <w:lang w:val="lv-LV"/>
        </w:rPr>
        <w:lastRenderedPageBreak/>
        <w:t>nevar pašlaik tikt privatizēt</w:t>
      </w:r>
      <w:r w:rsidR="0067387C" w:rsidRPr="006166CC">
        <w:rPr>
          <w:rFonts w:ascii="Times New Roman" w:hAnsi="Times New Roman" w:cs="Times New Roman"/>
          <w:sz w:val="24"/>
          <w:szCs w:val="24"/>
          <w:lang w:val="lv-LV"/>
        </w:rPr>
        <w:t>as vai atsavinātas</w:t>
      </w:r>
      <w:r w:rsidR="0046298C" w:rsidRPr="006166CC">
        <w:rPr>
          <w:rFonts w:ascii="Times New Roman" w:hAnsi="Times New Roman" w:cs="Times New Roman"/>
          <w:sz w:val="24"/>
          <w:szCs w:val="24"/>
          <w:lang w:val="lv-LV"/>
        </w:rPr>
        <w:t xml:space="preserve">, ja </w:t>
      </w:r>
      <w:r w:rsidR="0067387C" w:rsidRPr="006166CC">
        <w:rPr>
          <w:rFonts w:ascii="Times New Roman" w:hAnsi="Times New Roman" w:cs="Times New Roman"/>
          <w:sz w:val="24"/>
          <w:szCs w:val="24"/>
          <w:lang w:val="lv-LV"/>
        </w:rPr>
        <w:t xml:space="preserve">vien </w:t>
      </w:r>
      <w:r w:rsidR="0046298C" w:rsidRPr="006166CC">
        <w:rPr>
          <w:rFonts w:ascii="Times New Roman" w:hAnsi="Times New Roman" w:cs="Times New Roman"/>
          <w:sz w:val="24"/>
          <w:szCs w:val="24"/>
          <w:lang w:val="lv-LV"/>
        </w:rPr>
        <w:t xml:space="preserve">netiek veikti attiecīgi likuma grozījumi. </w:t>
      </w:r>
      <w:r w:rsidR="005523F0" w:rsidRPr="006166CC">
        <w:rPr>
          <w:rFonts w:ascii="Times New Roman" w:hAnsi="Times New Roman" w:cs="Times New Roman"/>
          <w:sz w:val="24"/>
          <w:szCs w:val="24"/>
          <w:lang w:val="lv-LV"/>
        </w:rPr>
        <w:t xml:space="preserve">Tāpat arī Attīstības finanšu institūcijas likumā ir noteikts, ka finanšu institūcija ir kapitālsabiedrība, kurā visas balsstiesīgās akcijas pieder valstij. </w:t>
      </w:r>
      <w:r w:rsidR="00256D40" w:rsidRPr="006166CC">
        <w:rPr>
          <w:rFonts w:ascii="Times New Roman" w:hAnsi="Times New Roman" w:cs="Times New Roman"/>
          <w:sz w:val="24"/>
          <w:szCs w:val="24"/>
          <w:lang w:val="lv-LV"/>
        </w:rPr>
        <w:t xml:space="preserve">Taču, neskatoties uz minēto, kapitāla piesaiste </w:t>
      </w:r>
      <w:r w:rsidR="005523F0" w:rsidRPr="006166CC">
        <w:rPr>
          <w:rFonts w:ascii="Times New Roman" w:hAnsi="Times New Roman" w:cs="Times New Roman"/>
          <w:sz w:val="24"/>
          <w:szCs w:val="24"/>
          <w:lang w:val="lv-LV"/>
        </w:rPr>
        <w:t>ar</w:t>
      </w:r>
      <w:r w:rsidR="00256D40" w:rsidRPr="006166CC">
        <w:rPr>
          <w:rFonts w:ascii="Times New Roman" w:hAnsi="Times New Roman" w:cs="Times New Roman"/>
          <w:sz w:val="24"/>
          <w:szCs w:val="24"/>
          <w:lang w:val="lv-LV"/>
        </w:rPr>
        <w:t xml:space="preserve"> </w:t>
      </w:r>
      <w:r w:rsidR="000442F0" w:rsidRPr="006166CC">
        <w:rPr>
          <w:rFonts w:ascii="Times New Roman" w:hAnsi="Times New Roman" w:cs="Times New Roman"/>
          <w:sz w:val="24"/>
          <w:szCs w:val="24"/>
          <w:lang w:val="lv-LV"/>
        </w:rPr>
        <w:t xml:space="preserve">aizņēmumu </w:t>
      </w:r>
      <w:r w:rsidR="00256D40" w:rsidRPr="006166CC">
        <w:rPr>
          <w:rFonts w:ascii="Times New Roman" w:hAnsi="Times New Roman" w:cs="Times New Roman"/>
          <w:sz w:val="24"/>
          <w:szCs w:val="24"/>
          <w:lang w:val="lv-LV"/>
        </w:rPr>
        <w:t>obligāciju emisiju ir iespējama</w:t>
      </w:r>
      <w:r w:rsidR="000442F0" w:rsidRPr="006166CC">
        <w:rPr>
          <w:rFonts w:ascii="Times New Roman" w:hAnsi="Times New Roman" w:cs="Times New Roman"/>
          <w:sz w:val="24"/>
          <w:szCs w:val="24"/>
          <w:lang w:val="lv-LV"/>
        </w:rPr>
        <w:t xml:space="preserve"> arī šiem uzņēmumiem</w:t>
      </w:r>
      <w:r w:rsidR="00256D40" w:rsidRPr="006166CC">
        <w:rPr>
          <w:rFonts w:ascii="Times New Roman" w:hAnsi="Times New Roman" w:cs="Times New Roman"/>
          <w:sz w:val="24"/>
          <w:szCs w:val="24"/>
          <w:lang w:val="lv-LV"/>
        </w:rPr>
        <w:t xml:space="preserve">. </w:t>
      </w:r>
    </w:p>
    <w:p w14:paraId="46583961" w14:textId="4C3BE7B9" w:rsidR="00AC0CE4" w:rsidRPr="006166CC" w:rsidRDefault="00DA79F8" w:rsidP="00EA3BA7">
      <w:pPr>
        <w:jc w:val="both"/>
        <w:rPr>
          <w:rFonts w:ascii="Times New Roman" w:hAnsi="Times New Roman" w:cs="Times New Roman"/>
          <w:sz w:val="24"/>
          <w:szCs w:val="24"/>
          <w:lang w:val="lv-LV"/>
        </w:rPr>
      </w:pPr>
      <w:r w:rsidRPr="006166CC">
        <w:rPr>
          <w:rFonts w:ascii="Times New Roman" w:hAnsi="Times New Roman" w:cs="Times New Roman"/>
          <w:sz w:val="24"/>
          <w:szCs w:val="24"/>
          <w:lang w:val="lv-LV"/>
        </w:rPr>
        <w:t>Līdz ar to, uzsākot kotēt biržā valstij piederoš</w:t>
      </w:r>
      <w:r w:rsidR="005523F0" w:rsidRPr="006166CC">
        <w:rPr>
          <w:rFonts w:ascii="Times New Roman" w:hAnsi="Times New Roman" w:cs="Times New Roman"/>
          <w:sz w:val="24"/>
          <w:szCs w:val="24"/>
          <w:lang w:val="lv-LV"/>
        </w:rPr>
        <w:t>o</w:t>
      </w:r>
      <w:r w:rsidRPr="006166CC">
        <w:rPr>
          <w:rFonts w:ascii="Times New Roman" w:hAnsi="Times New Roman" w:cs="Times New Roman"/>
          <w:sz w:val="24"/>
          <w:szCs w:val="24"/>
          <w:lang w:val="lv-LV"/>
        </w:rPr>
        <w:t xml:space="preserve"> </w:t>
      </w:r>
      <w:r w:rsidR="00384D0C" w:rsidRPr="006166CC">
        <w:rPr>
          <w:rFonts w:ascii="Times New Roman" w:hAnsi="Times New Roman" w:cs="Times New Roman"/>
          <w:sz w:val="24"/>
          <w:szCs w:val="24"/>
          <w:lang w:val="lv-LV"/>
        </w:rPr>
        <w:t>kapitālsabiedrīb</w:t>
      </w:r>
      <w:r w:rsidR="005523F0" w:rsidRPr="006166CC">
        <w:rPr>
          <w:rFonts w:ascii="Times New Roman" w:hAnsi="Times New Roman" w:cs="Times New Roman"/>
          <w:sz w:val="24"/>
          <w:szCs w:val="24"/>
          <w:lang w:val="lv-LV"/>
        </w:rPr>
        <w:t>u akcijas</w:t>
      </w:r>
      <w:r w:rsidRPr="006166CC">
        <w:rPr>
          <w:rFonts w:ascii="Times New Roman" w:hAnsi="Times New Roman" w:cs="Times New Roman"/>
          <w:sz w:val="24"/>
          <w:szCs w:val="24"/>
          <w:lang w:val="lv-LV"/>
        </w:rPr>
        <w:t>, ir iespējams sniegt izšķirošu impulsu Latvijas kapitāla tirgus attīstībai kopumā</w:t>
      </w:r>
      <w:r w:rsidR="00423C7D" w:rsidRPr="006166CC">
        <w:rPr>
          <w:rFonts w:ascii="Times New Roman" w:hAnsi="Times New Roman" w:cs="Times New Roman"/>
          <w:sz w:val="24"/>
          <w:szCs w:val="24"/>
          <w:lang w:val="lv-LV"/>
        </w:rPr>
        <w:t xml:space="preserve">. </w:t>
      </w:r>
      <w:r w:rsidR="00D1310A" w:rsidRPr="006166CC">
        <w:rPr>
          <w:rFonts w:ascii="Times New Roman" w:hAnsi="Times New Roman" w:cs="Times New Roman"/>
          <w:sz w:val="24"/>
          <w:szCs w:val="24"/>
          <w:lang w:val="lv-LV"/>
        </w:rPr>
        <w:t>Praktiskas liecības un</w:t>
      </w:r>
      <w:r w:rsidR="000442F0" w:rsidRPr="006166CC">
        <w:rPr>
          <w:rFonts w:ascii="Times New Roman" w:hAnsi="Times New Roman" w:cs="Times New Roman"/>
          <w:sz w:val="24"/>
          <w:szCs w:val="24"/>
          <w:lang w:val="lv-LV"/>
        </w:rPr>
        <w:t xml:space="preserve"> </w:t>
      </w:r>
      <w:r w:rsidR="00D1310A" w:rsidRPr="006166CC">
        <w:rPr>
          <w:rFonts w:ascii="Times New Roman" w:hAnsi="Times New Roman" w:cs="Times New Roman"/>
          <w:sz w:val="24"/>
          <w:szCs w:val="24"/>
          <w:lang w:val="lv-LV"/>
        </w:rPr>
        <w:t xml:space="preserve">pieredze no ārvalstu kapitāla tirgiem pierāda, ka ļoti nozīmīgs atbalsta punkts biržas sākotnējai izaugsmes veicināšanai ir tieši valstij piederošo </w:t>
      </w:r>
      <w:r w:rsidR="00384D0C" w:rsidRPr="006166CC">
        <w:rPr>
          <w:rFonts w:ascii="Times New Roman" w:hAnsi="Times New Roman" w:cs="Times New Roman"/>
          <w:sz w:val="24"/>
          <w:szCs w:val="24"/>
          <w:lang w:val="lv-LV"/>
        </w:rPr>
        <w:t>kapitālsabiedrību</w:t>
      </w:r>
      <w:r w:rsidR="005523F0" w:rsidRPr="006166CC">
        <w:rPr>
          <w:rFonts w:ascii="Times New Roman" w:hAnsi="Times New Roman" w:cs="Times New Roman"/>
          <w:sz w:val="24"/>
          <w:szCs w:val="24"/>
          <w:lang w:val="lv-LV"/>
        </w:rPr>
        <w:t xml:space="preserve"> akciju</w:t>
      </w:r>
      <w:r w:rsidR="00384D0C" w:rsidRPr="006166CC">
        <w:rPr>
          <w:rFonts w:ascii="Times New Roman" w:hAnsi="Times New Roman" w:cs="Times New Roman"/>
          <w:sz w:val="24"/>
          <w:szCs w:val="24"/>
          <w:lang w:val="lv-LV"/>
        </w:rPr>
        <w:t xml:space="preserve"> </w:t>
      </w:r>
      <w:r w:rsidR="00D1310A" w:rsidRPr="006166CC">
        <w:rPr>
          <w:rFonts w:ascii="Times New Roman" w:hAnsi="Times New Roman" w:cs="Times New Roman"/>
          <w:sz w:val="24"/>
          <w:szCs w:val="24"/>
          <w:lang w:val="lv-LV"/>
        </w:rPr>
        <w:t xml:space="preserve">kotēšana. Šādi tiek nodrošināta nepieciešamā </w:t>
      </w:r>
      <w:r w:rsidR="00110569" w:rsidRPr="006166CC">
        <w:rPr>
          <w:rFonts w:ascii="Times New Roman" w:hAnsi="Times New Roman" w:cs="Times New Roman"/>
          <w:sz w:val="24"/>
          <w:szCs w:val="24"/>
          <w:lang w:val="lv-LV"/>
        </w:rPr>
        <w:t>kritiskā</w:t>
      </w:r>
      <w:r w:rsidR="00D1310A" w:rsidRPr="006166CC">
        <w:rPr>
          <w:rFonts w:ascii="Times New Roman" w:hAnsi="Times New Roman" w:cs="Times New Roman"/>
          <w:sz w:val="24"/>
          <w:szCs w:val="24"/>
          <w:lang w:val="lv-LV"/>
        </w:rPr>
        <w:t xml:space="preserve"> masa biržas popularizēšanai un </w:t>
      </w:r>
      <w:r w:rsidR="000442F0" w:rsidRPr="006166CC">
        <w:rPr>
          <w:rFonts w:ascii="Times New Roman" w:hAnsi="Times New Roman" w:cs="Times New Roman"/>
          <w:sz w:val="24"/>
          <w:szCs w:val="24"/>
          <w:lang w:val="lv-LV"/>
        </w:rPr>
        <w:t xml:space="preserve">tirgus </w:t>
      </w:r>
      <w:r w:rsidR="00D1310A" w:rsidRPr="006166CC">
        <w:rPr>
          <w:rFonts w:ascii="Times New Roman" w:hAnsi="Times New Roman" w:cs="Times New Roman"/>
          <w:sz w:val="24"/>
          <w:szCs w:val="24"/>
          <w:lang w:val="lv-LV"/>
        </w:rPr>
        <w:t xml:space="preserve">kapitalizācijas </w:t>
      </w:r>
      <w:r w:rsidR="00110569" w:rsidRPr="006166CC">
        <w:rPr>
          <w:rFonts w:ascii="Times New Roman" w:hAnsi="Times New Roman" w:cs="Times New Roman"/>
          <w:sz w:val="24"/>
          <w:szCs w:val="24"/>
          <w:lang w:val="lv-LV"/>
        </w:rPr>
        <w:t>paaugstināšanai</w:t>
      </w:r>
      <w:r w:rsidR="00D1310A" w:rsidRPr="006166CC">
        <w:rPr>
          <w:rFonts w:ascii="Times New Roman" w:hAnsi="Times New Roman" w:cs="Times New Roman"/>
          <w:sz w:val="24"/>
          <w:szCs w:val="24"/>
          <w:lang w:val="lv-LV"/>
        </w:rPr>
        <w:t>.</w:t>
      </w:r>
    </w:p>
    <w:p w14:paraId="419E09FE" w14:textId="77777777" w:rsidR="004020F1" w:rsidRPr="006166CC" w:rsidRDefault="004020F1" w:rsidP="00AC0CE4">
      <w:pPr>
        <w:rPr>
          <w:rFonts w:ascii="Times New Roman" w:hAnsi="Times New Roman" w:cs="Times New Roman"/>
          <w:sz w:val="24"/>
          <w:szCs w:val="24"/>
          <w:lang w:val="lv-LV"/>
        </w:rPr>
      </w:pPr>
      <w:r w:rsidRPr="006166CC">
        <w:rPr>
          <w:rFonts w:ascii="Times New Roman" w:hAnsi="Times New Roman" w:cs="Times New Roman"/>
          <w:sz w:val="24"/>
          <w:szCs w:val="24"/>
          <w:lang w:val="lv-LV"/>
        </w:rPr>
        <w:t>Galvenie ieguvumi valstij būtu šādi:</w:t>
      </w:r>
    </w:p>
    <w:p w14:paraId="66F22140" w14:textId="4B55B0AF" w:rsidR="003D4A2D" w:rsidRPr="006166CC" w:rsidRDefault="004020F1" w:rsidP="00EA3BA7">
      <w:pPr>
        <w:jc w:val="both"/>
        <w:rPr>
          <w:rFonts w:ascii="Times New Roman" w:hAnsi="Times New Roman" w:cs="Times New Roman"/>
          <w:b/>
          <w:sz w:val="24"/>
          <w:szCs w:val="24"/>
          <w:lang w:val="lv-LV"/>
        </w:rPr>
      </w:pPr>
      <w:r w:rsidRPr="006166CC">
        <w:rPr>
          <w:rFonts w:ascii="Times New Roman" w:hAnsi="Times New Roman" w:cs="Times New Roman"/>
          <w:b/>
          <w:sz w:val="24"/>
          <w:szCs w:val="24"/>
          <w:lang w:val="lv-LV"/>
        </w:rPr>
        <w:t xml:space="preserve">Iespēja palielināt </w:t>
      </w:r>
      <w:r w:rsidR="00384D0C" w:rsidRPr="006166CC">
        <w:rPr>
          <w:rFonts w:ascii="Times New Roman" w:hAnsi="Times New Roman" w:cs="Times New Roman"/>
          <w:b/>
          <w:sz w:val="24"/>
          <w:szCs w:val="24"/>
          <w:lang w:val="lv-LV"/>
        </w:rPr>
        <w:t xml:space="preserve">kapitālsabiedrību </w:t>
      </w:r>
      <w:r w:rsidRPr="006166CC">
        <w:rPr>
          <w:rFonts w:ascii="Times New Roman" w:hAnsi="Times New Roman" w:cs="Times New Roman"/>
          <w:b/>
          <w:sz w:val="24"/>
          <w:szCs w:val="24"/>
          <w:lang w:val="lv-LV"/>
        </w:rPr>
        <w:t>p</w:t>
      </w:r>
      <w:r w:rsidR="00340BDC" w:rsidRPr="006166CC">
        <w:rPr>
          <w:rFonts w:ascii="Times New Roman" w:hAnsi="Times New Roman" w:cs="Times New Roman"/>
          <w:b/>
          <w:sz w:val="24"/>
          <w:szCs w:val="24"/>
          <w:lang w:val="lv-LV"/>
        </w:rPr>
        <w:t>am</w:t>
      </w:r>
      <w:r w:rsidRPr="006166CC">
        <w:rPr>
          <w:rFonts w:ascii="Times New Roman" w:hAnsi="Times New Roman" w:cs="Times New Roman"/>
          <w:b/>
          <w:sz w:val="24"/>
          <w:szCs w:val="24"/>
          <w:lang w:val="lv-LV"/>
        </w:rPr>
        <w:t>atkapitālu</w:t>
      </w:r>
      <w:r w:rsidR="00340BDC" w:rsidRPr="006166CC">
        <w:rPr>
          <w:rFonts w:ascii="Times New Roman" w:hAnsi="Times New Roman" w:cs="Times New Roman"/>
          <w:sz w:val="24"/>
          <w:szCs w:val="24"/>
          <w:lang w:val="lv-LV"/>
        </w:rPr>
        <w:t xml:space="preserve">. </w:t>
      </w:r>
      <w:r w:rsidRPr="006166CC">
        <w:rPr>
          <w:rFonts w:ascii="Times New Roman" w:hAnsi="Times New Roman" w:cs="Times New Roman"/>
          <w:sz w:val="24"/>
          <w:szCs w:val="24"/>
          <w:lang w:val="lv-LV"/>
        </w:rPr>
        <w:t xml:space="preserve">Ja </w:t>
      </w:r>
      <w:r w:rsidR="00384D0C" w:rsidRPr="006166CC">
        <w:rPr>
          <w:rFonts w:ascii="Times New Roman" w:hAnsi="Times New Roman" w:cs="Times New Roman"/>
          <w:sz w:val="24"/>
          <w:szCs w:val="24"/>
          <w:lang w:val="lv-LV"/>
        </w:rPr>
        <w:t xml:space="preserve">kapitālsabiedrību </w:t>
      </w:r>
      <w:r w:rsidR="000442F0" w:rsidRPr="006166CC">
        <w:rPr>
          <w:rFonts w:ascii="Times New Roman" w:hAnsi="Times New Roman" w:cs="Times New Roman"/>
          <w:sz w:val="24"/>
          <w:szCs w:val="24"/>
          <w:lang w:val="lv-LV"/>
        </w:rPr>
        <w:t xml:space="preserve">jaunas </w:t>
      </w:r>
      <w:r w:rsidRPr="006166CC">
        <w:rPr>
          <w:rFonts w:ascii="Times New Roman" w:hAnsi="Times New Roman" w:cs="Times New Roman"/>
          <w:sz w:val="24"/>
          <w:szCs w:val="24"/>
          <w:lang w:val="lv-LV"/>
        </w:rPr>
        <w:t>akcijas tiek kotētas biržā</w:t>
      </w:r>
      <w:r w:rsidR="00E24D73" w:rsidRPr="006166CC">
        <w:rPr>
          <w:rFonts w:ascii="Times New Roman" w:hAnsi="Times New Roman" w:cs="Times New Roman"/>
          <w:sz w:val="24"/>
          <w:szCs w:val="24"/>
          <w:lang w:val="lv-LV"/>
        </w:rPr>
        <w:t>,</w:t>
      </w:r>
      <w:r w:rsidRPr="006166CC">
        <w:rPr>
          <w:rFonts w:ascii="Times New Roman" w:hAnsi="Times New Roman" w:cs="Times New Roman"/>
          <w:sz w:val="24"/>
          <w:szCs w:val="24"/>
          <w:lang w:val="lv-LV"/>
        </w:rPr>
        <w:t xml:space="preserve"> </w:t>
      </w:r>
      <w:r w:rsidR="00340BDC" w:rsidRPr="006166CC">
        <w:rPr>
          <w:rFonts w:ascii="Times New Roman" w:hAnsi="Times New Roman" w:cs="Times New Roman"/>
          <w:sz w:val="24"/>
          <w:szCs w:val="24"/>
          <w:lang w:val="lv-LV"/>
        </w:rPr>
        <w:t xml:space="preserve">rodas iespēja palielināt </w:t>
      </w:r>
      <w:r w:rsidRPr="006166CC">
        <w:rPr>
          <w:rFonts w:ascii="Times New Roman" w:hAnsi="Times New Roman" w:cs="Times New Roman"/>
          <w:sz w:val="24"/>
          <w:szCs w:val="24"/>
          <w:lang w:val="lv-LV"/>
        </w:rPr>
        <w:t xml:space="preserve">kapitālu un piesaistīt investīcijas </w:t>
      </w:r>
      <w:r w:rsidR="00340BDC" w:rsidRPr="006166CC">
        <w:rPr>
          <w:rFonts w:ascii="Times New Roman" w:hAnsi="Times New Roman" w:cs="Times New Roman"/>
          <w:sz w:val="24"/>
          <w:szCs w:val="24"/>
          <w:lang w:val="lv-LV"/>
        </w:rPr>
        <w:t xml:space="preserve">valstij </w:t>
      </w:r>
      <w:r w:rsidR="000442F0" w:rsidRPr="006166CC">
        <w:rPr>
          <w:rFonts w:ascii="Times New Roman" w:hAnsi="Times New Roman" w:cs="Times New Roman"/>
          <w:sz w:val="24"/>
          <w:szCs w:val="24"/>
          <w:lang w:val="lv-LV"/>
        </w:rPr>
        <w:t>piederošos</w:t>
      </w:r>
      <w:r w:rsidR="00340BDC" w:rsidRPr="006166CC">
        <w:rPr>
          <w:rFonts w:ascii="Times New Roman" w:hAnsi="Times New Roman" w:cs="Times New Roman"/>
          <w:sz w:val="24"/>
          <w:szCs w:val="24"/>
          <w:lang w:val="lv-LV"/>
        </w:rPr>
        <w:t xml:space="preserve"> uzņēmumos, piesaistot biržas investorus, tajā skaitā Latvijas pensiju fondus. Pieredze liecina, ka valstij ir </w:t>
      </w:r>
      <w:r w:rsidR="009C4FAB" w:rsidRPr="006166CC">
        <w:rPr>
          <w:rFonts w:ascii="Times New Roman" w:hAnsi="Times New Roman" w:cs="Times New Roman"/>
          <w:sz w:val="24"/>
          <w:szCs w:val="24"/>
          <w:lang w:val="lv-LV"/>
        </w:rPr>
        <w:t xml:space="preserve">samērā </w:t>
      </w:r>
      <w:r w:rsidR="00340BDC" w:rsidRPr="006166CC">
        <w:rPr>
          <w:rFonts w:ascii="Times New Roman" w:hAnsi="Times New Roman" w:cs="Times New Roman"/>
          <w:sz w:val="24"/>
          <w:szCs w:val="24"/>
          <w:lang w:val="lv-LV"/>
        </w:rPr>
        <w:t xml:space="preserve">sarežģīti un </w:t>
      </w:r>
      <w:r w:rsidR="009C4FAB" w:rsidRPr="006166CC">
        <w:rPr>
          <w:rFonts w:ascii="Times New Roman" w:hAnsi="Times New Roman" w:cs="Times New Roman"/>
          <w:sz w:val="24"/>
          <w:szCs w:val="24"/>
          <w:lang w:val="lv-LV"/>
        </w:rPr>
        <w:t>laikietilpīgi</w:t>
      </w:r>
      <w:r w:rsidR="00340BDC" w:rsidRPr="006166CC">
        <w:rPr>
          <w:rFonts w:ascii="Times New Roman" w:hAnsi="Times New Roman" w:cs="Times New Roman"/>
          <w:sz w:val="24"/>
          <w:szCs w:val="24"/>
          <w:lang w:val="lv-LV"/>
        </w:rPr>
        <w:t xml:space="preserve"> pieņemt lēmumus par papildu finanšu līdzekļu ieguldīšanu </w:t>
      </w:r>
      <w:r w:rsidRPr="006166CC">
        <w:rPr>
          <w:rFonts w:ascii="Times New Roman" w:hAnsi="Times New Roman" w:cs="Times New Roman"/>
          <w:sz w:val="24"/>
          <w:szCs w:val="24"/>
          <w:lang w:val="lv-LV"/>
        </w:rPr>
        <w:t>valstij piederošaj</w:t>
      </w:r>
      <w:r w:rsidR="000A4320" w:rsidRPr="006166CC">
        <w:rPr>
          <w:rFonts w:ascii="Times New Roman" w:hAnsi="Times New Roman" w:cs="Times New Roman"/>
          <w:sz w:val="24"/>
          <w:szCs w:val="24"/>
          <w:lang w:val="lv-LV"/>
        </w:rPr>
        <w:t>ā</w:t>
      </w:r>
      <w:r w:rsidRPr="006166CC">
        <w:rPr>
          <w:rFonts w:ascii="Times New Roman" w:hAnsi="Times New Roman" w:cs="Times New Roman"/>
          <w:sz w:val="24"/>
          <w:szCs w:val="24"/>
          <w:lang w:val="lv-LV"/>
        </w:rPr>
        <w:t xml:space="preserve">s </w:t>
      </w:r>
      <w:r w:rsidR="000A4320" w:rsidRPr="006166CC">
        <w:rPr>
          <w:rFonts w:ascii="Times New Roman" w:hAnsi="Times New Roman" w:cs="Times New Roman"/>
          <w:sz w:val="24"/>
          <w:szCs w:val="24"/>
          <w:lang w:val="lv-LV"/>
        </w:rPr>
        <w:t>kapitālsabiedrībās</w:t>
      </w:r>
      <w:r w:rsidR="00B31744" w:rsidRPr="006166CC">
        <w:rPr>
          <w:rFonts w:ascii="Times New Roman" w:hAnsi="Times New Roman" w:cs="Times New Roman"/>
          <w:sz w:val="24"/>
          <w:szCs w:val="24"/>
          <w:lang w:val="lv-LV"/>
        </w:rPr>
        <w:t xml:space="preserve"> (t.sk. dēļ komercdarbības valsts atbalsta regulējuma)</w:t>
      </w:r>
      <w:r w:rsidR="00340BDC" w:rsidRPr="006166CC">
        <w:rPr>
          <w:rFonts w:ascii="Times New Roman" w:hAnsi="Times New Roman" w:cs="Times New Roman"/>
          <w:sz w:val="24"/>
          <w:szCs w:val="24"/>
          <w:lang w:val="lv-LV"/>
        </w:rPr>
        <w:t>.</w:t>
      </w:r>
      <w:r w:rsidRPr="006166CC">
        <w:rPr>
          <w:rFonts w:ascii="Times New Roman" w:hAnsi="Times New Roman" w:cs="Times New Roman"/>
          <w:sz w:val="24"/>
          <w:szCs w:val="24"/>
          <w:lang w:val="lv-LV"/>
        </w:rPr>
        <w:t xml:space="preserve"> </w:t>
      </w:r>
    </w:p>
    <w:p w14:paraId="71F27521" w14:textId="0EECA130" w:rsidR="00340BDC" w:rsidRPr="006166CC" w:rsidRDefault="00340BDC" w:rsidP="00EA3BA7">
      <w:pPr>
        <w:jc w:val="both"/>
        <w:rPr>
          <w:rFonts w:ascii="Times New Roman" w:hAnsi="Times New Roman" w:cs="Times New Roman"/>
          <w:sz w:val="24"/>
          <w:szCs w:val="24"/>
          <w:lang w:val="lv-LV"/>
        </w:rPr>
      </w:pPr>
      <w:r w:rsidRPr="006166CC">
        <w:rPr>
          <w:rFonts w:ascii="Times New Roman" w:hAnsi="Times New Roman" w:cs="Times New Roman"/>
          <w:b/>
          <w:sz w:val="24"/>
          <w:szCs w:val="24"/>
          <w:lang w:val="lv-LV"/>
        </w:rPr>
        <w:t xml:space="preserve">Papildu ieņēmumi. </w:t>
      </w:r>
      <w:r w:rsidRPr="006166CC">
        <w:rPr>
          <w:rFonts w:ascii="Times New Roman" w:hAnsi="Times New Roman" w:cs="Times New Roman"/>
          <w:sz w:val="24"/>
          <w:szCs w:val="24"/>
          <w:lang w:val="lv-LV"/>
        </w:rPr>
        <w:t xml:space="preserve">Ieguvumi no valstij piederošo </w:t>
      </w:r>
      <w:r w:rsidR="000A4320" w:rsidRPr="006166CC">
        <w:rPr>
          <w:rFonts w:ascii="Times New Roman" w:hAnsi="Times New Roman" w:cs="Times New Roman"/>
          <w:sz w:val="24"/>
          <w:szCs w:val="24"/>
          <w:lang w:val="lv-LV"/>
        </w:rPr>
        <w:t xml:space="preserve">kapitālsabiedrību </w:t>
      </w:r>
      <w:r w:rsidRPr="006166CC">
        <w:rPr>
          <w:rFonts w:ascii="Times New Roman" w:hAnsi="Times New Roman" w:cs="Times New Roman"/>
          <w:sz w:val="24"/>
          <w:szCs w:val="24"/>
          <w:lang w:val="lv-LV"/>
        </w:rPr>
        <w:t>pilnīgas vai daļējas</w:t>
      </w:r>
      <w:r w:rsidR="009C4FAB" w:rsidRPr="006166CC">
        <w:rPr>
          <w:rFonts w:ascii="Times New Roman" w:hAnsi="Times New Roman" w:cs="Times New Roman"/>
          <w:sz w:val="24"/>
          <w:szCs w:val="24"/>
          <w:lang w:val="lv-LV"/>
        </w:rPr>
        <w:t xml:space="preserve"> akciju</w:t>
      </w:r>
      <w:r w:rsidRPr="006166CC">
        <w:rPr>
          <w:rFonts w:ascii="Times New Roman" w:hAnsi="Times New Roman" w:cs="Times New Roman"/>
          <w:sz w:val="24"/>
          <w:szCs w:val="24"/>
          <w:lang w:val="lv-LV"/>
        </w:rPr>
        <w:t xml:space="preserve"> </w:t>
      </w:r>
      <w:r w:rsidR="00C7656F" w:rsidRPr="006166CC">
        <w:rPr>
          <w:rFonts w:ascii="Times New Roman" w:hAnsi="Times New Roman" w:cs="Times New Roman"/>
          <w:sz w:val="24"/>
          <w:szCs w:val="24"/>
          <w:lang w:val="lv-LV"/>
        </w:rPr>
        <w:t>kotācijas</w:t>
      </w:r>
      <w:r w:rsidRPr="006166CC">
        <w:rPr>
          <w:rFonts w:ascii="Times New Roman" w:hAnsi="Times New Roman" w:cs="Times New Roman"/>
          <w:sz w:val="24"/>
          <w:szCs w:val="24"/>
          <w:lang w:val="lv-LV"/>
        </w:rPr>
        <w:t xml:space="preserve"> ir gan sākotnējie </w:t>
      </w:r>
      <w:r w:rsidR="004020F1" w:rsidRPr="006166CC">
        <w:rPr>
          <w:rFonts w:ascii="Times New Roman" w:hAnsi="Times New Roman" w:cs="Times New Roman"/>
          <w:sz w:val="24"/>
          <w:szCs w:val="24"/>
          <w:lang w:val="lv-LV"/>
        </w:rPr>
        <w:t>pārdošanas</w:t>
      </w:r>
      <w:r w:rsidR="00E24D73" w:rsidRPr="006166CC">
        <w:rPr>
          <w:rFonts w:ascii="Times New Roman" w:hAnsi="Times New Roman" w:cs="Times New Roman"/>
          <w:sz w:val="24"/>
          <w:szCs w:val="24"/>
          <w:lang w:val="lv-LV"/>
        </w:rPr>
        <w:t xml:space="preserve"> ieņēmumi (</w:t>
      </w:r>
      <w:r w:rsidR="00FA76D9" w:rsidRPr="006166CC">
        <w:rPr>
          <w:rFonts w:ascii="Times New Roman" w:hAnsi="Times New Roman" w:cs="Times New Roman"/>
          <w:sz w:val="24"/>
          <w:szCs w:val="24"/>
          <w:lang w:val="lv-LV"/>
        </w:rPr>
        <w:t>ja tiek</w:t>
      </w:r>
      <w:r w:rsidR="00E24D73" w:rsidRPr="006166CC">
        <w:rPr>
          <w:rFonts w:ascii="Times New Roman" w:hAnsi="Times New Roman" w:cs="Times New Roman"/>
          <w:sz w:val="24"/>
          <w:szCs w:val="24"/>
          <w:lang w:val="lv-LV"/>
        </w:rPr>
        <w:t xml:space="preserve"> izvēlēta </w:t>
      </w:r>
      <w:r w:rsidR="000442F0" w:rsidRPr="006166CC">
        <w:rPr>
          <w:rFonts w:ascii="Times New Roman" w:hAnsi="Times New Roman" w:cs="Times New Roman"/>
          <w:sz w:val="24"/>
          <w:szCs w:val="24"/>
          <w:lang w:val="lv-LV"/>
        </w:rPr>
        <w:t xml:space="preserve">esošo akciju </w:t>
      </w:r>
      <w:r w:rsidR="00E24D73" w:rsidRPr="006166CC">
        <w:rPr>
          <w:rFonts w:ascii="Times New Roman" w:hAnsi="Times New Roman" w:cs="Times New Roman"/>
          <w:sz w:val="24"/>
          <w:szCs w:val="24"/>
          <w:lang w:val="lv-LV"/>
        </w:rPr>
        <w:t>pārdošanas stratēģija),</w:t>
      </w:r>
      <w:r w:rsidR="00FA76D9" w:rsidRPr="006166CC">
        <w:rPr>
          <w:rFonts w:ascii="Times New Roman" w:hAnsi="Times New Roman" w:cs="Times New Roman"/>
          <w:sz w:val="24"/>
          <w:szCs w:val="24"/>
          <w:lang w:val="lv-LV"/>
        </w:rPr>
        <w:t xml:space="preserve"> </w:t>
      </w:r>
      <w:r w:rsidRPr="006166CC">
        <w:rPr>
          <w:rFonts w:ascii="Times New Roman" w:hAnsi="Times New Roman" w:cs="Times New Roman"/>
          <w:sz w:val="24"/>
          <w:szCs w:val="24"/>
          <w:lang w:val="lv-LV"/>
        </w:rPr>
        <w:t xml:space="preserve">kurus </w:t>
      </w:r>
      <w:r w:rsidR="004020F1" w:rsidRPr="006166CC">
        <w:rPr>
          <w:rFonts w:ascii="Times New Roman" w:hAnsi="Times New Roman" w:cs="Times New Roman"/>
          <w:sz w:val="24"/>
          <w:szCs w:val="24"/>
          <w:lang w:val="lv-LV"/>
        </w:rPr>
        <w:t xml:space="preserve">var </w:t>
      </w:r>
      <w:r w:rsidRPr="006166CC">
        <w:rPr>
          <w:rFonts w:ascii="Times New Roman" w:hAnsi="Times New Roman" w:cs="Times New Roman"/>
          <w:sz w:val="24"/>
          <w:szCs w:val="24"/>
          <w:lang w:val="lv-LV"/>
        </w:rPr>
        <w:t>novirzīt kādam konkrētam uz valsts attīstību vērstam mērķim, gan</w:t>
      </w:r>
      <w:r w:rsidR="009C4FAB" w:rsidRPr="006166CC">
        <w:rPr>
          <w:rFonts w:ascii="Times New Roman" w:hAnsi="Times New Roman" w:cs="Times New Roman"/>
          <w:sz w:val="24"/>
          <w:szCs w:val="24"/>
          <w:lang w:val="lv-LV"/>
        </w:rPr>
        <w:t xml:space="preserve"> iespējama</w:t>
      </w:r>
      <w:r w:rsidRPr="006166CC">
        <w:rPr>
          <w:rFonts w:ascii="Times New Roman" w:hAnsi="Times New Roman" w:cs="Times New Roman"/>
          <w:sz w:val="24"/>
          <w:szCs w:val="24"/>
          <w:lang w:val="lv-LV"/>
        </w:rPr>
        <w:t xml:space="preserve"> ilgtermiņa ienākum</w:t>
      </w:r>
      <w:r w:rsidR="009C4FAB" w:rsidRPr="006166CC">
        <w:rPr>
          <w:rFonts w:ascii="Times New Roman" w:hAnsi="Times New Roman" w:cs="Times New Roman"/>
          <w:sz w:val="24"/>
          <w:szCs w:val="24"/>
          <w:lang w:val="lv-LV"/>
        </w:rPr>
        <w:t>u</w:t>
      </w:r>
      <w:r w:rsidRPr="006166CC">
        <w:rPr>
          <w:rFonts w:ascii="Times New Roman" w:hAnsi="Times New Roman" w:cs="Times New Roman"/>
          <w:sz w:val="24"/>
          <w:szCs w:val="24"/>
          <w:lang w:val="lv-LV"/>
        </w:rPr>
        <w:t xml:space="preserve"> </w:t>
      </w:r>
      <w:r w:rsidR="009C4FAB" w:rsidRPr="006166CC">
        <w:rPr>
          <w:rFonts w:ascii="Times New Roman" w:hAnsi="Times New Roman" w:cs="Times New Roman"/>
          <w:sz w:val="24"/>
          <w:szCs w:val="24"/>
          <w:lang w:val="lv-LV"/>
        </w:rPr>
        <w:t xml:space="preserve">palielināšanās uz vienu vērtspapīru, </w:t>
      </w:r>
      <w:r w:rsidRPr="006166CC">
        <w:rPr>
          <w:rFonts w:ascii="Times New Roman" w:hAnsi="Times New Roman" w:cs="Times New Roman"/>
          <w:sz w:val="24"/>
          <w:szCs w:val="24"/>
          <w:lang w:val="lv-LV"/>
        </w:rPr>
        <w:t>izmaksā</w:t>
      </w:r>
      <w:r w:rsidR="009C4FAB" w:rsidRPr="006166CC">
        <w:rPr>
          <w:rFonts w:ascii="Times New Roman" w:hAnsi="Times New Roman" w:cs="Times New Roman"/>
          <w:sz w:val="24"/>
          <w:szCs w:val="24"/>
          <w:lang w:val="lv-LV"/>
        </w:rPr>
        <w:t>jot</w:t>
      </w:r>
      <w:r w:rsidRPr="006166CC">
        <w:rPr>
          <w:rFonts w:ascii="Times New Roman" w:hAnsi="Times New Roman" w:cs="Times New Roman"/>
          <w:sz w:val="24"/>
          <w:szCs w:val="24"/>
          <w:lang w:val="lv-LV"/>
        </w:rPr>
        <w:t xml:space="preserve"> dividend</w:t>
      </w:r>
      <w:r w:rsidR="009C4FAB" w:rsidRPr="006166CC">
        <w:rPr>
          <w:rFonts w:ascii="Times New Roman" w:hAnsi="Times New Roman" w:cs="Times New Roman"/>
          <w:sz w:val="24"/>
          <w:szCs w:val="24"/>
          <w:lang w:val="lv-LV"/>
        </w:rPr>
        <w:t>es</w:t>
      </w:r>
      <w:r w:rsidRPr="006166CC">
        <w:rPr>
          <w:rFonts w:ascii="Times New Roman" w:hAnsi="Times New Roman" w:cs="Times New Roman"/>
          <w:sz w:val="24"/>
          <w:szCs w:val="24"/>
          <w:lang w:val="lv-LV"/>
        </w:rPr>
        <w:t>.</w:t>
      </w:r>
      <w:r w:rsidR="004020F1" w:rsidRPr="006166CC">
        <w:rPr>
          <w:rFonts w:ascii="Times New Roman" w:hAnsi="Times New Roman" w:cs="Times New Roman"/>
          <w:sz w:val="24"/>
          <w:szCs w:val="24"/>
          <w:lang w:val="lv-LV"/>
        </w:rPr>
        <w:t xml:space="preserve"> Privāt</w:t>
      </w:r>
      <w:r w:rsidR="00110569" w:rsidRPr="006166CC">
        <w:rPr>
          <w:rFonts w:ascii="Times New Roman" w:hAnsi="Times New Roman" w:cs="Times New Roman"/>
          <w:sz w:val="24"/>
          <w:szCs w:val="24"/>
          <w:lang w:val="lv-LV"/>
        </w:rPr>
        <w:t xml:space="preserve">ā </w:t>
      </w:r>
      <w:r w:rsidR="004020F1" w:rsidRPr="006166CC">
        <w:rPr>
          <w:rFonts w:ascii="Times New Roman" w:hAnsi="Times New Roman" w:cs="Times New Roman"/>
          <w:sz w:val="24"/>
          <w:szCs w:val="24"/>
          <w:lang w:val="lv-LV"/>
        </w:rPr>
        <w:t xml:space="preserve">investora klātbūtne </w:t>
      </w:r>
      <w:r w:rsidR="000A4320" w:rsidRPr="006166CC">
        <w:rPr>
          <w:rFonts w:ascii="Times New Roman" w:hAnsi="Times New Roman" w:cs="Times New Roman"/>
          <w:sz w:val="24"/>
          <w:szCs w:val="24"/>
          <w:lang w:val="lv-LV"/>
        </w:rPr>
        <w:t xml:space="preserve">kapitālsabiedrībā </w:t>
      </w:r>
      <w:r w:rsidR="004020F1" w:rsidRPr="006166CC">
        <w:rPr>
          <w:rFonts w:ascii="Times New Roman" w:hAnsi="Times New Roman" w:cs="Times New Roman"/>
          <w:sz w:val="24"/>
          <w:szCs w:val="24"/>
          <w:lang w:val="lv-LV"/>
        </w:rPr>
        <w:t>veicina saimnieciskāku pieeju biznesa attīstībai, izmaksu kontroli un mērķtiecīgāku</w:t>
      </w:r>
      <w:r w:rsidR="00B62F5D" w:rsidRPr="006166CC">
        <w:rPr>
          <w:rFonts w:ascii="Times New Roman" w:hAnsi="Times New Roman" w:cs="Times New Roman"/>
          <w:sz w:val="24"/>
          <w:szCs w:val="24"/>
          <w:lang w:val="lv-LV"/>
        </w:rPr>
        <w:t xml:space="preserve"> un ambiciozāku</w:t>
      </w:r>
      <w:r w:rsidR="004020F1" w:rsidRPr="006166CC">
        <w:rPr>
          <w:rFonts w:ascii="Times New Roman" w:hAnsi="Times New Roman" w:cs="Times New Roman"/>
          <w:sz w:val="24"/>
          <w:szCs w:val="24"/>
          <w:lang w:val="lv-LV"/>
        </w:rPr>
        <w:t xml:space="preserve"> </w:t>
      </w:r>
      <w:r w:rsidR="000A4320" w:rsidRPr="006166CC">
        <w:rPr>
          <w:rFonts w:ascii="Times New Roman" w:hAnsi="Times New Roman" w:cs="Times New Roman"/>
          <w:sz w:val="24"/>
          <w:szCs w:val="24"/>
          <w:lang w:val="lv-LV"/>
        </w:rPr>
        <w:t xml:space="preserve">kapitālsabiedrības </w:t>
      </w:r>
      <w:r w:rsidR="004020F1" w:rsidRPr="006166CC">
        <w:rPr>
          <w:rFonts w:ascii="Times New Roman" w:hAnsi="Times New Roman" w:cs="Times New Roman"/>
          <w:sz w:val="24"/>
          <w:szCs w:val="24"/>
          <w:lang w:val="lv-LV"/>
        </w:rPr>
        <w:t>ilgtermiņa attīstību.</w:t>
      </w:r>
    </w:p>
    <w:p w14:paraId="7D846DDE" w14:textId="77777777" w:rsidR="00340BDC" w:rsidRPr="006166CC" w:rsidRDefault="002712AB" w:rsidP="00EA3BA7">
      <w:pPr>
        <w:jc w:val="both"/>
        <w:rPr>
          <w:rFonts w:ascii="Times New Roman" w:hAnsi="Times New Roman" w:cs="Times New Roman"/>
          <w:sz w:val="24"/>
          <w:szCs w:val="24"/>
          <w:lang w:val="lv-LV"/>
        </w:rPr>
      </w:pPr>
      <w:r w:rsidRPr="006166CC">
        <w:rPr>
          <w:rFonts w:ascii="Times New Roman" w:hAnsi="Times New Roman" w:cs="Times New Roman"/>
          <w:sz w:val="24"/>
          <w:szCs w:val="24"/>
          <w:lang w:val="lv-LV"/>
        </w:rPr>
        <w:t>Ekonomiskās sadarbības un attīstības organizācija (</w:t>
      </w:r>
      <w:r w:rsidRPr="006166CC">
        <w:rPr>
          <w:rFonts w:ascii="Times New Roman" w:hAnsi="Times New Roman" w:cs="Times New Roman"/>
          <w:i/>
          <w:sz w:val="24"/>
          <w:szCs w:val="24"/>
          <w:lang w:val="lv-LV"/>
        </w:rPr>
        <w:t xml:space="preserve">Organisation for Economic Co-operation and Development – </w:t>
      </w:r>
      <w:r w:rsidR="00340BDC" w:rsidRPr="006166CC">
        <w:rPr>
          <w:rFonts w:ascii="Times New Roman" w:hAnsi="Times New Roman" w:cs="Times New Roman"/>
          <w:i/>
          <w:sz w:val="24"/>
          <w:szCs w:val="24"/>
          <w:lang w:val="lv-LV"/>
        </w:rPr>
        <w:t>OECD</w:t>
      </w:r>
      <w:r w:rsidRPr="006166CC">
        <w:rPr>
          <w:rFonts w:ascii="Times New Roman" w:hAnsi="Times New Roman" w:cs="Times New Roman"/>
          <w:sz w:val="24"/>
          <w:szCs w:val="24"/>
          <w:lang w:val="lv-LV"/>
        </w:rPr>
        <w:t>)</w:t>
      </w:r>
      <w:r w:rsidR="00340BDC" w:rsidRPr="006166CC">
        <w:rPr>
          <w:rFonts w:ascii="Times New Roman" w:hAnsi="Times New Roman" w:cs="Times New Roman"/>
          <w:sz w:val="24"/>
          <w:szCs w:val="24"/>
          <w:lang w:val="lv-LV"/>
        </w:rPr>
        <w:t xml:space="preserve"> 2016. gadā publiskoja pētījumu par valsts īpašumtiesībām un valstu motivāciju privatizēt uzņēmumus.</w:t>
      </w:r>
      <w:r w:rsidR="00340BDC" w:rsidRPr="006166CC">
        <w:rPr>
          <w:rStyle w:val="FootnoteReference"/>
          <w:rFonts w:ascii="Times New Roman" w:hAnsi="Times New Roman" w:cs="Times New Roman"/>
          <w:sz w:val="24"/>
          <w:szCs w:val="24"/>
          <w:lang w:val="lv-LV"/>
        </w:rPr>
        <w:footnoteReference w:id="16"/>
      </w:r>
      <w:r w:rsidR="00937054" w:rsidRPr="006166CC">
        <w:rPr>
          <w:rFonts w:ascii="Times New Roman" w:hAnsi="Times New Roman" w:cs="Times New Roman"/>
          <w:sz w:val="24"/>
          <w:szCs w:val="24"/>
          <w:lang w:val="lv-LV"/>
        </w:rPr>
        <w:t xml:space="preserve"> Z</w:t>
      </w:r>
      <w:r w:rsidR="00340BDC" w:rsidRPr="006166CC">
        <w:rPr>
          <w:rFonts w:ascii="Times New Roman" w:hAnsi="Times New Roman" w:cs="Times New Roman"/>
          <w:sz w:val="24"/>
          <w:szCs w:val="24"/>
          <w:lang w:val="lv-LV"/>
        </w:rPr>
        <w:t xml:space="preserve">iņojumā secināts, </w:t>
      </w:r>
      <w:r w:rsidR="00937054" w:rsidRPr="006166CC">
        <w:rPr>
          <w:rFonts w:ascii="Times New Roman" w:hAnsi="Times New Roman" w:cs="Times New Roman"/>
          <w:sz w:val="24"/>
          <w:szCs w:val="24"/>
          <w:lang w:val="lv-LV"/>
        </w:rPr>
        <w:t xml:space="preserve">ka </w:t>
      </w:r>
      <w:r w:rsidR="00340BDC" w:rsidRPr="006166CC">
        <w:rPr>
          <w:rFonts w:ascii="Times New Roman" w:hAnsi="Times New Roman" w:cs="Times New Roman"/>
          <w:sz w:val="24"/>
          <w:szCs w:val="24"/>
          <w:lang w:val="lv-LV"/>
        </w:rPr>
        <w:t>motivācija ir atkarīga no mērķa, kādu valsts vēlas sasniegt – sag</w:t>
      </w:r>
      <w:r w:rsidR="00937054" w:rsidRPr="006166CC">
        <w:rPr>
          <w:rFonts w:ascii="Times New Roman" w:hAnsi="Times New Roman" w:cs="Times New Roman"/>
          <w:sz w:val="24"/>
          <w:szCs w:val="24"/>
          <w:lang w:val="lv-LV"/>
        </w:rPr>
        <w:t>labāt kontroli uzņēmumā vai nē. T</w:t>
      </w:r>
      <w:r w:rsidR="00340BDC" w:rsidRPr="006166CC">
        <w:rPr>
          <w:rFonts w:ascii="Times New Roman" w:hAnsi="Times New Roman" w:cs="Times New Roman"/>
          <w:sz w:val="24"/>
          <w:szCs w:val="24"/>
          <w:lang w:val="lv-LV"/>
        </w:rPr>
        <w:t>omēr, pētot vairāku valstu piemērus, redzams, ka dominē vēlme gan uzlabot uzņēmuma darbību (piesaistot kapitālu, uzlabojot pārvaldību), gan att</w:t>
      </w:r>
      <w:r w:rsidR="00094FC3" w:rsidRPr="006166CC">
        <w:rPr>
          <w:rFonts w:ascii="Times New Roman" w:hAnsi="Times New Roman" w:cs="Times New Roman"/>
          <w:sz w:val="24"/>
          <w:szCs w:val="24"/>
          <w:lang w:val="lv-LV"/>
        </w:rPr>
        <w:t>īstīt nacionālo kapitāla tirgu</w:t>
      </w:r>
      <w:r w:rsidR="00937054" w:rsidRPr="006166CC">
        <w:rPr>
          <w:rFonts w:ascii="Times New Roman" w:hAnsi="Times New Roman" w:cs="Times New Roman"/>
          <w:sz w:val="24"/>
          <w:szCs w:val="24"/>
          <w:lang w:val="lv-LV"/>
        </w:rPr>
        <w:t xml:space="preserve"> (</w:t>
      </w:r>
      <w:r w:rsidR="00340BDC" w:rsidRPr="006166CC">
        <w:rPr>
          <w:rFonts w:ascii="Times New Roman" w:hAnsi="Times New Roman" w:cs="Times New Roman"/>
          <w:sz w:val="24"/>
          <w:szCs w:val="24"/>
          <w:lang w:val="lv-LV"/>
        </w:rPr>
        <w:t xml:space="preserve">Pielikums Nr. </w:t>
      </w:r>
      <w:r w:rsidR="00094FC3" w:rsidRPr="006166CC">
        <w:rPr>
          <w:rFonts w:ascii="Times New Roman" w:hAnsi="Times New Roman" w:cs="Times New Roman"/>
          <w:sz w:val="24"/>
          <w:szCs w:val="24"/>
          <w:lang w:val="lv-LV"/>
        </w:rPr>
        <w:t>2</w:t>
      </w:r>
      <w:r w:rsidR="00340BDC" w:rsidRPr="006166CC">
        <w:rPr>
          <w:rFonts w:ascii="Times New Roman" w:hAnsi="Times New Roman" w:cs="Times New Roman"/>
          <w:sz w:val="24"/>
          <w:szCs w:val="24"/>
          <w:lang w:val="lv-LV"/>
        </w:rPr>
        <w:t>)</w:t>
      </w:r>
      <w:r w:rsidR="00094FC3" w:rsidRPr="006166CC">
        <w:rPr>
          <w:rFonts w:ascii="Times New Roman" w:hAnsi="Times New Roman" w:cs="Times New Roman"/>
          <w:sz w:val="24"/>
          <w:szCs w:val="24"/>
          <w:lang w:val="lv-LV"/>
        </w:rPr>
        <w:t xml:space="preserve">. </w:t>
      </w:r>
    </w:p>
    <w:p w14:paraId="5C77D9A7" w14:textId="78C2C063" w:rsidR="00340BDC" w:rsidRPr="006166CC" w:rsidRDefault="00340BDC" w:rsidP="00EA3BA7">
      <w:pPr>
        <w:jc w:val="both"/>
        <w:rPr>
          <w:rFonts w:ascii="Times New Roman" w:hAnsi="Times New Roman" w:cs="Times New Roman"/>
          <w:sz w:val="24"/>
          <w:szCs w:val="24"/>
          <w:lang w:val="lv-LV"/>
        </w:rPr>
      </w:pPr>
      <w:r w:rsidRPr="006166CC">
        <w:rPr>
          <w:rFonts w:ascii="Times New Roman" w:hAnsi="Times New Roman" w:cs="Times New Roman"/>
          <w:sz w:val="24"/>
          <w:szCs w:val="24"/>
          <w:lang w:val="lv-LV"/>
        </w:rPr>
        <w:t xml:space="preserve">Vairākas </w:t>
      </w:r>
      <w:r w:rsidR="00937054" w:rsidRPr="006166CC">
        <w:rPr>
          <w:rFonts w:ascii="Times New Roman" w:hAnsi="Times New Roman" w:cs="Times New Roman"/>
          <w:sz w:val="24"/>
          <w:szCs w:val="24"/>
          <w:lang w:val="lv-LV"/>
        </w:rPr>
        <w:t xml:space="preserve">Eiropas </w:t>
      </w:r>
      <w:r w:rsidRPr="006166CC">
        <w:rPr>
          <w:rFonts w:ascii="Times New Roman" w:hAnsi="Times New Roman" w:cs="Times New Roman"/>
          <w:sz w:val="24"/>
          <w:szCs w:val="24"/>
          <w:lang w:val="lv-LV"/>
        </w:rPr>
        <w:t>valstis jau paudušas nostāju tuvākajā laikā piedāvāt valstij piederošos uzņēmu</w:t>
      </w:r>
      <w:r w:rsidR="00937054" w:rsidRPr="006166CC">
        <w:rPr>
          <w:rFonts w:ascii="Times New Roman" w:hAnsi="Times New Roman" w:cs="Times New Roman"/>
          <w:sz w:val="24"/>
          <w:szCs w:val="24"/>
          <w:lang w:val="lv-LV"/>
        </w:rPr>
        <w:t>mus investoriem</w:t>
      </w:r>
      <w:r w:rsidRPr="006166CC">
        <w:rPr>
          <w:rFonts w:ascii="Times New Roman" w:hAnsi="Times New Roman" w:cs="Times New Roman"/>
          <w:sz w:val="24"/>
          <w:szCs w:val="24"/>
          <w:lang w:val="lv-LV"/>
        </w:rPr>
        <w:t xml:space="preserve"> ar mērķi gan padarīt valstij piederošo uzņēmumu darbību efektīvāku, gan nodrošināt papildu ieņēmumus valsts budžetā, vienlaikus atbrīvojot finanšu resursus citām investīcijām. Piemēram, 2014. gadā </w:t>
      </w:r>
      <w:r w:rsidRPr="006166CC">
        <w:rPr>
          <w:rFonts w:ascii="Times New Roman" w:hAnsi="Times New Roman" w:cs="Times New Roman"/>
          <w:sz w:val="24"/>
          <w:szCs w:val="24"/>
          <w:u w:val="single"/>
          <w:lang w:val="lv-LV"/>
        </w:rPr>
        <w:t>Norvēģijas</w:t>
      </w:r>
      <w:r w:rsidRPr="006166CC">
        <w:rPr>
          <w:rFonts w:ascii="Times New Roman" w:hAnsi="Times New Roman" w:cs="Times New Roman"/>
          <w:sz w:val="24"/>
          <w:szCs w:val="24"/>
          <w:lang w:val="lv-LV"/>
        </w:rPr>
        <w:t xml:space="preserve"> valdība uzdeva izvērtēt 8 valstij piederošo uzņēmumu pilnīgu vai daļēju pārdošanu, kā arī divos uzņēmumos samazināt sev piederošo akciju apjomu</w:t>
      </w:r>
      <w:r w:rsidRPr="006166CC">
        <w:rPr>
          <w:rStyle w:val="FootnoteReference"/>
          <w:rFonts w:ascii="Times New Roman" w:hAnsi="Times New Roman" w:cs="Times New Roman"/>
          <w:sz w:val="24"/>
          <w:szCs w:val="24"/>
          <w:lang w:val="lv-LV"/>
        </w:rPr>
        <w:footnoteReference w:id="17"/>
      </w:r>
      <w:r w:rsidRPr="006166CC">
        <w:rPr>
          <w:rFonts w:ascii="Times New Roman" w:hAnsi="Times New Roman" w:cs="Times New Roman"/>
          <w:sz w:val="24"/>
          <w:szCs w:val="24"/>
          <w:lang w:val="lv-LV"/>
        </w:rPr>
        <w:t xml:space="preserve">. Līdzīgas </w:t>
      </w:r>
      <w:r w:rsidR="0067387C" w:rsidRPr="006166CC">
        <w:rPr>
          <w:rFonts w:ascii="Times New Roman" w:hAnsi="Times New Roman" w:cs="Times New Roman"/>
          <w:sz w:val="24"/>
          <w:szCs w:val="24"/>
          <w:lang w:val="lv-LV"/>
        </w:rPr>
        <w:t xml:space="preserve">diskusijas </w:t>
      </w:r>
      <w:r w:rsidRPr="006166CC">
        <w:rPr>
          <w:rFonts w:ascii="Times New Roman" w:hAnsi="Times New Roman" w:cs="Times New Roman"/>
          <w:sz w:val="24"/>
          <w:szCs w:val="24"/>
          <w:lang w:val="lv-LV"/>
        </w:rPr>
        <w:t xml:space="preserve">aizsākušās </w:t>
      </w:r>
      <w:r w:rsidR="00937054" w:rsidRPr="006166CC">
        <w:rPr>
          <w:rFonts w:ascii="Times New Roman" w:hAnsi="Times New Roman" w:cs="Times New Roman"/>
          <w:sz w:val="24"/>
          <w:szCs w:val="24"/>
          <w:lang w:val="lv-LV"/>
        </w:rPr>
        <w:t xml:space="preserve">arī </w:t>
      </w:r>
      <w:r w:rsidRPr="006166CC">
        <w:rPr>
          <w:rFonts w:ascii="Times New Roman" w:hAnsi="Times New Roman" w:cs="Times New Roman"/>
          <w:sz w:val="24"/>
          <w:szCs w:val="24"/>
          <w:u w:val="single"/>
          <w:lang w:val="lv-LV"/>
        </w:rPr>
        <w:t>Igaunijā</w:t>
      </w:r>
      <w:r w:rsidRPr="006166CC">
        <w:rPr>
          <w:rFonts w:ascii="Times New Roman" w:hAnsi="Times New Roman" w:cs="Times New Roman"/>
          <w:sz w:val="24"/>
          <w:szCs w:val="24"/>
          <w:lang w:val="lv-LV"/>
        </w:rPr>
        <w:t xml:space="preserve">, kur valdība ne tikai jau sastādījusi sarakstu </w:t>
      </w:r>
      <w:r w:rsidRPr="006166CC">
        <w:rPr>
          <w:rFonts w:ascii="Times New Roman" w:hAnsi="Times New Roman" w:cs="Times New Roman"/>
          <w:sz w:val="24"/>
          <w:szCs w:val="24"/>
          <w:lang w:val="lv-LV"/>
        </w:rPr>
        <w:lastRenderedPageBreak/>
        <w:t>ar potenciāli privatizējamiem uzņēmumiem</w:t>
      </w:r>
      <w:r w:rsidRPr="006166CC">
        <w:rPr>
          <w:rStyle w:val="FootnoteReference"/>
          <w:rFonts w:ascii="Times New Roman" w:hAnsi="Times New Roman" w:cs="Times New Roman"/>
          <w:sz w:val="24"/>
          <w:szCs w:val="24"/>
          <w:lang w:val="lv-LV"/>
        </w:rPr>
        <w:footnoteReference w:id="18"/>
      </w:r>
      <w:r w:rsidRPr="006166CC">
        <w:rPr>
          <w:rFonts w:ascii="Times New Roman" w:hAnsi="Times New Roman" w:cs="Times New Roman"/>
          <w:sz w:val="24"/>
          <w:szCs w:val="24"/>
          <w:lang w:val="lv-LV"/>
        </w:rPr>
        <w:t>, bet arī savā koalīcijas līgumā apņēmusies ieviest procedūru, kas uzliktu par pienākumu valstij piederošiem uzņēmumiem ievērot biržas informācijas atklāšanas prasības, tādējādi padarot šos uzņēmumus</w:t>
      </w:r>
      <w:r w:rsidR="00D07407" w:rsidRPr="006166CC">
        <w:rPr>
          <w:rFonts w:ascii="Times New Roman" w:hAnsi="Times New Roman" w:cs="Times New Roman"/>
          <w:sz w:val="24"/>
          <w:szCs w:val="24"/>
          <w:lang w:val="lv-LV"/>
        </w:rPr>
        <w:t xml:space="preserve"> vēl pievilcīgākus investoriem. </w:t>
      </w:r>
      <w:r w:rsidRPr="006166CC">
        <w:rPr>
          <w:rFonts w:ascii="Times New Roman" w:hAnsi="Times New Roman" w:cs="Times New Roman"/>
          <w:sz w:val="24"/>
          <w:szCs w:val="24"/>
          <w:lang w:val="lv-LV"/>
        </w:rPr>
        <w:t xml:space="preserve">Raugoties nesenā vēsturē, </w:t>
      </w:r>
      <w:r w:rsidRPr="006166CC">
        <w:rPr>
          <w:rFonts w:ascii="Times New Roman" w:hAnsi="Times New Roman" w:cs="Times New Roman"/>
          <w:sz w:val="24"/>
          <w:szCs w:val="24"/>
          <w:u w:val="single"/>
          <w:lang w:val="lv-LV"/>
        </w:rPr>
        <w:t>Rumānijā</w:t>
      </w:r>
      <w:r w:rsidRPr="006166CC">
        <w:rPr>
          <w:rFonts w:ascii="Times New Roman" w:hAnsi="Times New Roman" w:cs="Times New Roman"/>
          <w:sz w:val="24"/>
          <w:szCs w:val="24"/>
          <w:lang w:val="lv-LV"/>
        </w:rPr>
        <w:t xml:space="preserve"> valdība nacionālā tirgus attīstības nolūkos 2005. gadā izveidoja fondu, kas piesaista līdzekļus no investoriem (tai skaitā privātajiem investoriem, kuru skaits 2015. gadā sasniedza gandrīz 9 tūkstošus), un tos izvieto vietējā tirgū, investējot akcijās vai no akcijām atvasinātajos instrumentos</w:t>
      </w:r>
      <w:r w:rsidRPr="006166CC">
        <w:rPr>
          <w:rStyle w:val="FootnoteReference"/>
          <w:rFonts w:ascii="Times New Roman" w:hAnsi="Times New Roman" w:cs="Times New Roman"/>
          <w:sz w:val="24"/>
          <w:szCs w:val="24"/>
          <w:lang w:val="lv-LV"/>
        </w:rPr>
        <w:footnoteReference w:id="19"/>
      </w:r>
      <w:r w:rsidRPr="006166CC">
        <w:rPr>
          <w:rFonts w:ascii="Times New Roman" w:hAnsi="Times New Roman" w:cs="Times New Roman"/>
          <w:sz w:val="24"/>
          <w:szCs w:val="24"/>
          <w:lang w:val="lv-LV"/>
        </w:rPr>
        <w:t>. Fonds līdz šim ir ie</w:t>
      </w:r>
      <w:r w:rsidR="00DC3785" w:rsidRPr="006166CC">
        <w:rPr>
          <w:rFonts w:ascii="Times New Roman" w:hAnsi="Times New Roman" w:cs="Times New Roman"/>
          <w:sz w:val="24"/>
          <w:szCs w:val="24"/>
          <w:lang w:val="lv-LV"/>
        </w:rPr>
        <w:t>guldījis vairāk kā 200 miljonu eiro</w:t>
      </w:r>
      <w:r w:rsidRPr="006166CC">
        <w:rPr>
          <w:rFonts w:ascii="Times New Roman" w:hAnsi="Times New Roman" w:cs="Times New Roman"/>
          <w:sz w:val="24"/>
          <w:szCs w:val="24"/>
          <w:lang w:val="lv-LV"/>
        </w:rPr>
        <w:t xml:space="preserve"> tieši kotētajos uzņēmumos. Tā izveide un aktivitātes ir palīdzējušas attīstīt Rumānijas nacionālo kapitāla tirgu – tirgus kapitalizācija kopš 2008. gada ir gandrīz četrkāršojusies</w:t>
      </w:r>
      <w:r w:rsidRPr="006166CC">
        <w:rPr>
          <w:rStyle w:val="FootnoteReference"/>
          <w:rFonts w:ascii="Times New Roman" w:hAnsi="Times New Roman" w:cs="Times New Roman"/>
          <w:sz w:val="24"/>
          <w:szCs w:val="24"/>
          <w:lang w:val="lv-LV"/>
        </w:rPr>
        <w:footnoteReference w:id="20"/>
      </w:r>
      <w:r w:rsidRPr="006166CC">
        <w:rPr>
          <w:rFonts w:ascii="Times New Roman" w:hAnsi="Times New Roman" w:cs="Times New Roman"/>
          <w:sz w:val="24"/>
          <w:szCs w:val="24"/>
          <w:lang w:val="lv-LV"/>
        </w:rPr>
        <w:t>. Valsts kopš fonda izveides ir pārdevusi lielākos enerģētikas sektora uzņēmumus (Transgas magistrala Energiei, Transelectrica, RomGaz, Nuclear electrica, Hidroelectrica)</w:t>
      </w:r>
      <w:r w:rsidRPr="006166CC">
        <w:rPr>
          <w:rStyle w:val="FootnoteReference"/>
          <w:rFonts w:ascii="Times New Roman" w:hAnsi="Times New Roman" w:cs="Times New Roman"/>
          <w:sz w:val="24"/>
          <w:szCs w:val="24"/>
          <w:lang w:val="lv-LV"/>
        </w:rPr>
        <w:footnoteReference w:id="21"/>
      </w:r>
      <w:r w:rsidRPr="006166CC">
        <w:rPr>
          <w:rFonts w:ascii="Times New Roman" w:hAnsi="Times New Roman" w:cs="Times New Roman"/>
          <w:sz w:val="24"/>
          <w:szCs w:val="24"/>
          <w:lang w:val="lv-LV"/>
        </w:rPr>
        <w:t>, un tie visi piedāvājuma procesā ir piesaistījuši lielu investoru interes</w:t>
      </w:r>
      <w:r w:rsidR="00D07407" w:rsidRPr="006166CC">
        <w:rPr>
          <w:rFonts w:ascii="Times New Roman" w:hAnsi="Times New Roman" w:cs="Times New Roman"/>
          <w:sz w:val="24"/>
          <w:szCs w:val="24"/>
          <w:lang w:val="lv-LV"/>
        </w:rPr>
        <w:t>i un ir bijuši veiksmīgi. Tāpat</w:t>
      </w:r>
      <w:r w:rsidRPr="006166CC">
        <w:rPr>
          <w:rFonts w:ascii="Times New Roman" w:hAnsi="Times New Roman" w:cs="Times New Roman"/>
          <w:sz w:val="24"/>
          <w:szCs w:val="24"/>
          <w:lang w:val="lv-LV"/>
        </w:rPr>
        <w:t xml:space="preserve"> fondam, ko pārvalda profesionāls investīciju pārvaldnieks Franklin Templeton, tā darbības pirmajos piecos gados izdevās palielināt ārvalstu investoru īpatsvaru no 14% 2010. gadā līdz 53% 2015. gadā. </w:t>
      </w:r>
    </w:p>
    <w:p w14:paraId="7CE5CD2E" w14:textId="77777777" w:rsidR="00340BDC" w:rsidRPr="006166CC" w:rsidRDefault="00340BDC" w:rsidP="00340BDC">
      <w:pPr>
        <w:jc w:val="both"/>
        <w:rPr>
          <w:rFonts w:ascii="Times New Roman" w:hAnsi="Times New Roman" w:cs="Times New Roman"/>
          <w:sz w:val="24"/>
          <w:szCs w:val="24"/>
          <w:lang w:val="lv-LV"/>
        </w:rPr>
      </w:pPr>
      <w:r w:rsidRPr="006166CC">
        <w:rPr>
          <w:rFonts w:ascii="Times New Roman" w:hAnsi="Times New Roman" w:cs="Times New Roman"/>
          <w:sz w:val="24"/>
          <w:szCs w:val="24"/>
          <w:lang w:val="lv-LV"/>
        </w:rPr>
        <w:t xml:space="preserve">Vēl viens uzskatāms piemērs, kas ir pieminēts arī OECD pētījumā, ir </w:t>
      </w:r>
      <w:r w:rsidRPr="006166CC">
        <w:rPr>
          <w:rFonts w:ascii="Times New Roman" w:hAnsi="Times New Roman" w:cs="Times New Roman"/>
          <w:sz w:val="24"/>
          <w:szCs w:val="24"/>
          <w:u w:val="single"/>
          <w:lang w:val="lv-LV"/>
        </w:rPr>
        <w:t>Polija</w:t>
      </w:r>
      <w:r w:rsidRPr="006166CC">
        <w:rPr>
          <w:rFonts w:ascii="Times New Roman" w:hAnsi="Times New Roman" w:cs="Times New Roman"/>
          <w:sz w:val="24"/>
          <w:szCs w:val="24"/>
          <w:lang w:val="lv-LV"/>
        </w:rPr>
        <w:t xml:space="preserve">, kur laikā no 2008. līdz 2011. gadam publiskā piedāvājumā caur biržu tika </w:t>
      </w:r>
      <w:r w:rsidR="00D83D61" w:rsidRPr="006166CC">
        <w:rPr>
          <w:rFonts w:ascii="Times New Roman" w:hAnsi="Times New Roman" w:cs="Times New Roman"/>
          <w:sz w:val="24"/>
          <w:szCs w:val="24"/>
          <w:lang w:val="lv-LV"/>
        </w:rPr>
        <w:t>iekļauti</w:t>
      </w:r>
      <w:r w:rsidRPr="006166CC">
        <w:rPr>
          <w:rFonts w:ascii="Times New Roman" w:hAnsi="Times New Roman" w:cs="Times New Roman"/>
          <w:sz w:val="24"/>
          <w:szCs w:val="24"/>
          <w:lang w:val="lv-LV"/>
        </w:rPr>
        <w:t xml:space="preserve"> 13 valstij piederoši uzņēmumi. Valsts uzņēmumu publiskie piedāvājumi ir veicinājuši Polijas kapitāla tirgus izaugsmi un nostiprinājuši Varšavas kā reģionālā finanšu centra reputāciju, maksimizējuši valsts ieņēmumus no </w:t>
      </w:r>
      <w:r w:rsidR="00C7656F" w:rsidRPr="006166CC">
        <w:rPr>
          <w:rFonts w:ascii="Times New Roman" w:hAnsi="Times New Roman" w:cs="Times New Roman"/>
          <w:sz w:val="24"/>
          <w:szCs w:val="24"/>
          <w:lang w:val="lv-LV"/>
        </w:rPr>
        <w:t>kotācijas biržā</w:t>
      </w:r>
      <w:r w:rsidRPr="006166CC">
        <w:rPr>
          <w:rFonts w:ascii="Times New Roman" w:hAnsi="Times New Roman" w:cs="Times New Roman"/>
          <w:sz w:val="24"/>
          <w:szCs w:val="24"/>
          <w:lang w:val="lv-LV"/>
        </w:rPr>
        <w:t xml:space="preserve"> un piesaistījuši kapitālu attīs</w:t>
      </w:r>
      <w:r w:rsidR="00D07407" w:rsidRPr="006166CC">
        <w:rPr>
          <w:rFonts w:ascii="Times New Roman" w:hAnsi="Times New Roman" w:cs="Times New Roman"/>
          <w:sz w:val="24"/>
          <w:szCs w:val="24"/>
          <w:lang w:val="lv-LV"/>
        </w:rPr>
        <w:t>tībai pašiem uzņēmumiem. Kopumā</w:t>
      </w:r>
      <w:r w:rsidRPr="006166CC">
        <w:rPr>
          <w:rFonts w:ascii="Times New Roman" w:hAnsi="Times New Roman" w:cs="Times New Roman"/>
          <w:sz w:val="24"/>
          <w:szCs w:val="24"/>
          <w:lang w:val="lv-LV"/>
        </w:rPr>
        <w:t xml:space="preserve"> valsts ir saskatījusi kotāciju biržā kā piemērotāko veidu</w:t>
      </w:r>
      <w:r w:rsidR="002D7A6C" w:rsidRPr="006166CC">
        <w:rPr>
          <w:rFonts w:ascii="Times New Roman" w:hAnsi="Times New Roman" w:cs="Times New Roman"/>
          <w:sz w:val="24"/>
          <w:szCs w:val="24"/>
          <w:lang w:val="lv-LV"/>
        </w:rPr>
        <w:t xml:space="preserve"> attīstības kapitāla piesaistei lieliem</w:t>
      </w:r>
      <w:r w:rsidRPr="006166CC">
        <w:rPr>
          <w:rFonts w:ascii="Times New Roman" w:hAnsi="Times New Roman" w:cs="Times New Roman"/>
          <w:sz w:val="24"/>
          <w:szCs w:val="24"/>
          <w:lang w:val="lv-LV"/>
        </w:rPr>
        <w:t xml:space="preserve"> uzņēmum</w:t>
      </w:r>
      <w:r w:rsidR="002D7A6C" w:rsidRPr="006166CC">
        <w:rPr>
          <w:rFonts w:ascii="Times New Roman" w:hAnsi="Times New Roman" w:cs="Times New Roman"/>
          <w:sz w:val="24"/>
          <w:szCs w:val="24"/>
          <w:lang w:val="lv-LV"/>
        </w:rPr>
        <w:t>iem,</w:t>
      </w:r>
      <w:r w:rsidRPr="006166CC">
        <w:rPr>
          <w:rFonts w:ascii="Times New Roman" w:hAnsi="Times New Roman" w:cs="Times New Roman"/>
          <w:sz w:val="24"/>
          <w:szCs w:val="24"/>
          <w:lang w:val="lv-LV"/>
        </w:rPr>
        <w:t xml:space="preserve"> nodrošinot atklātu </w:t>
      </w:r>
      <w:r w:rsidR="005D6E92" w:rsidRPr="006166CC">
        <w:rPr>
          <w:rFonts w:ascii="Times New Roman" w:hAnsi="Times New Roman" w:cs="Times New Roman"/>
          <w:sz w:val="24"/>
          <w:szCs w:val="24"/>
          <w:lang w:val="lv-LV"/>
        </w:rPr>
        <w:t>investoru piesaistes</w:t>
      </w:r>
      <w:r w:rsidRPr="006166CC">
        <w:rPr>
          <w:rFonts w:ascii="Times New Roman" w:hAnsi="Times New Roman" w:cs="Times New Roman"/>
          <w:sz w:val="24"/>
          <w:szCs w:val="24"/>
          <w:lang w:val="lv-LV"/>
        </w:rPr>
        <w:t xml:space="preserve"> procesu, tirgus vērtējumu, vienlaikus motivējot uzņēmumus strādāt saskaņā ar labākajiem korporatīvās pārvaldības standartiem</w:t>
      </w:r>
      <w:r w:rsidRPr="006166CC">
        <w:rPr>
          <w:rStyle w:val="FootnoteReference"/>
          <w:rFonts w:ascii="Times New Roman" w:hAnsi="Times New Roman" w:cs="Times New Roman"/>
          <w:sz w:val="24"/>
          <w:szCs w:val="24"/>
          <w:lang w:val="lv-LV"/>
        </w:rPr>
        <w:footnoteReference w:id="22"/>
      </w:r>
      <w:r w:rsidRPr="006166CC">
        <w:rPr>
          <w:rFonts w:ascii="Times New Roman" w:hAnsi="Times New Roman" w:cs="Times New Roman"/>
          <w:sz w:val="24"/>
          <w:szCs w:val="24"/>
          <w:lang w:val="lv-LV"/>
        </w:rPr>
        <w:t>.</w:t>
      </w:r>
    </w:p>
    <w:p w14:paraId="16FD6509" w14:textId="77777777" w:rsidR="006A64C5" w:rsidRPr="006166CC" w:rsidRDefault="006A64C5" w:rsidP="00340BDC">
      <w:pPr>
        <w:jc w:val="both"/>
        <w:rPr>
          <w:rFonts w:ascii="Times New Roman" w:hAnsi="Times New Roman" w:cs="Times New Roman"/>
          <w:sz w:val="24"/>
          <w:szCs w:val="24"/>
          <w:lang w:val="lv-LV"/>
        </w:rPr>
      </w:pPr>
      <w:r w:rsidRPr="006166CC">
        <w:rPr>
          <w:rFonts w:ascii="Times New Roman" w:hAnsi="Times New Roman" w:cs="Times New Roman"/>
          <w:sz w:val="24"/>
          <w:szCs w:val="24"/>
          <w:lang w:val="lv-LV"/>
        </w:rPr>
        <w:t>Pārresoru koordinācijas centra vadītāj</w:t>
      </w:r>
      <w:r w:rsidR="00F21868" w:rsidRPr="006166CC">
        <w:rPr>
          <w:rFonts w:ascii="Times New Roman" w:hAnsi="Times New Roman" w:cs="Times New Roman"/>
          <w:sz w:val="24"/>
          <w:szCs w:val="24"/>
          <w:lang w:val="lv-LV"/>
        </w:rPr>
        <w:t>s</w:t>
      </w:r>
      <w:r w:rsidRPr="006166CC">
        <w:rPr>
          <w:rFonts w:ascii="Times New Roman" w:hAnsi="Times New Roman" w:cs="Times New Roman"/>
          <w:sz w:val="24"/>
          <w:szCs w:val="24"/>
          <w:lang w:val="lv-LV"/>
        </w:rPr>
        <w:t xml:space="preserve"> P</w:t>
      </w:r>
      <w:r w:rsidR="00F21868" w:rsidRPr="006166CC">
        <w:rPr>
          <w:rFonts w:ascii="Times New Roman" w:hAnsi="Times New Roman" w:cs="Times New Roman"/>
          <w:sz w:val="24"/>
          <w:szCs w:val="24"/>
          <w:lang w:val="lv-LV"/>
        </w:rPr>
        <w:t>ēteris Vilks</w:t>
      </w:r>
      <w:r w:rsidRPr="006166CC">
        <w:rPr>
          <w:rFonts w:ascii="Times New Roman" w:hAnsi="Times New Roman" w:cs="Times New Roman"/>
          <w:sz w:val="24"/>
          <w:szCs w:val="24"/>
          <w:lang w:val="lv-LV"/>
        </w:rPr>
        <w:t xml:space="preserve"> </w:t>
      </w:r>
      <w:r w:rsidR="00F21868" w:rsidRPr="006166CC">
        <w:rPr>
          <w:rFonts w:ascii="Times New Roman" w:hAnsi="Times New Roman" w:cs="Times New Roman"/>
          <w:sz w:val="24"/>
          <w:szCs w:val="24"/>
          <w:lang w:val="lv-LV"/>
        </w:rPr>
        <w:t>atzīst, ka</w:t>
      </w:r>
      <w:r w:rsidRPr="006166CC">
        <w:rPr>
          <w:rFonts w:ascii="Times New Roman" w:hAnsi="Times New Roman" w:cs="Times New Roman"/>
          <w:sz w:val="24"/>
          <w:szCs w:val="24"/>
          <w:lang w:val="lv-LV"/>
        </w:rPr>
        <w:t>:</w:t>
      </w:r>
      <w:r w:rsidR="00F21868" w:rsidRPr="006166CC">
        <w:rPr>
          <w:rFonts w:ascii="Times New Roman" w:hAnsi="Times New Roman" w:cs="Times New Roman"/>
          <w:sz w:val="24"/>
          <w:szCs w:val="24"/>
          <w:lang w:val="lv-LV"/>
        </w:rPr>
        <w:t xml:space="preserve"> </w:t>
      </w:r>
      <w:r w:rsidRPr="006166CC">
        <w:rPr>
          <w:rFonts w:ascii="Times New Roman" w:hAnsi="Times New Roman" w:cs="Times New Roman"/>
          <w:sz w:val="24"/>
          <w:szCs w:val="24"/>
          <w:lang w:val="lv-LV"/>
        </w:rPr>
        <w:t>”Kopējais valsts kapitālsabiedrību pamatkapitāls veido vairāk kā 4 miljardus eiro, savukārt uzņēmumu konsolidētā atdeve 2016.gadā ir 4.9%, kas norāda uz potenciālu uzņēmumu darbībai vērtspapīru tirgū. Kā apliecina ārējie novērtēt</w:t>
      </w:r>
      <w:r w:rsidR="001D0305" w:rsidRPr="006166CC">
        <w:rPr>
          <w:rFonts w:ascii="Times New Roman" w:hAnsi="Times New Roman" w:cs="Times New Roman"/>
          <w:sz w:val="24"/>
          <w:szCs w:val="24"/>
          <w:lang w:val="lv-LV"/>
        </w:rPr>
        <w:t>āji</w:t>
      </w:r>
      <w:r w:rsidRPr="006166CC">
        <w:rPr>
          <w:rFonts w:ascii="Times New Roman" w:hAnsi="Times New Roman" w:cs="Times New Roman"/>
          <w:sz w:val="24"/>
          <w:szCs w:val="24"/>
          <w:lang w:val="lv-LV"/>
        </w:rPr>
        <w:t xml:space="preserve"> OECD, uzņēmumu pārvaldības līmenis ir sasniedzis zināmu briedumu, līdz ar to ir jāsper nākamie soļi, lai valsts kapitālsabiedrību ieguldījums Latvijas tautsaimniecībā būtu pēc iespējas mērķorientētāks un sniegtu lielāku atdevi. Starptautiskā prakse rāda, ka privāto akcionāru līdzdalība</w:t>
      </w:r>
      <w:r w:rsidR="00067B81" w:rsidRPr="006166CC">
        <w:rPr>
          <w:rFonts w:ascii="Times New Roman" w:hAnsi="Times New Roman" w:cs="Times New Roman"/>
          <w:sz w:val="24"/>
          <w:szCs w:val="24"/>
          <w:lang w:val="lv-LV"/>
        </w:rPr>
        <w:t>s ienākšana</w:t>
      </w:r>
      <w:r w:rsidRPr="006166CC">
        <w:rPr>
          <w:rFonts w:ascii="Times New Roman" w:hAnsi="Times New Roman" w:cs="Times New Roman"/>
          <w:sz w:val="24"/>
          <w:szCs w:val="24"/>
          <w:lang w:val="lv-LV"/>
        </w:rPr>
        <w:t xml:space="preserve"> valsts uzņēmumos sekmē to pārvaldības efektivitāti, kā arī vērtības un kapitāla atdeves pieaugumu, palīdzot sasniegt uzņēmumu darbības mērķus, vienlaikus dalot riskus un izmaksas ar privāto sektoru un ļaujot publiskos resursus ieguldīt citu ar valsts attīstību saistītu mērķu īstenošanai.”</w:t>
      </w:r>
      <w:r w:rsidR="00861150" w:rsidRPr="006166CC">
        <w:rPr>
          <w:rStyle w:val="FootnoteReference"/>
          <w:rFonts w:ascii="Times New Roman" w:hAnsi="Times New Roman" w:cs="Times New Roman"/>
          <w:sz w:val="24"/>
          <w:szCs w:val="24"/>
          <w:lang w:val="lv-LV"/>
        </w:rPr>
        <w:footnoteReference w:id="23"/>
      </w:r>
    </w:p>
    <w:p w14:paraId="1219BF8C" w14:textId="3168140C" w:rsidR="00340BDC" w:rsidRPr="006166CC" w:rsidRDefault="00340BDC" w:rsidP="00EA3BA7">
      <w:pPr>
        <w:jc w:val="both"/>
        <w:rPr>
          <w:rFonts w:ascii="Times New Roman" w:hAnsi="Times New Roman" w:cs="Times New Roman"/>
          <w:sz w:val="24"/>
          <w:szCs w:val="24"/>
          <w:lang w:val="lv-LV"/>
        </w:rPr>
      </w:pPr>
      <w:r w:rsidRPr="006166CC">
        <w:rPr>
          <w:rFonts w:ascii="Times New Roman" w:hAnsi="Times New Roman" w:cs="Times New Roman"/>
          <w:b/>
          <w:sz w:val="24"/>
          <w:szCs w:val="24"/>
          <w:lang w:val="lv-LV"/>
        </w:rPr>
        <w:lastRenderedPageBreak/>
        <w:t xml:space="preserve">Dividendes. </w:t>
      </w:r>
      <w:r w:rsidRPr="006166CC">
        <w:rPr>
          <w:rFonts w:ascii="Times New Roman" w:hAnsi="Times New Roman" w:cs="Times New Roman"/>
          <w:sz w:val="24"/>
          <w:szCs w:val="24"/>
          <w:lang w:val="lv-LV"/>
        </w:rPr>
        <w:t>Ilgtermiņa dividenžu politika birž</w:t>
      </w:r>
      <w:r w:rsidR="00067B81" w:rsidRPr="006166CC">
        <w:rPr>
          <w:rFonts w:ascii="Times New Roman" w:hAnsi="Times New Roman" w:cs="Times New Roman"/>
          <w:sz w:val="24"/>
          <w:szCs w:val="24"/>
          <w:lang w:val="lv-LV"/>
        </w:rPr>
        <w:t>ā kotēt</w:t>
      </w:r>
      <w:r w:rsidR="00DD2601" w:rsidRPr="006166CC">
        <w:rPr>
          <w:rFonts w:ascii="Times New Roman" w:hAnsi="Times New Roman" w:cs="Times New Roman"/>
          <w:sz w:val="24"/>
          <w:szCs w:val="24"/>
          <w:lang w:val="lv-LV"/>
        </w:rPr>
        <w:t>ie</w:t>
      </w:r>
      <w:r w:rsidR="00067B81" w:rsidRPr="006166CC">
        <w:rPr>
          <w:rFonts w:ascii="Times New Roman" w:hAnsi="Times New Roman" w:cs="Times New Roman"/>
          <w:sz w:val="24"/>
          <w:szCs w:val="24"/>
          <w:lang w:val="lv-LV"/>
        </w:rPr>
        <w:t>m</w:t>
      </w:r>
      <w:r w:rsidRPr="006166CC">
        <w:rPr>
          <w:rFonts w:ascii="Times New Roman" w:hAnsi="Times New Roman" w:cs="Times New Roman"/>
          <w:sz w:val="24"/>
          <w:szCs w:val="24"/>
          <w:lang w:val="lv-LV"/>
        </w:rPr>
        <w:t xml:space="preserve"> </w:t>
      </w:r>
      <w:r w:rsidR="00067B81" w:rsidRPr="006166CC">
        <w:rPr>
          <w:rFonts w:ascii="Times New Roman" w:hAnsi="Times New Roman" w:cs="Times New Roman"/>
          <w:sz w:val="24"/>
          <w:szCs w:val="24"/>
          <w:lang w:val="lv-LV"/>
        </w:rPr>
        <w:t>uzņēmumiem</w:t>
      </w:r>
      <w:r w:rsidR="000A4320" w:rsidRPr="006166CC">
        <w:rPr>
          <w:rFonts w:ascii="Times New Roman" w:hAnsi="Times New Roman" w:cs="Times New Roman"/>
          <w:sz w:val="24"/>
          <w:szCs w:val="24"/>
          <w:lang w:val="lv-LV"/>
        </w:rPr>
        <w:t xml:space="preserve"> </w:t>
      </w:r>
      <w:r w:rsidR="007652B4" w:rsidRPr="006166CC">
        <w:rPr>
          <w:rFonts w:ascii="Times New Roman" w:hAnsi="Times New Roman" w:cs="Times New Roman"/>
          <w:sz w:val="24"/>
          <w:szCs w:val="24"/>
          <w:lang w:val="lv-LV"/>
        </w:rPr>
        <w:t xml:space="preserve">ļautu </w:t>
      </w:r>
      <w:r w:rsidRPr="006166CC">
        <w:rPr>
          <w:rFonts w:ascii="Times New Roman" w:hAnsi="Times New Roman" w:cs="Times New Roman"/>
          <w:sz w:val="24"/>
          <w:szCs w:val="24"/>
          <w:lang w:val="lv-LV"/>
        </w:rPr>
        <w:t xml:space="preserve">plānot regulārus ieņēmumus no </w:t>
      </w:r>
      <w:r w:rsidR="00067B81" w:rsidRPr="006166CC">
        <w:rPr>
          <w:rFonts w:ascii="Times New Roman" w:hAnsi="Times New Roman" w:cs="Times New Roman"/>
          <w:sz w:val="24"/>
          <w:szCs w:val="24"/>
          <w:lang w:val="lv-LV"/>
        </w:rPr>
        <w:t xml:space="preserve">valstij piederošo akciju </w:t>
      </w:r>
      <w:r w:rsidRPr="006166CC">
        <w:rPr>
          <w:rFonts w:ascii="Times New Roman" w:hAnsi="Times New Roman" w:cs="Times New Roman"/>
          <w:sz w:val="24"/>
          <w:szCs w:val="24"/>
          <w:lang w:val="lv-LV"/>
        </w:rPr>
        <w:t xml:space="preserve">dividendēm arī valsts budžetā, jo valsts </w:t>
      </w:r>
      <w:r w:rsidR="000A4320" w:rsidRPr="006166CC">
        <w:rPr>
          <w:rFonts w:ascii="Times New Roman" w:hAnsi="Times New Roman" w:cs="Times New Roman"/>
          <w:sz w:val="24"/>
          <w:szCs w:val="24"/>
          <w:lang w:val="lv-LV"/>
        </w:rPr>
        <w:t>kapitālsabiedrībām</w:t>
      </w:r>
      <w:r w:rsidR="006D56D9" w:rsidRPr="006166CC">
        <w:rPr>
          <w:rFonts w:ascii="Times New Roman" w:hAnsi="Times New Roman" w:cs="Times New Roman"/>
          <w:sz w:val="24"/>
          <w:szCs w:val="24"/>
          <w:lang w:val="lv-LV"/>
        </w:rPr>
        <w:t>,</w:t>
      </w:r>
      <w:r w:rsidRPr="006166CC">
        <w:rPr>
          <w:rFonts w:ascii="Times New Roman" w:hAnsi="Times New Roman" w:cs="Times New Roman"/>
          <w:sz w:val="24"/>
          <w:szCs w:val="24"/>
          <w:lang w:val="lv-LV"/>
        </w:rPr>
        <w:t xml:space="preserve"> uzsākot darbību biržā, tiks paplašinātas iespējas attīstības kapitālu piesaistīt caur obligāciju un akciju emisijām</w:t>
      </w:r>
      <w:r w:rsidR="002E4F8C" w:rsidRPr="006166CC">
        <w:rPr>
          <w:rFonts w:ascii="Times New Roman" w:hAnsi="Times New Roman" w:cs="Times New Roman"/>
          <w:sz w:val="24"/>
          <w:szCs w:val="24"/>
          <w:lang w:val="lv-LV"/>
        </w:rPr>
        <w:t>, kas attiecīgi sekmē</w:t>
      </w:r>
      <w:r w:rsidR="00BD525F" w:rsidRPr="006166CC">
        <w:rPr>
          <w:rFonts w:ascii="Times New Roman" w:hAnsi="Times New Roman" w:cs="Times New Roman"/>
          <w:sz w:val="24"/>
          <w:szCs w:val="24"/>
          <w:lang w:val="lv-LV"/>
        </w:rPr>
        <w:t>tu</w:t>
      </w:r>
      <w:r w:rsidR="002E4F8C" w:rsidRPr="006166CC">
        <w:rPr>
          <w:rFonts w:ascii="Times New Roman" w:hAnsi="Times New Roman" w:cs="Times New Roman"/>
          <w:sz w:val="24"/>
          <w:szCs w:val="24"/>
          <w:lang w:val="lv-LV"/>
        </w:rPr>
        <w:t xml:space="preserve"> uzņēmuma izaugsmi, kā rezultātā palielin</w:t>
      </w:r>
      <w:r w:rsidR="00BD525F" w:rsidRPr="006166CC">
        <w:rPr>
          <w:rFonts w:ascii="Times New Roman" w:hAnsi="Times New Roman" w:cs="Times New Roman"/>
          <w:sz w:val="24"/>
          <w:szCs w:val="24"/>
          <w:lang w:val="lv-LV"/>
        </w:rPr>
        <w:t>ātos</w:t>
      </w:r>
      <w:r w:rsidR="002E4F8C" w:rsidRPr="006166CC">
        <w:rPr>
          <w:rFonts w:ascii="Times New Roman" w:hAnsi="Times New Roman" w:cs="Times New Roman"/>
          <w:sz w:val="24"/>
          <w:szCs w:val="24"/>
          <w:lang w:val="lv-LV"/>
        </w:rPr>
        <w:t xml:space="preserve"> peļņa un</w:t>
      </w:r>
      <w:r w:rsidR="00067B81" w:rsidRPr="006166CC">
        <w:rPr>
          <w:rFonts w:ascii="Times New Roman" w:hAnsi="Times New Roman" w:cs="Times New Roman"/>
          <w:sz w:val="24"/>
          <w:szCs w:val="24"/>
          <w:lang w:val="lv-LV"/>
        </w:rPr>
        <w:t xml:space="preserve"> iespējams arī</w:t>
      </w:r>
      <w:r w:rsidR="002E4F8C" w:rsidRPr="006166CC">
        <w:rPr>
          <w:rFonts w:ascii="Times New Roman" w:hAnsi="Times New Roman" w:cs="Times New Roman"/>
          <w:sz w:val="24"/>
          <w:szCs w:val="24"/>
          <w:lang w:val="lv-LV"/>
        </w:rPr>
        <w:t xml:space="preserve"> dividendes</w:t>
      </w:r>
      <w:r w:rsidRPr="006166CC">
        <w:rPr>
          <w:rFonts w:ascii="Times New Roman" w:hAnsi="Times New Roman" w:cs="Times New Roman"/>
          <w:sz w:val="24"/>
          <w:szCs w:val="24"/>
          <w:lang w:val="lv-LV"/>
        </w:rPr>
        <w:t>.</w:t>
      </w:r>
    </w:p>
    <w:p w14:paraId="00D616F5" w14:textId="69418D6A" w:rsidR="00340BDC" w:rsidRPr="006166CC" w:rsidRDefault="00340BDC" w:rsidP="00EA3BA7">
      <w:pPr>
        <w:jc w:val="both"/>
        <w:rPr>
          <w:rFonts w:ascii="Times New Roman" w:hAnsi="Times New Roman" w:cs="Times New Roman"/>
          <w:sz w:val="24"/>
          <w:szCs w:val="24"/>
          <w:lang w:val="lv-LV"/>
        </w:rPr>
      </w:pPr>
      <w:r w:rsidRPr="006166CC">
        <w:rPr>
          <w:rFonts w:ascii="Times New Roman" w:hAnsi="Times New Roman" w:cs="Times New Roman"/>
          <w:b/>
          <w:sz w:val="24"/>
          <w:szCs w:val="24"/>
          <w:lang w:val="lv-LV"/>
        </w:rPr>
        <w:t xml:space="preserve">Investīciju piesaiste. </w:t>
      </w:r>
      <w:r w:rsidRPr="006166CC">
        <w:rPr>
          <w:rFonts w:ascii="Times New Roman" w:hAnsi="Times New Roman" w:cs="Times New Roman"/>
          <w:sz w:val="24"/>
          <w:szCs w:val="24"/>
          <w:lang w:val="lv-LV"/>
        </w:rPr>
        <w:t xml:space="preserve">Valstij piederošu </w:t>
      </w:r>
      <w:r w:rsidR="000A4320" w:rsidRPr="006166CC">
        <w:rPr>
          <w:rFonts w:ascii="Times New Roman" w:hAnsi="Times New Roman" w:cs="Times New Roman"/>
          <w:sz w:val="24"/>
          <w:szCs w:val="24"/>
          <w:lang w:val="lv-LV"/>
        </w:rPr>
        <w:t xml:space="preserve">kapitālsabiedrību </w:t>
      </w:r>
      <w:r w:rsidRPr="006166CC">
        <w:rPr>
          <w:rFonts w:ascii="Times New Roman" w:hAnsi="Times New Roman" w:cs="Times New Roman"/>
          <w:sz w:val="24"/>
          <w:szCs w:val="24"/>
          <w:lang w:val="lv-LV"/>
        </w:rPr>
        <w:t xml:space="preserve">kotācija biržā aktivizētu ne tikai pašmāju investorus, bet arī piesaistītu ārvalstu tiešās investīcijas, kas veicinātu tālāku interesi un arvien jaunu investīciju piesaisti. Attīstīts kapitāla tirgus liecina par valdības tālredzīgu politiku, attīstītu un stabilu ekonomiku, kā arī caurskatāmu un uzticamu uzņēmējdarbības vidi. </w:t>
      </w:r>
    </w:p>
    <w:p w14:paraId="303B7837" w14:textId="12DB12DF" w:rsidR="00340BDC" w:rsidRPr="006166CC" w:rsidRDefault="00340BDC" w:rsidP="00EA3BA7">
      <w:pPr>
        <w:jc w:val="both"/>
        <w:rPr>
          <w:rFonts w:ascii="Times New Roman" w:hAnsi="Times New Roman" w:cs="Times New Roman"/>
          <w:sz w:val="24"/>
          <w:szCs w:val="24"/>
          <w:lang w:val="lv-LV"/>
        </w:rPr>
      </w:pPr>
      <w:r w:rsidRPr="006166CC">
        <w:rPr>
          <w:rFonts w:ascii="Times New Roman" w:hAnsi="Times New Roman" w:cs="Times New Roman"/>
          <w:sz w:val="24"/>
          <w:szCs w:val="24"/>
          <w:lang w:val="lv-LV"/>
        </w:rPr>
        <w:t xml:space="preserve">Piemēram, </w:t>
      </w:r>
      <w:r w:rsidR="00067B81" w:rsidRPr="006166CC">
        <w:rPr>
          <w:rFonts w:ascii="Times New Roman" w:hAnsi="Times New Roman" w:cs="Times New Roman"/>
          <w:sz w:val="24"/>
          <w:szCs w:val="24"/>
          <w:lang w:val="lv-LV"/>
        </w:rPr>
        <w:t>AS “</w:t>
      </w:r>
      <w:r w:rsidRPr="006166CC">
        <w:rPr>
          <w:rFonts w:ascii="Times New Roman" w:hAnsi="Times New Roman" w:cs="Times New Roman"/>
          <w:sz w:val="24"/>
          <w:szCs w:val="24"/>
          <w:lang w:val="lv-LV"/>
        </w:rPr>
        <w:t>Latvenergo</w:t>
      </w:r>
      <w:r w:rsidR="00067B81" w:rsidRPr="006166CC">
        <w:rPr>
          <w:rFonts w:ascii="Times New Roman" w:hAnsi="Times New Roman" w:cs="Times New Roman"/>
          <w:sz w:val="24"/>
          <w:szCs w:val="24"/>
          <w:lang w:val="lv-LV"/>
        </w:rPr>
        <w:t>”</w:t>
      </w:r>
      <w:r w:rsidRPr="006166CC">
        <w:rPr>
          <w:rFonts w:ascii="Times New Roman" w:hAnsi="Times New Roman" w:cs="Times New Roman"/>
          <w:sz w:val="24"/>
          <w:szCs w:val="24"/>
          <w:lang w:val="lv-LV"/>
        </w:rPr>
        <w:t xml:space="preserve"> obligācijas iegādājās ieguldītāji Latvijā, Lietuvā, Igaunijā, Vācijā, Austrijā un Somijā. Turpretī Dānijas 2016. gada Eiropas lielākā publiskā piedāvājuma D</w:t>
      </w:r>
      <w:r w:rsidR="00E46280" w:rsidRPr="006166CC">
        <w:rPr>
          <w:rFonts w:ascii="Times New Roman" w:hAnsi="Times New Roman" w:cs="Times New Roman"/>
          <w:sz w:val="24"/>
          <w:szCs w:val="24"/>
          <w:lang w:val="lv-LV"/>
        </w:rPr>
        <w:t>ONG</w:t>
      </w:r>
      <w:r w:rsidRPr="006166CC">
        <w:rPr>
          <w:rFonts w:ascii="Times New Roman" w:hAnsi="Times New Roman" w:cs="Times New Roman"/>
          <w:sz w:val="24"/>
          <w:szCs w:val="24"/>
          <w:lang w:val="lv-LV"/>
        </w:rPr>
        <w:t xml:space="preserve"> Energy akcijas tika iesauktas par tautas akcijām, jo dāņiem šo vērtspapīru iegāde kļuva par nacionālo sporta veidu.</w:t>
      </w:r>
      <w:r w:rsidRPr="006166CC">
        <w:rPr>
          <w:rStyle w:val="FootnoteReference"/>
          <w:rFonts w:ascii="Times New Roman" w:hAnsi="Times New Roman" w:cs="Times New Roman"/>
          <w:sz w:val="24"/>
          <w:szCs w:val="24"/>
          <w:lang w:val="lv-LV"/>
        </w:rPr>
        <w:footnoteReference w:id="24"/>
      </w:r>
      <w:r w:rsidRPr="006166CC">
        <w:rPr>
          <w:rFonts w:ascii="Times New Roman" w:hAnsi="Times New Roman" w:cs="Times New Roman"/>
          <w:sz w:val="24"/>
          <w:szCs w:val="24"/>
          <w:lang w:val="lv-LV"/>
        </w:rPr>
        <w:t xml:space="preserve"> Vairāk par </w:t>
      </w:r>
      <w:r w:rsidR="00067B81" w:rsidRPr="006166CC">
        <w:rPr>
          <w:rFonts w:ascii="Times New Roman" w:hAnsi="Times New Roman" w:cs="Times New Roman"/>
          <w:sz w:val="24"/>
          <w:szCs w:val="24"/>
          <w:lang w:val="lv-LV"/>
        </w:rPr>
        <w:t>AS “</w:t>
      </w:r>
      <w:r w:rsidRPr="006166CC">
        <w:rPr>
          <w:rFonts w:ascii="Times New Roman" w:hAnsi="Times New Roman" w:cs="Times New Roman"/>
          <w:sz w:val="24"/>
          <w:szCs w:val="24"/>
          <w:lang w:val="lv-LV"/>
        </w:rPr>
        <w:t>Latvenergo</w:t>
      </w:r>
      <w:r w:rsidR="00067B81" w:rsidRPr="006166CC">
        <w:rPr>
          <w:rFonts w:ascii="Times New Roman" w:hAnsi="Times New Roman" w:cs="Times New Roman"/>
          <w:sz w:val="24"/>
          <w:szCs w:val="24"/>
          <w:lang w:val="lv-LV"/>
        </w:rPr>
        <w:t>”</w:t>
      </w:r>
      <w:r w:rsidRPr="006166CC">
        <w:rPr>
          <w:rFonts w:ascii="Times New Roman" w:hAnsi="Times New Roman" w:cs="Times New Roman"/>
          <w:sz w:val="24"/>
          <w:szCs w:val="24"/>
          <w:lang w:val="lv-LV"/>
        </w:rPr>
        <w:t xml:space="preserve"> un D</w:t>
      </w:r>
      <w:r w:rsidR="00E46280" w:rsidRPr="006166CC">
        <w:rPr>
          <w:rFonts w:ascii="Times New Roman" w:hAnsi="Times New Roman" w:cs="Times New Roman"/>
          <w:sz w:val="24"/>
          <w:szCs w:val="24"/>
          <w:lang w:val="lv-LV"/>
        </w:rPr>
        <w:t>ONG</w:t>
      </w:r>
      <w:r w:rsidRPr="006166CC">
        <w:rPr>
          <w:rFonts w:ascii="Times New Roman" w:hAnsi="Times New Roman" w:cs="Times New Roman"/>
          <w:sz w:val="24"/>
          <w:szCs w:val="24"/>
          <w:lang w:val="lv-LV"/>
        </w:rPr>
        <w:t xml:space="preserve"> Energy </w:t>
      </w:r>
      <w:r w:rsidR="0095168D" w:rsidRPr="006166CC">
        <w:rPr>
          <w:rFonts w:ascii="Times New Roman" w:hAnsi="Times New Roman" w:cs="Times New Roman"/>
          <w:sz w:val="24"/>
          <w:szCs w:val="24"/>
          <w:lang w:val="lv-LV"/>
        </w:rPr>
        <w:t>pielikumos Nr. 3 un Nr. 4</w:t>
      </w:r>
      <w:r w:rsidRPr="006166CC">
        <w:rPr>
          <w:rFonts w:ascii="Times New Roman" w:hAnsi="Times New Roman" w:cs="Times New Roman"/>
          <w:sz w:val="24"/>
          <w:szCs w:val="24"/>
          <w:lang w:val="lv-LV"/>
        </w:rPr>
        <w:t xml:space="preserve">. </w:t>
      </w:r>
    </w:p>
    <w:p w14:paraId="61244CFD" w14:textId="00D5EE79" w:rsidR="006E488C" w:rsidRPr="006166CC" w:rsidRDefault="00082E96" w:rsidP="00EA3BA7">
      <w:pPr>
        <w:jc w:val="both"/>
        <w:rPr>
          <w:rFonts w:ascii="Times New Roman" w:hAnsi="Times New Roman" w:cs="Times New Roman"/>
          <w:bCs/>
          <w:sz w:val="24"/>
          <w:szCs w:val="24"/>
          <w:lang w:val="lv-LV"/>
        </w:rPr>
      </w:pPr>
      <w:r w:rsidRPr="006166CC">
        <w:rPr>
          <w:rFonts w:ascii="Times New Roman" w:hAnsi="Times New Roman" w:cs="Times New Roman"/>
          <w:b/>
          <w:bCs/>
          <w:sz w:val="24"/>
          <w:szCs w:val="24"/>
          <w:lang w:val="lv-LV"/>
        </w:rPr>
        <w:t>Iekšzemes kopprodukta (IKP) palielināšanās</w:t>
      </w:r>
      <w:r w:rsidRPr="006166CC">
        <w:rPr>
          <w:rFonts w:ascii="Times New Roman" w:hAnsi="Times New Roman" w:cs="Times New Roman"/>
          <w:bCs/>
          <w:sz w:val="24"/>
          <w:szCs w:val="24"/>
          <w:lang w:val="lv-LV"/>
        </w:rPr>
        <w:t xml:space="preserve">. Investīciju palielināšanās Latvijas ekonomikā caur kapitāla piesaisti biržā, </w:t>
      </w:r>
      <w:r w:rsidR="006E488C" w:rsidRPr="006166CC">
        <w:rPr>
          <w:rFonts w:ascii="Times New Roman" w:hAnsi="Times New Roman" w:cs="Times New Roman"/>
          <w:bCs/>
          <w:sz w:val="24"/>
          <w:szCs w:val="24"/>
          <w:lang w:val="lv-LV"/>
        </w:rPr>
        <w:t xml:space="preserve">eksporta </w:t>
      </w:r>
      <w:r w:rsidR="00A41F36" w:rsidRPr="006166CC">
        <w:rPr>
          <w:rFonts w:ascii="Times New Roman" w:hAnsi="Times New Roman" w:cs="Times New Roman"/>
          <w:bCs/>
          <w:sz w:val="24"/>
          <w:szCs w:val="24"/>
          <w:lang w:val="lv-LV"/>
        </w:rPr>
        <w:t>pieaugums</w:t>
      </w:r>
      <w:r w:rsidR="006E488C" w:rsidRPr="006166CC">
        <w:rPr>
          <w:rFonts w:ascii="Times New Roman" w:hAnsi="Times New Roman" w:cs="Times New Roman"/>
          <w:bCs/>
          <w:sz w:val="24"/>
          <w:szCs w:val="24"/>
          <w:lang w:val="lv-LV"/>
        </w:rPr>
        <w:t xml:space="preserve"> uzņēmumu izaugsmes un konkurētspējas uzlabošanās dēļ, nodokļu maksājumu palielināšanās uz papildu darbavietu rēķina, ieņēmumi no </w:t>
      </w:r>
      <w:r w:rsidR="00653B7E" w:rsidRPr="006166CC">
        <w:rPr>
          <w:rFonts w:ascii="Times New Roman" w:hAnsi="Times New Roman" w:cs="Times New Roman"/>
          <w:bCs/>
          <w:sz w:val="24"/>
          <w:szCs w:val="24"/>
          <w:lang w:val="lv-LV"/>
        </w:rPr>
        <w:t>akciju pārdošanas</w:t>
      </w:r>
      <w:r w:rsidR="006E488C" w:rsidRPr="006166CC">
        <w:rPr>
          <w:rFonts w:ascii="Times New Roman" w:hAnsi="Times New Roman" w:cs="Times New Roman"/>
          <w:bCs/>
          <w:sz w:val="24"/>
          <w:szCs w:val="24"/>
          <w:lang w:val="lv-LV"/>
        </w:rPr>
        <w:t xml:space="preserve"> un</w:t>
      </w:r>
      <w:r w:rsidR="005C0A2A" w:rsidRPr="006166CC">
        <w:rPr>
          <w:rFonts w:ascii="Times New Roman" w:hAnsi="Times New Roman" w:cs="Times New Roman"/>
          <w:bCs/>
          <w:sz w:val="24"/>
          <w:szCs w:val="24"/>
          <w:lang w:val="lv-LV"/>
        </w:rPr>
        <w:t xml:space="preserve"> iespējams arī</w:t>
      </w:r>
      <w:r w:rsidR="006E488C" w:rsidRPr="006166CC">
        <w:rPr>
          <w:rFonts w:ascii="Times New Roman" w:hAnsi="Times New Roman" w:cs="Times New Roman"/>
          <w:bCs/>
          <w:sz w:val="24"/>
          <w:szCs w:val="24"/>
          <w:lang w:val="lv-LV"/>
        </w:rPr>
        <w:t xml:space="preserve"> dividendēm </w:t>
      </w:r>
      <w:r w:rsidR="00A41F36" w:rsidRPr="006166CC">
        <w:rPr>
          <w:rFonts w:ascii="Times New Roman" w:hAnsi="Times New Roman" w:cs="Times New Roman"/>
          <w:bCs/>
          <w:sz w:val="24"/>
          <w:szCs w:val="24"/>
          <w:lang w:val="lv-LV"/>
        </w:rPr>
        <w:t xml:space="preserve">valsts budžetā </w:t>
      </w:r>
      <w:r w:rsidR="006E488C" w:rsidRPr="006166CC">
        <w:rPr>
          <w:rFonts w:ascii="Times New Roman" w:hAnsi="Times New Roman" w:cs="Times New Roman"/>
          <w:bCs/>
          <w:sz w:val="24"/>
          <w:szCs w:val="24"/>
          <w:lang w:val="lv-LV"/>
        </w:rPr>
        <w:t>– tās ir dažas no komponentēm IKP pieaugumam no attīstīta kapitāla tirgus.</w:t>
      </w:r>
    </w:p>
    <w:p w14:paraId="48AA64D8" w14:textId="11E91F2F" w:rsidR="00082E96" w:rsidRPr="006166CC" w:rsidRDefault="00082E96" w:rsidP="00EA3BA7">
      <w:pPr>
        <w:jc w:val="both"/>
        <w:rPr>
          <w:rFonts w:ascii="Times New Roman" w:hAnsi="Times New Roman" w:cs="Times New Roman"/>
          <w:bCs/>
          <w:sz w:val="24"/>
          <w:szCs w:val="24"/>
          <w:lang w:val="lv-LV"/>
        </w:rPr>
      </w:pPr>
      <w:r w:rsidRPr="006166CC">
        <w:rPr>
          <w:rFonts w:ascii="Times New Roman" w:hAnsi="Times New Roman" w:cs="Times New Roman"/>
          <w:bCs/>
          <w:sz w:val="24"/>
          <w:szCs w:val="24"/>
          <w:lang w:val="lv-LV"/>
        </w:rPr>
        <w:t>Rīgas Ekonomikas augstskolas un Ārvalstu Investoru padomes Latvijā (</w:t>
      </w:r>
      <w:hyperlink r:id="rId10" w:history="1">
        <w:r w:rsidR="00357D0F" w:rsidRPr="006166CC">
          <w:rPr>
            <w:rStyle w:val="Hyperlink"/>
            <w:rFonts w:ascii="Times New Roman" w:hAnsi="Times New Roman" w:cs="Times New Roman"/>
            <w:bCs/>
            <w:i/>
            <w:color w:val="224C93"/>
            <w:sz w:val="24"/>
            <w:szCs w:val="24"/>
            <w:bdr w:val="none" w:sz="0" w:space="0" w:color="auto" w:frame="1"/>
            <w:lang w:val="lv-LV"/>
          </w:rPr>
          <w:t>the Foreign Investors' Council in Latvia</w:t>
        </w:r>
      </w:hyperlink>
      <w:r w:rsidR="00357D0F" w:rsidRPr="006166CC">
        <w:rPr>
          <w:rFonts w:ascii="Times New Roman" w:hAnsi="Times New Roman" w:cs="Times New Roman"/>
          <w:color w:val="252525"/>
          <w:sz w:val="24"/>
          <w:szCs w:val="24"/>
          <w:lang w:val="lv-LV"/>
        </w:rPr>
        <w:t xml:space="preserve"> -</w:t>
      </w:r>
      <w:r w:rsidR="00357D0F" w:rsidRPr="006166CC">
        <w:rPr>
          <w:rFonts w:ascii="Times New Roman" w:hAnsi="Times New Roman" w:cs="Times New Roman"/>
          <w:b/>
          <w:color w:val="252525"/>
          <w:sz w:val="24"/>
          <w:szCs w:val="24"/>
          <w:lang w:val="lv-LV"/>
        </w:rPr>
        <w:t xml:space="preserve"> </w:t>
      </w:r>
      <w:r w:rsidRPr="006166CC">
        <w:rPr>
          <w:rFonts w:ascii="Times New Roman" w:hAnsi="Times New Roman" w:cs="Times New Roman"/>
          <w:bCs/>
          <w:sz w:val="24"/>
          <w:szCs w:val="24"/>
          <w:lang w:val="lv-LV"/>
        </w:rPr>
        <w:t xml:space="preserve">FICIL) pētījumā un Pozīcijas ziņojumā (2011) Latvijas valdībai tika secināts, ka, attīstot nacionālo kapitāla tirgu Latvijā līdz Igaunijas līmenim, investīciju piesaistes rezultātā tiks nodrošināts </w:t>
      </w:r>
      <w:r w:rsidRPr="006166CC">
        <w:rPr>
          <w:rFonts w:ascii="Times New Roman" w:hAnsi="Times New Roman" w:cs="Times New Roman"/>
          <w:bCs/>
          <w:sz w:val="24"/>
          <w:szCs w:val="24"/>
          <w:u w:val="single"/>
          <w:lang w:val="lv-LV"/>
        </w:rPr>
        <w:t>IKP</w:t>
      </w:r>
      <w:r w:rsidR="00461047" w:rsidRPr="006166CC">
        <w:rPr>
          <w:rFonts w:ascii="Times New Roman" w:hAnsi="Times New Roman" w:cs="Times New Roman"/>
          <w:bCs/>
          <w:sz w:val="24"/>
          <w:szCs w:val="24"/>
          <w:u w:val="single"/>
          <w:lang w:val="lv-LV"/>
        </w:rPr>
        <w:t xml:space="preserve"> uz vienu iedzīvotāju</w:t>
      </w:r>
      <w:r w:rsidRPr="006166CC">
        <w:rPr>
          <w:rFonts w:ascii="Times New Roman" w:hAnsi="Times New Roman" w:cs="Times New Roman"/>
          <w:bCs/>
          <w:sz w:val="24"/>
          <w:szCs w:val="24"/>
          <w:u w:val="single"/>
          <w:lang w:val="lv-LV"/>
        </w:rPr>
        <w:t xml:space="preserve"> pieaugums par 1.8%</w:t>
      </w:r>
      <w:r w:rsidR="007737CA" w:rsidRPr="006166CC">
        <w:rPr>
          <w:rFonts w:ascii="Times New Roman" w:hAnsi="Times New Roman" w:cs="Times New Roman"/>
          <w:bCs/>
          <w:sz w:val="24"/>
          <w:szCs w:val="24"/>
          <w:u w:val="single"/>
          <w:lang w:val="lv-LV"/>
        </w:rPr>
        <w:t xml:space="preserve"> </w:t>
      </w:r>
      <w:r w:rsidR="007737CA" w:rsidRPr="006166CC">
        <w:rPr>
          <w:rFonts w:ascii="Times New Roman" w:hAnsi="Times New Roman" w:cs="Times New Roman"/>
          <w:bCs/>
          <w:sz w:val="24"/>
          <w:szCs w:val="24"/>
          <w:lang w:val="lv-LV"/>
        </w:rPr>
        <w:t>ik gadu</w:t>
      </w:r>
      <w:r w:rsidRPr="006166CC">
        <w:rPr>
          <w:rFonts w:ascii="Times New Roman" w:hAnsi="Times New Roman" w:cs="Times New Roman"/>
          <w:bCs/>
          <w:sz w:val="24"/>
          <w:szCs w:val="24"/>
          <w:lang w:val="lv-LV"/>
        </w:rPr>
        <w:t xml:space="preserve">, tādējādi samazinot atšķirību ienākumos starp valstīm par 30% piecu gadu laikā un radot </w:t>
      </w:r>
      <w:r w:rsidR="00C63C0F" w:rsidRPr="006166CC">
        <w:rPr>
          <w:rFonts w:ascii="Times New Roman" w:hAnsi="Times New Roman" w:cs="Times New Roman"/>
          <w:bCs/>
          <w:sz w:val="24"/>
          <w:szCs w:val="24"/>
          <w:u w:val="single"/>
          <w:lang w:val="lv-LV"/>
        </w:rPr>
        <w:t>papildu</w:t>
      </w:r>
      <w:r w:rsidRPr="006166CC">
        <w:rPr>
          <w:rFonts w:ascii="Times New Roman" w:hAnsi="Times New Roman" w:cs="Times New Roman"/>
          <w:bCs/>
          <w:sz w:val="24"/>
          <w:szCs w:val="24"/>
          <w:u w:val="single"/>
          <w:lang w:val="lv-LV"/>
        </w:rPr>
        <w:t xml:space="preserve"> 120 miljonus eiro nodokļu ieņēmumus</w:t>
      </w:r>
      <w:r w:rsidRPr="006166CC">
        <w:rPr>
          <w:rFonts w:ascii="Times New Roman" w:hAnsi="Times New Roman" w:cs="Times New Roman"/>
          <w:bCs/>
          <w:sz w:val="24"/>
          <w:szCs w:val="24"/>
          <w:lang w:val="lv-LV"/>
        </w:rPr>
        <w:t xml:space="preserve"> ik gadu</w:t>
      </w:r>
      <w:r w:rsidR="007737CA" w:rsidRPr="006166CC">
        <w:rPr>
          <w:rFonts w:ascii="Times New Roman" w:hAnsi="Times New Roman" w:cs="Times New Roman"/>
          <w:bCs/>
          <w:sz w:val="24"/>
          <w:szCs w:val="24"/>
          <w:lang w:val="lv-LV"/>
        </w:rPr>
        <w:t>.</w:t>
      </w:r>
      <w:r w:rsidR="00094FC3" w:rsidRPr="006166CC">
        <w:rPr>
          <w:rFonts w:ascii="Times New Roman" w:hAnsi="Times New Roman" w:cs="Times New Roman"/>
          <w:bCs/>
          <w:sz w:val="24"/>
          <w:szCs w:val="24"/>
          <w:lang w:val="lv-LV"/>
        </w:rPr>
        <w:t xml:space="preserve"> </w:t>
      </w:r>
      <w:r w:rsidR="000676EC" w:rsidRPr="006166CC">
        <w:rPr>
          <w:rFonts w:ascii="Times New Roman" w:hAnsi="Times New Roman" w:cs="Times New Roman"/>
          <w:bCs/>
          <w:sz w:val="24"/>
          <w:szCs w:val="24"/>
          <w:lang w:val="lv-LV"/>
        </w:rPr>
        <w:t>Pētījumu</w:t>
      </w:r>
      <w:r w:rsidR="00094FC3" w:rsidRPr="006166CC">
        <w:rPr>
          <w:rFonts w:ascii="Times New Roman" w:hAnsi="Times New Roman" w:cs="Times New Roman"/>
          <w:bCs/>
          <w:sz w:val="24"/>
          <w:szCs w:val="24"/>
          <w:lang w:val="lv-LV"/>
        </w:rPr>
        <w:t xml:space="preserve"> skatīt pielikumā Nr. 5</w:t>
      </w:r>
      <w:r w:rsidR="007737CA" w:rsidRPr="006166CC">
        <w:rPr>
          <w:rFonts w:ascii="Times New Roman" w:hAnsi="Times New Roman" w:cs="Times New Roman"/>
          <w:bCs/>
          <w:sz w:val="24"/>
          <w:szCs w:val="24"/>
          <w:lang w:val="lv-LV"/>
        </w:rPr>
        <w:t>.</w:t>
      </w:r>
      <w:r w:rsidR="00B55165" w:rsidRPr="006166CC">
        <w:rPr>
          <w:rFonts w:ascii="Times New Roman" w:hAnsi="Times New Roman" w:cs="Times New Roman"/>
          <w:bCs/>
          <w:sz w:val="24"/>
          <w:szCs w:val="24"/>
          <w:lang w:val="lv-LV"/>
        </w:rPr>
        <w:t xml:space="preserve"> Lai arī pētījums ir veikts pirms </w:t>
      </w:r>
      <w:r w:rsidR="00627312" w:rsidRPr="006166CC">
        <w:rPr>
          <w:rFonts w:ascii="Times New Roman" w:hAnsi="Times New Roman" w:cs="Times New Roman"/>
          <w:bCs/>
          <w:sz w:val="24"/>
          <w:szCs w:val="24"/>
          <w:lang w:val="lv-LV"/>
        </w:rPr>
        <w:t>vairākiem gadiem</w:t>
      </w:r>
      <w:r w:rsidR="00B55165" w:rsidRPr="006166CC">
        <w:rPr>
          <w:rFonts w:ascii="Times New Roman" w:hAnsi="Times New Roman" w:cs="Times New Roman"/>
          <w:bCs/>
          <w:sz w:val="24"/>
          <w:szCs w:val="24"/>
          <w:lang w:val="lv-LV"/>
        </w:rPr>
        <w:t xml:space="preserve">, tajā paustā kapitāla tirgus attīstības kvantificēšana parāda potenciālos ieguvumus, kādus rada kapitāla tirgus attīstīšana. </w:t>
      </w:r>
    </w:p>
    <w:p w14:paraId="4BEB91A1" w14:textId="77777777" w:rsidR="00340BDC" w:rsidRPr="006166CC" w:rsidRDefault="00DF7FF5" w:rsidP="00340BDC">
      <w:pPr>
        <w:pStyle w:val="Heading2"/>
        <w:rPr>
          <w:rFonts w:ascii="Times New Roman" w:hAnsi="Times New Roman" w:cs="Times New Roman"/>
          <w:sz w:val="24"/>
          <w:szCs w:val="24"/>
          <w:lang w:val="lv-LV"/>
        </w:rPr>
      </w:pPr>
      <w:bookmarkStart w:id="17" w:name="_Toc511029105"/>
      <w:r w:rsidRPr="006166CC">
        <w:rPr>
          <w:rFonts w:ascii="Times New Roman" w:hAnsi="Times New Roman" w:cs="Times New Roman"/>
          <w:sz w:val="24"/>
          <w:szCs w:val="24"/>
          <w:lang w:val="lv-LV"/>
        </w:rPr>
        <w:t>Privātā</w:t>
      </w:r>
      <w:r w:rsidR="00340BDC" w:rsidRPr="006166CC">
        <w:rPr>
          <w:rFonts w:ascii="Times New Roman" w:hAnsi="Times New Roman" w:cs="Times New Roman"/>
          <w:sz w:val="24"/>
          <w:szCs w:val="24"/>
          <w:lang w:val="lv-LV"/>
        </w:rPr>
        <w:t xml:space="preserve"> sektor</w:t>
      </w:r>
      <w:r w:rsidRPr="006166CC">
        <w:rPr>
          <w:rFonts w:ascii="Times New Roman" w:hAnsi="Times New Roman" w:cs="Times New Roman"/>
          <w:sz w:val="24"/>
          <w:szCs w:val="24"/>
          <w:lang w:val="lv-LV"/>
        </w:rPr>
        <w:t>a ieguvumi</w:t>
      </w:r>
      <w:bookmarkEnd w:id="17"/>
    </w:p>
    <w:p w14:paraId="273E9B31" w14:textId="3BEFFE4E" w:rsidR="0062117C" w:rsidRPr="006166CC" w:rsidRDefault="003006A8" w:rsidP="00EA3BA7">
      <w:pPr>
        <w:jc w:val="both"/>
        <w:rPr>
          <w:rFonts w:ascii="Times New Roman" w:hAnsi="Times New Roman" w:cs="Times New Roman"/>
          <w:sz w:val="24"/>
          <w:szCs w:val="24"/>
          <w:lang w:val="lv-LV"/>
        </w:rPr>
      </w:pPr>
      <w:r w:rsidRPr="006166CC">
        <w:rPr>
          <w:rFonts w:ascii="Times New Roman" w:hAnsi="Times New Roman" w:cs="Times New Roman"/>
          <w:sz w:val="24"/>
          <w:szCs w:val="24"/>
          <w:lang w:val="lv-LV"/>
        </w:rPr>
        <w:t>Valst</w:t>
      </w:r>
      <w:r w:rsidR="00A50695" w:rsidRPr="006166CC">
        <w:rPr>
          <w:rFonts w:ascii="Times New Roman" w:hAnsi="Times New Roman" w:cs="Times New Roman"/>
          <w:sz w:val="24"/>
          <w:szCs w:val="24"/>
          <w:lang w:val="lv-LV"/>
        </w:rPr>
        <w:t xml:space="preserve">s kapitālsabiedrību </w:t>
      </w:r>
      <w:r w:rsidR="00711D2B" w:rsidRPr="006166CC">
        <w:rPr>
          <w:rFonts w:ascii="Times New Roman" w:hAnsi="Times New Roman" w:cs="Times New Roman"/>
          <w:sz w:val="24"/>
          <w:szCs w:val="24"/>
          <w:lang w:val="lv-LV"/>
        </w:rPr>
        <w:t>akciju</w:t>
      </w:r>
      <w:r w:rsidR="00A50695" w:rsidRPr="006166CC">
        <w:rPr>
          <w:rFonts w:ascii="Times New Roman" w:hAnsi="Times New Roman" w:cs="Times New Roman"/>
          <w:sz w:val="24"/>
          <w:szCs w:val="24"/>
          <w:lang w:val="lv-LV"/>
        </w:rPr>
        <w:t xml:space="preserve"> </w:t>
      </w:r>
      <w:r w:rsidRPr="006166CC">
        <w:rPr>
          <w:rFonts w:ascii="Times New Roman" w:hAnsi="Times New Roman" w:cs="Times New Roman"/>
          <w:sz w:val="24"/>
          <w:szCs w:val="24"/>
          <w:lang w:val="lv-LV"/>
        </w:rPr>
        <w:t xml:space="preserve">kotācija </w:t>
      </w:r>
      <w:r w:rsidR="00A50695" w:rsidRPr="006166CC">
        <w:rPr>
          <w:rFonts w:ascii="Times New Roman" w:hAnsi="Times New Roman" w:cs="Times New Roman"/>
          <w:sz w:val="24"/>
          <w:szCs w:val="24"/>
          <w:lang w:val="lv-LV"/>
        </w:rPr>
        <w:t xml:space="preserve">biržā </w:t>
      </w:r>
      <w:r w:rsidRPr="006166CC">
        <w:rPr>
          <w:rFonts w:ascii="Times New Roman" w:hAnsi="Times New Roman" w:cs="Times New Roman"/>
          <w:sz w:val="24"/>
          <w:szCs w:val="24"/>
          <w:lang w:val="lv-LV"/>
        </w:rPr>
        <w:t>veicinātu investīciju piesaisti</w:t>
      </w:r>
      <w:r w:rsidR="00D83D61" w:rsidRPr="006166CC">
        <w:rPr>
          <w:rFonts w:ascii="Times New Roman" w:hAnsi="Times New Roman" w:cs="Times New Roman"/>
          <w:sz w:val="24"/>
          <w:szCs w:val="24"/>
          <w:lang w:val="lv-LV"/>
        </w:rPr>
        <w:t>, turklāt</w:t>
      </w:r>
      <w:r w:rsidRPr="006166CC">
        <w:rPr>
          <w:rFonts w:ascii="Times New Roman" w:hAnsi="Times New Roman" w:cs="Times New Roman"/>
          <w:sz w:val="24"/>
          <w:szCs w:val="24"/>
          <w:lang w:val="lv-LV"/>
        </w:rPr>
        <w:t xml:space="preserve"> līdz ar</w:t>
      </w:r>
      <w:r w:rsidR="0062117C" w:rsidRPr="006166CC">
        <w:rPr>
          <w:rFonts w:ascii="Times New Roman" w:hAnsi="Times New Roman" w:cs="Times New Roman"/>
          <w:sz w:val="24"/>
          <w:szCs w:val="24"/>
          <w:lang w:val="lv-LV"/>
        </w:rPr>
        <w:t xml:space="preserve"> ieguldījumiem lielajos uzņēmumos finanšu jeb biržas investori izskatīs iespējas ieguldīt </w:t>
      </w:r>
      <w:r w:rsidR="00D83D61" w:rsidRPr="006166CC">
        <w:rPr>
          <w:rFonts w:ascii="Times New Roman" w:hAnsi="Times New Roman" w:cs="Times New Roman"/>
          <w:sz w:val="24"/>
          <w:szCs w:val="24"/>
          <w:lang w:val="lv-LV"/>
        </w:rPr>
        <w:t>arī mazākos uzņēmumos, tādējādi</w:t>
      </w:r>
      <w:r w:rsidR="0062117C" w:rsidRPr="006166CC">
        <w:rPr>
          <w:rFonts w:ascii="Times New Roman" w:hAnsi="Times New Roman" w:cs="Times New Roman"/>
          <w:sz w:val="24"/>
          <w:szCs w:val="24"/>
          <w:lang w:val="lv-LV"/>
        </w:rPr>
        <w:t xml:space="preserve"> veicinot </w:t>
      </w:r>
      <w:r w:rsidR="00A50695" w:rsidRPr="006166CC">
        <w:rPr>
          <w:rFonts w:ascii="Times New Roman" w:hAnsi="Times New Roman" w:cs="Times New Roman"/>
          <w:sz w:val="24"/>
          <w:szCs w:val="24"/>
          <w:lang w:val="lv-LV"/>
        </w:rPr>
        <w:t xml:space="preserve">finanšu un kapitāla </w:t>
      </w:r>
      <w:r w:rsidR="0062117C" w:rsidRPr="006166CC">
        <w:rPr>
          <w:rFonts w:ascii="Times New Roman" w:hAnsi="Times New Roman" w:cs="Times New Roman"/>
          <w:sz w:val="24"/>
          <w:szCs w:val="24"/>
          <w:lang w:val="lv-LV"/>
        </w:rPr>
        <w:t>tirgus kopējās ekosis</w:t>
      </w:r>
      <w:r w:rsidR="00255687" w:rsidRPr="006166CC">
        <w:rPr>
          <w:rFonts w:ascii="Times New Roman" w:hAnsi="Times New Roman" w:cs="Times New Roman"/>
          <w:sz w:val="24"/>
          <w:szCs w:val="24"/>
          <w:lang w:val="lv-LV"/>
        </w:rPr>
        <w:t>tēmas attīstību. Par to liecina</w:t>
      </w:r>
      <w:r w:rsidR="0062117C" w:rsidRPr="006166CC">
        <w:rPr>
          <w:rFonts w:ascii="Times New Roman" w:hAnsi="Times New Roman" w:cs="Times New Roman"/>
          <w:sz w:val="24"/>
          <w:szCs w:val="24"/>
          <w:lang w:val="lv-LV"/>
        </w:rPr>
        <w:t xml:space="preserve"> biržas attīstība Lietuvā un Igaunijā, kur būtiska loma bija telekomunik</w:t>
      </w:r>
      <w:r w:rsidR="009D4791" w:rsidRPr="006166CC">
        <w:rPr>
          <w:rFonts w:ascii="Times New Roman" w:hAnsi="Times New Roman" w:cs="Times New Roman"/>
          <w:sz w:val="24"/>
          <w:szCs w:val="24"/>
          <w:lang w:val="lv-LV"/>
        </w:rPr>
        <w:t>āciju uzņēmumu ienākšanai biržā</w:t>
      </w:r>
      <w:r w:rsidR="0062117C" w:rsidRPr="006166CC">
        <w:rPr>
          <w:rFonts w:ascii="Times New Roman" w:hAnsi="Times New Roman" w:cs="Times New Roman"/>
          <w:sz w:val="24"/>
          <w:szCs w:val="24"/>
          <w:lang w:val="lv-LV"/>
        </w:rPr>
        <w:t xml:space="preserve">, </w:t>
      </w:r>
      <w:r w:rsidR="00D83D61" w:rsidRPr="006166CC">
        <w:rPr>
          <w:rFonts w:ascii="Times New Roman" w:hAnsi="Times New Roman" w:cs="Times New Roman"/>
          <w:sz w:val="24"/>
          <w:szCs w:val="24"/>
          <w:lang w:val="lv-LV"/>
        </w:rPr>
        <w:t>kā</w:t>
      </w:r>
      <w:r w:rsidR="0062117C" w:rsidRPr="006166CC">
        <w:rPr>
          <w:rFonts w:ascii="Times New Roman" w:hAnsi="Times New Roman" w:cs="Times New Roman"/>
          <w:sz w:val="24"/>
          <w:szCs w:val="24"/>
          <w:lang w:val="lv-LV"/>
        </w:rPr>
        <w:t xml:space="preserve"> arī iespēja</w:t>
      </w:r>
      <w:r w:rsidR="00255687" w:rsidRPr="006166CC">
        <w:rPr>
          <w:rFonts w:ascii="Times New Roman" w:hAnsi="Times New Roman" w:cs="Times New Roman"/>
          <w:sz w:val="24"/>
          <w:szCs w:val="24"/>
          <w:lang w:val="lv-LV"/>
        </w:rPr>
        <w:t>i</w:t>
      </w:r>
      <w:r w:rsidR="0062117C" w:rsidRPr="006166CC">
        <w:rPr>
          <w:rFonts w:ascii="Times New Roman" w:hAnsi="Times New Roman" w:cs="Times New Roman"/>
          <w:sz w:val="24"/>
          <w:szCs w:val="24"/>
          <w:lang w:val="lv-LV"/>
        </w:rPr>
        <w:t xml:space="preserve"> tirgot enerģētikas uzņēmumu akcijas Lietuvā. </w:t>
      </w:r>
    </w:p>
    <w:p w14:paraId="27D46824" w14:textId="2A2A50D4" w:rsidR="00255687" w:rsidRPr="006166CC" w:rsidRDefault="00255687" w:rsidP="00EA3BA7">
      <w:pPr>
        <w:jc w:val="both"/>
        <w:rPr>
          <w:rFonts w:ascii="Times New Roman" w:hAnsi="Times New Roman" w:cs="Times New Roman"/>
          <w:sz w:val="24"/>
          <w:szCs w:val="24"/>
          <w:lang w:val="lv-LV"/>
        </w:rPr>
      </w:pPr>
      <w:r w:rsidRPr="006166CC">
        <w:rPr>
          <w:rFonts w:ascii="Times New Roman" w:hAnsi="Times New Roman" w:cs="Times New Roman"/>
          <w:sz w:val="24"/>
          <w:szCs w:val="24"/>
          <w:lang w:val="lv-LV"/>
        </w:rPr>
        <w:t>Attīstot kapitāla tirgus ekosistēmu</w:t>
      </w:r>
      <w:r w:rsidR="009D4791" w:rsidRPr="006166CC">
        <w:rPr>
          <w:rFonts w:ascii="Times New Roman" w:hAnsi="Times New Roman" w:cs="Times New Roman"/>
          <w:sz w:val="24"/>
          <w:szCs w:val="24"/>
          <w:lang w:val="lv-LV"/>
        </w:rPr>
        <w:t>,</w:t>
      </w:r>
      <w:r w:rsidRPr="006166CC">
        <w:rPr>
          <w:rFonts w:ascii="Times New Roman" w:hAnsi="Times New Roman" w:cs="Times New Roman"/>
          <w:sz w:val="24"/>
          <w:szCs w:val="24"/>
          <w:lang w:val="lv-LV"/>
        </w:rPr>
        <w:t xml:space="preserve"> parādās alternatī</w:t>
      </w:r>
      <w:r w:rsidR="009D4791" w:rsidRPr="006166CC">
        <w:rPr>
          <w:rFonts w:ascii="Times New Roman" w:hAnsi="Times New Roman" w:cs="Times New Roman"/>
          <w:sz w:val="24"/>
          <w:szCs w:val="24"/>
          <w:lang w:val="lv-LV"/>
        </w:rPr>
        <w:t>vas kapitāla piesaistes iespēj</w:t>
      </w:r>
      <w:r w:rsidR="00357D0F" w:rsidRPr="006166CC">
        <w:rPr>
          <w:rFonts w:ascii="Times New Roman" w:hAnsi="Times New Roman" w:cs="Times New Roman"/>
          <w:sz w:val="24"/>
          <w:szCs w:val="24"/>
          <w:lang w:val="lv-LV"/>
        </w:rPr>
        <w:t>as</w:t>
      </w:r>
      <w:r w:rsidR="009D4791" w:rsidRPr="006166CC">
        <w:rPr>
          <w:rFonts w:ascii="Times New Roman" w:hAnsi="Times New Roman" w:cs="Times New Roman"/>
          <w:sz w:val="24"/>
          <w:szCs w:val="24"/>
          <w:lang w:val="lv-LV"/>
        </w:rPr>
        <w:t xml:space="preserve"> uzņēmumiem</w:t>
      </w:r>
      <w:r w:rsidRPr="006166CC">
        <w:rPr>
          <w:rFonts w:ascii="Times New Roman" w:hAnsi="Times New Roman" w:cs="Times New Roman"/>
          <w:sz w:val="24"/>
          <w:szCs w:val="24"/>
          <w:lang w:val="lv-LV"/>
        </w:rPr>
        <w:t xml:space="preserve">, kuri līdz šim pamatā ir finansējuši savu attīstību </w:t>
      </w:r>
      <w:r w:rsidR="00D83D61" w:rsidRPr="006166CC">
        <w:rPr>
          <w:rFonts w:ascii="Times New Roman" w:hAnsi="Times New Roman" w:cs="Times New Roman"/>
          <w:sz w:val="24"/>
          <w:szCs w:val="24"/>
          <w:lang w:val="lv-LV"/>
        </w:rPr>
        <w:t>ar</w:t>
      </w:r>
      <w:r w:rsidRPr="006166CC">
        <w:rPr>
          <w:rFonts w:ascii="Times New Roman" w:hAnsi="Times New Roman" w:cs="Times New Roman"/>
          <w:sz w:val="24"/>
          <w:szCs w:val="24"/>
          <w:lang w:val="lv-LV"/>
        </w:rPr>
        <w:t xml:space="preserve"> kreditēšanu</w:t>
      </w:r>
      <w:r w:rsidR="00B7668E" w:rsidRPr="006166CC">
        <w:rPr>
          <w:rFonts w:ascii="Times New Roman" w:hAnsi="Times New Roman" w:cs="Times New Roman"/>
          <w:sz w:val="24"/>
          <w:szCs w:val="24"/>
          <w:lang w:val="lv-LV"/>
        </w:rPr>
        <w:t xml:space="preserve">. </w:t>
      </w:r>
      <w:r w:rsidR="00D83D61" w:rsidRPr="006166CC">
        <w:rPr>
          <w:rFonts w:ascii="Times New Roman" w:hAnsi="Times New Roman" w:cs="Times New Roman"/>
          <w:sz w:val="24"/>
          <w:szCs w:val="24"/>
          <w:lang w:val="lv-LV"/>
        </w:rPr>
        <w:t>I</w:t>
      </w:r>
      <w:r w:rsidRPr="006166CC">
        <w:rPr>
          <w:rFonts w:ascii="Times New Roman" w:hAnsi="Times New Roman" w:cs="Times New Roman"/>
          <w:sz w:val="24"/>
          <w:szCs w:val="24"/>
          <w:lang w:val="lv-LV"/>
        </w:rPr>
        <w:t>edzīvotāju uzkrājumus pārvēr</w:t>
      </w:r>
      <w:r w:rsidR="00D83D61" w:rsidRPr="006166CC">
        <w:rPr>
          <w:rFonts w:ascii="Times New Roman" w:hAnsi="Times New Roman" w:cs="Times New Roman"/>
          <w:sz w:val="24"/>
          <w:szCs w:val="24"/>
          <w:lang w:val="lv-LV"/>
        </w:rPr>
        <w:t>šot</w:t>
      </w:r>
      <w:r w:rsidRPr="006166CC">
        <w:rPr>
          <w:rFonts w:ascii="Times New Roman" w:hAnsi="Times New Roman" w:cs="Times New Roman"/>
          <w:sz w:val="24"/>
          <w:szCs w:val="24"/>
          <w:lang w:val="lv-LV"/>
        </w:rPr>
        <w:t xml:space="preserve"> </w:t>
      </w:r>
      <w:r w:rsidRPr="006166CC">
        <w:rPr>
          <w:rFonts w:ascii="Times New Roman" w:hAnsi="Times New Roman" w:cs="Times New Roman"/>
          <w:sz w:val="24"/>
          <w:szCs w:val="24"/>
          <w:lang w:val="lv-LV"/>
        </w:rPr>
        <w:lastRenderedPageBreak/>
        <w:t>produktīvās investīcijās</w:t>
      </w:r>
      <w:r w:rsidR="00D83D61" w:rsidRPr="006166CC">
        <w:rPr>
          <w:rFonts w:ascii="Times New Roman" w:hAnsi="Times New Roman" w:cs="Times New Roman"/>
          <w:sz w:val="24"/>
          <w:szCs w:val="24"/>
          <w:lang w:val="lv-LV"/>
        </w:rPr>
        <w:t xml:space="preserve">, tiek veicināta privātpersonu investīciju kultūras veidošanās. </w:t>
      </w:r>
      <w:r w:rsidRPr="006166CC">
        <w:rPr>
          <w:rFonts w:ascii="Times New Roman" w:hAnsi="Times New Roman" w:cs="Times New Roman"/>
          <w:sz w:val="24"/>
          <w:szCs w:val="24"/>
          <w:lang w:val="lv-LV"/>
        </w:rPr>
        <w:t>Attīst</w:t>
      </w:r>
      <w:r w:rsidR="00D83D61" w:rsidRPr="006166CC">
        <w:rPr>
          <w:rFonts w:ascii="Times New Roman" w:hAnsi="Times New Roman" w:cs="Times New Roman"/>
          <w:sz w:val="24"/>
          <w:szCs w:val="24"/>
          <w:lang w:val="lv-LV"/>
        </w:rPr>
        <w:t>ā</w:t>
      </w:r>
      <w:r w:rsidRPr="006166CC">
        <w:rPr>
          <w:rFonts w:ascii="Times New Roman" w:hAnsi="Times New Roman" w:cs="Times New Roman"/>
          <w:sz w:val="24"/>
          <w:szCs w:val="24"/>
          <w:lang w:val="lv-LV"/>
        </w:rPr>
        <w:t>s korporatīvas pārvaldības un caurspīdīguma prak</w:t>
      </w:r>
      <w:r w:rsidR="00D83D61" w:rsidRPr="006166CC">
        <w:rPr>
          <w:rFonts w:ascii="Times New Roman" w:hAnsi="Times New Roman" w:cs="Times New Roman"/>
          <w:sz w:val="24"/>
          <w:szCs w:val="24"/>
          <w:lang w:val="lv-LV"/>
        </w:rPr>
        <w:t>se, l</w:t>
      </w:r>
      <w:r w:rsidRPr="006166CC">
        <w:rPr>
          <w:rFonts w:ascii="Times New Roman" w:hAnsi="Times New Roman" w:cs="Times New Roman"/>
          <w:sz w:val="24"/>
          <w:szCs w:val="24"/>
          <w:lang w:val="lv-LV"/>
        </w:rPr>
        <w:t xml:space="preserve">īdz ar to </w:t>
      </w:r>
      <w:r w:rsidR="00D83D61" w:rsidRPr="006166CC">
        <w:rPr>
          <w:rFonts w:ascii="Times New Roman" w:hAnsi="Times New Roman" w:cs="Times New Roman"/>
          <w:sz w:val="24"/>
          <w:szCs w:val="24"/>
          <w:lang w:val="lv-LV"/>
        </w:rPr>
        <w:t xml:space="preserve">arī </w:t>
      </w:r>
      <w:r w:rsidRPr="006166CC">
        <w:rPr>
          <w:rFonts w:ascii="Times New Roman" w:hAnsi="Times New Roman" w:cs="Times New Roman"/>
          <w:sz w:val="24"/>
          <w:szCs w:val="24"/>
          <w:lang w:val="lv-LV"/>
        </w:rPr>
        <w:t>mazākuma akcionāru aizsardzības pieredze un prakse. Pieaug valsts starptautiskā atpazī</w:t>
      </w:r>
      <w:r w:rsidR="00D83D61" w:rsidRPr="006166CC">
        <w:rPr>
          <w:rFonts w:ascii="Times New Roman" w:hAnsi="Times New Roman" w:cs="Times New Roman"/>
          <w:sz w:val="24"/>
          <w:szCs w:val="24"/>
          <w:lang w:val="lv-LV"/>
        </w:rPr>
        <w:t>stamība un pievilcīgums ārvalstu</w:t>
      </w:r>
      <w:r w:rsidRPr="006166CC">
        <w:rPr>
          <w:rFonts w:ascii="Times New Roman" w:hAnsi="Times New Roman" w:cs="Times New Roman"/>
          <w:sz w:val="24"/>
          <w:szCs w:val="24"/>
          <w:lang w:val="lv-LV"/>
        </w:rPr>
        <w:t xml:space="preserve"> investoru skatījumā.</w:t>
      </w:r>
    </w:p>
    <w:p w14:paraId="1AABEF8B" w14:textId="77777777" w:rsidR="003D4A2D" w:rsidRPr="006166CC" w:rsidRDefault="003D4A2D" w:rsidP="0062117C">
      <w:pPr>
        <w:rPr>
          <w:rFonts w:ascii="Times New Roman" w:hAnsi="Times New Roman" w:cs="Times New Roman"/>
          <w:sz w:val="24"/>
          <w:szCs w:val="24"/>
          <w:lang w:val="lv-LV"/>
        </w:rPr>
      </w:pPr>
      <w:r w:rsidRPr="006166CC">
        <w:rPr>
          <w:rFonts w:ascii="Times New Roman" w:hAnsi="Times New Roman" w:cs="Times New Roman"/>
          <w:sz w:val="24"/>
          <w:szCs w:val="24"/>
          <w:lang w:val="lv-LV"/>
        </w:rPr>
        <w:t>Uzņēmējdarbības ieguvumi būtu šādi:</w:t>
      </w:r>
    </w:p>
    <w:p w14:paraId="51115F64" w14:textId="5565D76D" w:rsidR="00340BDC" w:rsidRPr="006166CC" w:rsidRDefault="00340BDC" w:rsidP="00EA3BA7">
      <w:pPr>
        <w:jc w:val="both"/>
        <w:rPr>
          <w:rFonts w:ascii="Times New Roman" w:hAnsi="Times New Roman" w:cs="Times New Roman"/>
          <w:sz w:val="24"/>
          <w:szCs w:val="24"/>
          <w:lang w:val="lv-LV"/>
        </w:rPr>
      </w:pPr>
      <w:bookmarkStart w:id="18" w:name="_Toc482937028"/>
      <w:r w:rsidRPr="006166CC">
        <w:rPr>
          <w:rFonts w:ascii="Times New Roman" w:hAnsi="Times New Roman" w:cs="Times New Roman"/>
          <w:b/>
          <w:sz w:val="24"/>
          <w:szCs w:val="24"/>
          <w:lang w:val="lv-LV"/>
        </w:rPr>
        <w:t>Uzņēmējdarbības efektivitātes un produktivitātes palielināšana</w:t>
      </w:r>
      <w:bookmarkEnd w:id="18"/>
      <w:r w:rsidRPr="006166CC">
        <w:rPr>
          <w:rFonts w:ascii="Times New Roman" w:hAnsi="Times New Roman" w:cs="Times New Roman"/>
          <w:b/>
          <w:sz w:val="24"/>
          <w:szCs w:val="24"/>
          <w:lang w:val="lv-LV"/>
        </w:rPr>
        <w:t xml:space="preserve">. </w:t>
      </w:r>
      <w:r w:rsidRPr="006166CC">
        <w:rPr>
          <w:rFonts w:ascii="Times New Roman" w:hAnsi="Times New Roman" w:cs="Times New Roman"/>
          <w:sz w:val="24"/>
          <w:szCs w:val="24"/>
          <w:lang w:val="lv-LV"/>
        </w:rPr>
        <w:t xml:space="preserve">Piesaistot investīcijas un modernizējot ražošanu vai pakalpojumu sniegšanu, </w:t>
      </w:r>
      <w:r w:rsidR="00AE2965" w:rsidRPr="006166CC">
        <w:rPr>
          <w:rFonts w:ascii="Times New Roman" w:hAnsi="Times New Roman" w:cs="Times New Roman"/>
          <w:sz w:val="24"/>
          <w:szCs w:val="24"/>
          <w:lang w:val="lv-LV"/>
        </w:rPr>
        <w:t xml:space="preserve">ir </w:t>
      </w:r>
      <w:r w:rsidRPr="006166CC">
        <w:rPr>
          <w:rFonts w:ascii="Times New Roman" w:hAnsi="Times New Roman" w:cs="Times New Roman"/>
          <w:sz w:val="24"/>
          <w:szCs w:val="24"/>
          <w:lang w:val="lv-LV"/>
        </w:rPr>
        <w:t xml:space="preserve">iespēja uzlabot efektivitāti un produktivitāti. Augstāks produktivitātes pieaugums ir viens no pieciem ieguvumiem no attīstīta kapitāla tirgus, kuru apraksta Viljams C. Dudley (Goldman, Sachs&amp;Co, galvenais ekonomists ASV) savā pētījumā “Kā kapitāla tirgus veicina ekonomikas attīstību un </w:t>
      </w:r>
      <w:r w:rsidR="000676EC" w:rsidRPr="006166CC">
        <w:rPr>
          <w:rFonts w:ascii="Times New Roman" w:hAnsi="Times New Roman" w:cs="Times New Roman"/>
          <w:sz w:val="24"/>
          <w:szCs w:val="24"/>
          <w:lang w:val="lv-LV"/>
        </w:rPr>
        <w:t>darbavietu</w:t>
      </w:r>
      <w:r w:rsidRPr="006166CC">
        <w:rPr>
          <w:rFonts w:ascii="Times New Roman" w:hAnsi="Times New Roman" w:cs="Times New Roman"/>
          <w:sz w:val="24"/>
          <w:szCs w:val="24"/>
          <w:lang w:val="lv-LV"/>
        </w:rPr>
        <w:t xml:space="preserve"> radīšanu”. Pārējie ekonomikas attīstības virzieni ir: (2) augstāks reālo algu pieaugums, (3) plašākas darba tirgus iespējas, (4) lielāka makroekonomiskā stabilitāte, un (5) namīpašumu veicināšana.</w:t>
      </w:r>
      <w:r w:rsidRPr="006166CC">
        <w:rPr>
          <w:rStyle w:val="FootnoteReference"/>
          <w:rFonts w:ascii="Times New Roman" w:hAnsi="Times New Roman" w:cs="Times New Roman"/>
          <w:sz w:val="24"/>
          <w:szCs w:val="24"/>
          <w:lang w:val="lv-LV"/>
        </w:rPr>
        <w:footnoteReference w:id="25"/>
      </w:r>
      <w:r w:rsidRPr="006166CC">
        <w:rPr>
          <w:rFonts w:ascii="Times New Roman" w:hAnsi="Times New Roman" w:cs="Times New Roman"/>
          <w:sz w:val="24"/>
          <w:szCs w:val="24"/>
          <w:lang w:val="lv-LV"/>
        </w:rPr>
        <w:t xml:space="preserve"> </w:t>
      </w:r>
    </w:p>
    <w:p w14:paraId="22856C80" w14:textId="1EA7AD92" w:rsidR="00340BDC" w:rsidRPr="006166CC" w:rsidRDefault="009D4791" w:rsidP="00EA3BA7">
      <w:pPr>
        <w:jc w:val="both"/>
        <w:rPr>
          <w:rFonts w:ascii="Times New Roman" w:hAnsi="Times New Roman" w:cs="Times New Roman"/>
          <w:sz w:val="24"/>
          <w:szCs w:val="24"/>
          <w:lang w:val="lv-LV"/>
        </w:rPr>
      </w:pPr>
      <w:r w:rsidRPr="006166CC">
        <w:rPr>
          <w:rFonts w:ascii="Times New Roman" w:hAnsi="Times New Roman" w:cs="Times New Roman"/>
          <w:b/>
          <w:sz w:val="24"/>
          <w:szCs w:val="24"/>
          <w:lang w:val="lv-LV"/>
        </w:rPr>
        <w:t>Kvalificēts darbaspēks</w:t>
      </w:r>
      <w:r w:rsidR="00340BDC" w:rsidRPr="006166CC">
        <w:rPr>
          <w:rFonts w:ascii="Times New Roman" w:hAnsi="Times New Roman" w:cs="Times New Roman"/>
          <w:b/>
          <w:sz w:val="24"/>
          <w:szCs w:val="24"/>
          <w:lang w:val="lv-LV"/>
        </w:rPr>
        <w:t xml:space="preserve">. </w:t>
      </w:r>
      <w:r w:rsidRPr="006166CC">
        <w:rPr>
          <w:rFonts w:ascii="Times New Roman" w:hAnsi="Times New Roman" w:cs="Times New Roman"/>
          <w:sz w:val="24"/>
          <w:szCs w:val="24"/>
          <w:lang w:val="lv-LV"/>
        </w:rPr>
        <w:t>Pēc</w:t>
      </w:r>
      <w:r w:rsidR="00340BDC" w:rsidRPr="006166CC">
        <w:rPr>
          <w:rFonts w:ascii="Times New Roman" w:hAnsi="Times New Roman" w:cs="Times New Roman"/>
          <w:sz w:val="24"/>
          <w:szCs w:val="24"/>
          <w:lang w:val="lv-LV"/>
        </w:rPr>
        <w:t xml:space="preserve"> </w:t>
      </w:r>
      <w:r w:rsidR="005C0A2A" w:rsidRPr="006166CC">
        <w:rPr>
          <w:rFonts w:ascii="Times New Roman" w:hAnsi="Times New Roman" w:cs="Times New Roman"/>
          <w:sz w:val="24"/>
          <w:szCs w:val="24"/>
          <w:lang w:val="lv-LV"/>
        </w:rPr>
        <w:t xml:space="preserve">uzņēmuma akciju </w:t>
      </w:r>
      <w:r w:rsidR="00340BDC" w:rsidRPr="006166CC">
        <w:rPr>
          <w:rFonts w:ascii="Times New Roman" w:hAnsi="Times New Roman" w:cs="Times New Roman"/>
          <w:sz w:val="24"/>
          <w:szCs w:val="24"/>
          <w:lang w:val="lv-LV"/>
        </w:rPr>
        <w:t>kotācijas</w:t>
      </w:r>
      <w:r w:rsidR="005C0A2A" w:rsidRPr="006166CC">
        <w:rPr>
          <w:rFonts w:ascii="Times New Roman" w:hAnsi="Times New Roman" w:cs="Times New Roman"/>
          <w:sz w:val="24"/>
          <w:szCs w:val="24"/>
          <w:lang w:val="lv-LV"/>
        </w:rPr>
        <w:t xml:space="preserve"> biržā</w:t>
      </w:r>
      <w:r w:rsidR="00340BDC" w:rsidRPr="006166CC">
        <w:rPr>
          <w:rFonts w:ascii="Times New Roman" w:hAnsi="Times New Roman" w:cs="Times New Roman"/>
          <w:sz w:val="24"/>
          <w:szCs w:val="24"/>
          <w:lang w:val="lv-LV"/>
        </w:rPr>
        <w:t xml:space="preserve"> ir vieglāk piesaistīt kvalificētu darbaspēku</w:t>
      </w:r>
      <w:r w:rsidR="008B3789" w:rsidRPr="006166CC">
        <w:rPr>
          <w:rFonts w:ascii="Times New Roman" w:hAnsi="Times New Roman" w:cs="Times New Roman"/>
          <w:sz w:val="24"/>
          <w:szCs w:val="24"/>
          <w:lang w:val="lv-LV"/>
        </w:rPr>
        <w:t xml:space="preserve">, jo uzņēmums kļūst </w:t>
      </w:r>
      <w:r w:rsidR="005257E8" w:rsidRPr="006166CC">
        <w:rPr>
          <w:rFonts w:ascii="Times New Roman" w:hAnsi="Times New Roman" w:cs="Times New Roman"/>
          <w:sz w:val="24"/>
          <w:szCs w:val="24"/>
          <w:lang w:val="lv-LV"/>
        </w:rPr>
        <w:t>pievilcīgs</w:t>
      </w:r>
      <w:r w:rsidR="008B3789" w:rsidRPr="006166CC">
        <w:rPr>
          <w:rFonts w:ascii="Times New Roman" w:hAnsi="Times New Roman" w:cs="Times New Roman"/>
          <w:sz w:val="24"/>
          <w:szCs w:val="24"/>
          <w:lang w:val="lv-LV"/>
        </w:rPr>
        <w:t xml:space="preserve"> investoru </w:t>
      </w:r>
      <w:r w:rsidR="005257E8" w:rsidRPr="006166CC">
        <w:rPr>
          <w:rFonts w:ascii="Times New Roman" w:hAnsi="Times New Roman" w:cs="Times New Roman"/>
          <w:sz w:val="24"/>
          <w:szCs w:val="24"/>
          <w:lang w:val="lv-LV"/>
        </w:rPr>
        <w:t xml:space="preserve">un potenciālo darbinieku </w:t>
      </w:r>
      <w:r w:rsidR="008B3789" w:rsidRPr="006166CC">
        <w:rPr>
          <w:rFonts w:ascii="Times New Roman" w:hAnsi="Times New Roman" w:cs="Times New Roman"/>
          <w:sz w:val="24"/>
          <w:szCs w:val="24"/>
          <w:lang w:val="lv-LV"/>
        </w:rPr>
        <w:t>acīs tā s</w:t>
      </w:r>
      <w:r w:rsidR="005257E8" w:rsidRPr="006166CC">
        <w:rPr>
          <w:rFonts w:ascii="Times New Roman" w:hAnsi="Times New Roman" w:cs="Times New Roman"/>
          <w:sz w:val="24"/>
          <w:szCs w:val="24"/>
          <w:lang w:val="lv-LV"/>
        </w:rPr>
        <w:t>akārtotības un caurspīdības dēļ</w:t>
      </w:r>
      <w:r w:rsidR="00340BDC" w:rsidRPr="006166CC">
        <w:rPr>
          <w:rFonts w:ascii="Times New Roman" w:hAnsi="Times New Roman" w:cs="Times New Roman"/>
          <w:sz w:val="24"/>
          <w:szCs w:val="24"/>
          <w:lang w:val="lv-LV"/>
        </w:rPr>
        <w:t xml:space="preserve">. Piemēram, </w:t>
      </w:r>
      <w:r w:rsidR="005C0A2A" w:rsidRPr="006166CC">
        <w:rPr>
          <w:rFonts w:ascii="Times New Roman" w:hAnsi="Times New Roman" w:cs="Times New Roman"/>
          <w:sz w:val="24"/>
          <w:szCs w:val="24"/>
          <w:lang w:val="lv-LV"/>
        </w:rPr>
        <w:t>AS “</w:t>
      </w:r>
      <w:r w:rsidR="00340BDC" w:rsidRPr="006166CC">
        <w:rPr>
          <w:rFonts w:ascii="Times New Roman" w:hAnsi="Times New Roman" w:cs="Times New Roman"/>
          <w:sz w:val="24"/>
          <w:szCs w:val="24"/>
          <w:lang w:val="lv-LV"/>
        </w:rPr>
        <w:t>HansaMatrix</w:t>
      </w:r>
      <w:r w:rsidR="005C0A2A" w:rsidRPr="006166CC">
        <w:rPr>
          <w:rFonts w:ascii="Times New Roman" w:hAnsi="Times New Roman" w:cs="Times New Roman"/>
          <w:sz w:val="24"/>
          <w:szCs w:val="24"/>
          <w:lang w:val="lv-LV"/>
        </w:rPr>
        <w:t>”</w:t>
      </w:r>
      <w:r w:rsidR="00340BDC" w:rsidRPr="006166CC">
        <w:rPr>
          <w:rFonts w:ascii="Times New Roman" w:hAnsi="Times New Roman" w:cs="Times New Roman"/>
          <w:sz w:val="24"/>
          <w:szCs w:val="24"/>
          <w:lang w:val="lv-LV"/>
        </w:rPr>
        <w:t xml:space="preserve"> gadījumā jomas eksperti ir gatavi atgriezties dzimtenē pēc savām studijām ārzemēs, lai strādātu šajā uzņēmumā.</w:t>
      </w:r>
      <w:r w:rsidR="00340BDC" w:rsidRPr="006166CC">
        <w:rPr>
          <w:rStyle w:val="FootnoteReference"/>
          <w:rFonts w:ascii="Times New Roman" w:hAnsi="Times New Roman" w:cs="Times New Roman"/>
          <w:sz w:val="24"/>
          <w:szCs w:val="24"/>
          <w:lang w:val="lv-LV"/>
        </w:rPr>
        <w:footnoteReference w:id="26"/>
      </w:r>
    </w:p>
    <w:p w14:paraId="73A036ED" w14:textId="0BDA08C4" w:rsidR="00BE0BE9" w:rsidRPr="006166CC" w:rsidRDefault="009B20B3" w:rsidP="00EA3BA7">
      <w:pPr>
        <w:jc w:val="both"/>
        <w:rPr>
          <w:rFonts w:ascii="Times New Roman" w:hAnsi="Times New Roman" w:cs="Times New Roman"/>
          <w:sz w:val="24"/>
          <w:szCs w:val="24"/>
          <w:lang w:val="lv-LV"/>
        </w:rPr>
      </w:pPr>
      <w:r w:rsidRPr="006166CC">
        <w:rPr>
          <w:rFonts w:ascii="Times New Roman" w:hAnsi="Times New Roman" w:cs="Times New Roman"/>
          <w:b/>
          <w:sz w:val="24"/>
          <w:szCs w:val="24"/>
          <w:lang w:val="lv-LV"/>
        </w:rPr>
        <w:t>Alternatīvas kapitāla piesaistes iespējas</w:t>
      </w:r>
      <w:r w:rsidR="006D56D9" w:rsidRPr="006166CC">
        <w:rPr>
          <w:rFonts w:ascii="Times New Roman" w:hAnsi="Times New Roman" w:cs="Times New Roman"/>
          <w:sz w:val="24"/>
          <w:szCs w:val="24"/>
          <w:lang w:val="lv-LV"/>
        </w:rPr>
        <w:t xml:space="preserve"> banku finansējumam. </w:t>
      </w:r>
      <w:r w:rsidR="00CC3C56" w:rsidRPr="006166CC">
        <w:rPr>
          <w:rFonts w:ascii="Times New Roman" w:hAnsi="Times New Roman" w:cs="Times New Roman"/>
          <w:sz w:val="24"/>
          <w:szCs w:val="24"/>
          <w:lang w:val="lv-LV"/>
        </w:rPr>
        <w:t xml:space="preserve">Pozitīvi vērtējama ir iespēja paplašināt kapitāla piesaisti papildus tradicionālajiem un ne vienmēr pieejamajiem finansējuma avotiem. </w:t>
      </w:r>
    </w:p>
    <w:p w14:paraId="6468066D" w14:textId="77777777" w:rsidR="00340BDC" w:rsidRPr="006166CC" w:rsidRDefault="003946D7" w:rsidP="00EA3BA7">
      <w:pPr>
        <w:jc w:val="both"/>
        <w:rPr>
          <w:rFonts w:ascii="Times New Roman" w:hAnsi="Times New Roman" w:cs="Times New Roman"/>
          <w:sz w:val="24"/>
          <w:szCs w:val="24"/>
          <w:lang w:val="lv-LV"/>
        </w:rPr>
      </w:pPr>
      <w:r w:rsidRPr="006166CC">
        <w:rPr>
          <w:rFonts w:ascii="Times New Roman" w:hAnsi="Times New Roman" w:cs="Times New Roman"/>
          <w:b/>
          <w:sz w:val="24"/>
          <w:szCs w:val="24"/>
          <w:lang w:val="lv-LV"/>
        </w:rPr>
        <w:t xml:space="preserve">Uzņēmumu </w:t>
      </w:r>
      <w:r w:rsidR="002C0D36" w:rsidRPr="006166CC">
        <w:rPr>
          <w:rFonts w:ascii="Times New Roman" w:hAnsi="Times New Roman" w:cs="Times New Roman"/>
          <w:b/>
          <w:sz w:val="24"/>
          <w:szCs w:val="24"/>
          <w:lang w:val="lv-LV"/>
        </w:rPr>
        <w:t xml:space="preserve">starptautiskās </w:t>
      </w:r>
      <w:r w:rsidRPr="006166CC">
        <w:rPr>
          <w:rFonts w:ascii="Times New Roman" w:hAnsi="Times New Roman" w:cs="Times New Roman"/>
          <w:b/>
          <w:sz w:val="24"/>
          <w:szCs w:val="24"/>
          <w:lang w:val="lv-LV"/>
        </w:rPr>
        <w:t xml:space="preserve">konkurētspējas palielināšana. </w:t>
      </w:r>
      <w:r w:rsidRPr="006166CC">
        <w:rPr>
          <w:rFonts w:ascii="Times New Roman" w:hAnsi="Times New Roman" w:cs="Times New Roman"/>
          <w:sz w:val="24"/>
          <w:szCs w:val="24"/>
          <w:lang w:val="lv-LV"/>
        </w:rPr>
        <w:t xml:space="preserve">Ar </w:t>
      </w:r>
      <w:r w:rsidR="00281B98" w:rsidRPr="006166CC">
        <w:rPr>
          <w:rFonts w:ascii="Times New Roman" w:hAnsi="Times New Roman" w:cs="Times New Roman"/>
          <w:sz w:val="24"/>
          <w:szCs w:val="24"/>
          <w:lang w:val="lv-LV"/>
        </w:rPr>
        <w:t xml:space="preserve">akciju vai obligāciju </w:t>
      </w:r>
      <w:r w:rsidRPr="006166CC">
        <w:rPr>
          <w:rFonts w:ascii="Times New Roman" w:hAnsi="Times New Roman" w:cs="Times New Roman"/>
          <w:sz w:val="24"/>
          <w:szCs w:val="24"/>
          <w:lang w:val="lv-LV"/>
        </w:rPr>
        <w:t xml:space="preserve">kotāciju biržā uzņēmums ne tikai piesaista kapitālu </w:t>
      </w:r>
      <w:r w:rsidR="00633192" w:rsidRPr="006166CC">
        <w:rPr>
          <w:rFonts w:ascii="Times New Roman" w:hAnsi="Times New Roman" w:cs="Times New Roman"/>
          <w:sz w:val="24"/>
          <w:szCs w:val="24"/>
          <w:lang w:val="lv-LV"/>
        </w:rPr>
        <w:t>attīstībai un kvalificētu darba</w:t>
      </w:r>
      <w:r w:rsidRPr="006166CC">
        <w:rPr>
          <w:rFonts w:ascii="Times New Roman" w:hAnsi="Times New Roman" w:cs="Times New Roman"/>
          <w:sz w:val="24"/>
          <w:szCs w:val="24"/>
          <w:lang w:val="lv-LV"/>
        </w:rPr>
        <w:t xml:space="preserve">spēku, bet arī </w:t>
      </w:r>
      <w:r w:rsidR="00633192" w:rsidRPr="006166CC">
        <w:rPr>
          <w:rFonts w:ascii="Times New Roman" w:hAnsi="Times New Roman" w:cs="Times New Roman"/>
          <w:sz w:val="24"/>
          <w:szCs w:val="24"/>
          <w:lang w:val="lv-LV"/>
        </w:rPr>
        <w:t>piesaka sevi</w:t>
      </w:r>
      <w:r w:rsidRPr="006166CC">
        <w:rPr>
          <w:rFonts w:ascii="Times New Roman" w:hAnsi="Times New Roman" w:cs="Times New Roman"/>
          <w:sz w:val="24"/>
          <w:szCs w:val="24"/>
          <w:lang w:val="lv-LV"/>
        </w:rPr>
        <w:t xml:space="preserve"> kā </w:t>
      </w:r>
      <w:r w:rsidR="00633192" w:rsidRPr="006166CC">
        <w:rPr>
          <w:rFonts w:ascii="Times New Roman" w:hAnsi="Times New Roman" w:cs="Times New Roman"/>
          <w:sz w:val="24"/>
          <w:szCs w:val="24"/>
          <w:lang w:val="lv-LV"/>
        </w:rPr>
        <w:t>globālu</w:t>
      </w:r>
      <w:r w:rsidRPr="006166CC">
        <w:rPr>
          <w:rFonts w:ascii="Times New Roman" w:hAnsi="Times New Roman" w:cs="Times New Roman"/>
          <w:sz w:val="24"/>
          <w:szCs w:val="24"/>
          <w:lang w:val="lv-LV"/>
        </w:rPr>
        <w:t xml:space="preserve"> spēlētāju, jo Nasdaq zīmols nodrošina starptautisku atpazīstamību. Tas veicina klientu un sadarbības partneru piesaisti, jo atrašanās biržā parāda, ka uzņēmuma</w:t>
      </w:r>
      <w:r w:rsidR="00281B98" w:rsidRPr="006166CC">
        <w:rPr>
          <w:rFonts w:ascii="Times New Roman" w:hAnsi="Times New Roman" w:cs="Times New Roman"/>
          <w:sz w:val="24"/>
          <w:szCs w:val="24"/>
          <w:lang w:val="lv-LV"/>
        </w:rPr>
        <w:t xml:space="preserve"> korporatīvās pārvaldības</w:t>
      </w:r>
      <w:r w:rsidRPr="006166CC">
        <w:rPr>
          <w:rFonts w:ascii="Times New Roman" w:hAnsi="Times New Roman" w:cs="Times New Roman"/>
          <w:sz w:val="24"/>
          <w:szCs w:val="24"/>
          <w:lang w:val="lv-LV"/>
        </w:rPr>
        <w:t xml:space="preserve"> vide ir caurspīdīga, sakārtot</w:t>
      </w:r>
      <w:r w:rsidR="00633192" w:rsidRPr="006166CC">
        <w:rPr>
          <w:rFonts w:ascii="Times New Roman" w:hAnsi="Times New Roman" w:cs="Times New Roman"/>
          <w:sz w:val="24"/>
          <w:szCs w:val="24"/>
          <w:lang w:val="lv-LV"/>
        </w:rPr>
        <w:t>a un labi pārvaldīta. T</w:t>
      </w:r>
      <w:r w:rsidRPr="006166CC">
        <w:rPr>
          <w:rFonts w:ascii="Times New Roman" w:hAnsi="Times New Roman" w:cs="Times New Roman"/>
          <w:sz w:val="24"/>
          <w:szCs w:val="24"/>
          <w:lang w:val="lv-LV"/>
        </w:rPr>
        <w:t xml:space="preserve">as </w:t>
      </w:r>
      <w:r w:rsidR="00633192" w:rsidRPr="006166CC">
        <w:rPr>
          <w:rFonts w:ascii="Times New Roman" w:hAnsi="Times New Roman" w:cs="Times New Roman"/>
          <w:sz w:val="24"/>
          <w:szCs w:val="24"/>
          <w:lang w:val="lv-LV"/>
        </w:rPr>
        <w:t xml:space="preserve">savukārt </w:t>
      </w:r>
      <w:r w:rsidRPr="006166CC">
        <w:rPr>
          <w:rFonts w:ascii="Times New Roman" w:hAnsi="Times New Roman" w:cs="Times New Roman"/>
          <w:sz w:val="24"/>
          <w:szCs w:val="24"/>
          <w:lang w:val="lv-LV"/>
        </w:rPr>
        <w:t>veicina eksporta attīstību</w:t>
      </w:r>
      <w:r w:rsidR="002C0D36" w:rsidRPr="006166CC">
        <w:rPr>
          <w:rFonts w:ascii="Times New Roman" w:hAnsi="Times New Roman" w:cs="Times New Roman"/>
          <w:sz w:val="24"/>
          <w:szCs w:val="24"/>
          <w:lang w:val="lv-LV"/>
        </w:rPr>
        <w:t>.</w:t>
      </w:r>
    </w:p>
    <w:p w14:paraId="05CB65D5" w14:textId="5B5DC593" w:rsidR="00010BE9" w:rsidRPr="006166CC" w:rsidRDefault="00010BE9" w:rsidP="00010BE9">
      <w:pPr>
        <w:pStyle w:val="Heading1"/>
        <w:rPr>
          <w:rFonts w:ascii="Times New Roman" w:hAnsi="Times New Roman" w:cs="Times New Roman"/>
          <w:sz w:val="24"/>
          <w:szCs w:val="24"/>
          <w:lang w:val="lv-LV"/>
        </w:rPr>
      </w:pPr>
      <w:bookmarkStart w:id="19" w:name="_Toc511029106"/>
      <w:r w:rsidRPr="006166CC">
        <w:rPr>
          <w:rFonts w:ascii="Times New Roman" w:hAnsi="Times New Roman" w:cs="Times New Roman"/>
          <w:sz w:val="24"/>
          <w:szCs w:val="24"/>
          <w:lang w:val="lv-LV"/>
        </w:rPr>
        <w:t>Izvirzītie mērķi</w:t>
      </w:r>
      <w:bookmarkEnd w:id="19"/>
    </w:p>
    <w:p w14:paraId="670E54DF" w14:textId="77777777" w:rsidR="00211F90" w:rsidRPr="006166CC" w:rsidRDefault="00211F90" w:rsidP="00010BE9">
      <w:pPr>
        <w:rPr>
          <w:rFonts w:ascii="Times New Roman" w:hAnsi="Times New Roman" w:cs="Times New Roman"/>
          <w:sz w:val="24"/>
          <w:szCs w:val="24"/>
          <w:lang w:val="lv-LV"/>
        </w:rPr>
      </w:pPr>
      <w:r w:rsidRPr="006166CC">
        <w:rPr>
          <w:rFonts w:ascii="Times New Roman" w:hAnsi="Times New Roman" w:cs="Times New Roman"/>
          <w:b/>
          <w:sz w:val="24"/>
          <w:szCs w:val="24"/>
          <w:lang w:val="lv-LV"/>
        </w:rPr>
        <w:t>Tirgus kapitalizācija pret IKP īstermiņā – 8%, ilgtermiņā – 33%.</w:t>
      </w:r>
      <w:r w:rsidRPr="006166CC">
        <w:rPr>
          <w:rFonts w:ascii="Times New Roman" w:hAnsi="Times New Roman" w:cs="Times New Roman"/>
          <w:sz w:val="24"/>
          <w:szCs w:val="24"/>
          <w:lang w:val="lv-LV"/>
        </w:rPr>
        <w:t xml:space="preserve"> </w:t>
      </w:r>
    </w:p>
    <w:p w14:paraId="2BDAED91" w14:textId="21598DA8" w:rsidR="00010BE9" w:rsidRPr="006166CC" w:rsidRDefault="009B20B3" w:rsidP="00EA3BA7">
      <w:pPr>
        <w:jc w:val="both"/>
        <w:rPr>
          <w:rFonts w:ascii="Times New Roman" w:hAnsi="Times New Roman" w:cs="Times New Roman"/>
          <w:sz w:val="24"/>
          <w:szCs w:val="24"/>
          <w:lang w:val="lv-LV"/>
        </w:rPr>
      </w:pPr>
      <w:r w:rsidRPr="006166CC">
        <w:rPr>
          <w:rFonts w:ascii="Times New Roman" w:hAnsi="Times New Roman" w:cs="Times New Roman"/>
          <w:sz w:val="24"/>
          <w:szCs w:val="24"/>
          <w:lang w:val="lv-LV"/>
        </w:rPr>
        <w:t>T</w:t>
      </w:r>
      <w:r w:rsidR="00010BE9" w:rsidRPr="006166CC">
        <w:rPr>
          <w:rFonts w:ascii="Times New Roman" w:hAnsi="Times New Roman" w:cs="Times New Roman"/>
          <w:sz w:val="24"/>
          <w:szCs w:val="24"/>
          <w:lang w:val="lv-LV"/>
        </w:rPr>
        <w:t>uvāko 3 gadu mērķis</w:t>
      </w:r>
      <w:r w:rsidR="006E7F35" w:rsidRPr="006166CC">
        <w:rPr>
          <w:rFonts w:ascii="Times New Roman" w:hAnsi="Times New Roman" w:cs="Times New Roman"/>
          <w:sz w:val="24"/>
          <w:szCs w:val="24"/>
          <w:lang w:val="lv-LV"/>
        </w:rPr>
        <w:t xml:space="preserve"> būtu pārsniegt šī brīža Igaunijas tirgus kapitalizācijas pret IKP r</w:t>
      </w:r>
      <w:r w:rsidR="00151899" w:rsidRPr="006166CC">
        <w:rPr>
          <w:rFonts w:ascii="Times New Roman" w:hAnsi="Times New Roman" w:cs="Times New Roman"/>
          <w:sz w:val="24"/>
          <w:szCs w:val="24"/>
          <w:lang w:val="lv-LV"/>
        </w:rPr>
        <w:t>ā</w:t>
      </w:r>
      <w:r w:rsidR="006E7F35" w:rsidRPr="006166CC">
        <w:rPr>
          <w:rFonts w:ascii="Times New Roman" w:hAnsi="Times New Roman" w:cs="Times New Roman"/>
          <w:sz w:val="24"/>
          <w:szCs w:val="24"/>
          <w:lang w:val="lv-LV"/>
        </w:rPr>
        <w:t>dītāju, kas nozīmētu pieaugumu no 3% līdz 8%. Skaitliski tas nozīmē, ka tirgus kapitalizā</w:t>
      </w:r>
      <w:r w:rsidR="00DF703B" w:rsidRPr="006166CC">
        <w:rPr>
          <w:rFonts w:ascii="Times New Roman" w:hAnsi="Times New Roman" w:cs="Times New Roman"/>
          <w:sz w:val="24"/>
          <w:szCs w:val="24"/>
          <w:lang w:val="lv-LV"/>
        </w:rPr>
        <w:t xml:space="preserve">ciju ir nepieciešams trīskāršot, tas ir, no 0.8 miljardiem eiro uz 2.4 miljardiem eiro pie </w:t>
      </w:r>
      <w:r w:rsidR="0032002D" w:rsidRPr="006166CC">
        <w:rPr>
          <w:rFonts w:ascii="Times New Roman" w:hAnsi="Times New Roman" w:cs="Times New Roman"/>
          <w:sz w:val="24"/>
          <w:szCs w:val="24"/>
          <w:lang w:val="lv-LV"/>
        </w:rPr>
        <w:t xml:space="preserve">nemainīga </w:t>
      </w:r>
      <w:r w:rsidR="00DF703B" w:rsidRPr="006166CC">
        <w:rPr>
          <w:rFonts w:ascii="Times New Roman" w:hAnsi="Times New Roman" w:cs="Times New Roman"/>
          <w:sz w:val="24"/>
          <w:szCs w:val="24"/>
          <w:lang w:val="lv-LV"/>
        </w:rPr>
        <w:t>IKP.</w:t>
      </w:r>
      <w:r w:rsidR="006E7F35" w:rsidRPr="006166CC">
        <w:rPr>
          <w:rFonts w:ascii="Times New Roman" w:hAnsi="Times New Roman" w:cs="Times New Roman"/>
          <w:sz w:val="24"/>
          <w:szCs w:val="24"/>
          <w:lang w:val="lv-LV"/>
        </w:rPr>
        <w:t xml:space="preserve"> </w:t>
      </w:r>
      <w:r w:rsidR="00010BE9" w:rsidRPr="006166CC">
        <w:rPr>
          <w:rFonts w:ascii="Times New Roman" w:hAnsi="Times New Roman" w:cs="Times New Roman"/>
          <w:sz w:val="24"/>
          <w:szCs w:val="24"/>
          <w:lang w:val="lv-LV"/>
        </w:rPr>
        <w:t>Ilgtermiņā Latvijai vajadzētu sasniegt tirgus kapitalizāciju pret IKP, kura atbilst E</w:t>
      </w:r>
      <w:r w:rsidR="00967ADF" w:rsidRPr="006166CC">
        <w:rPr>
          <w:rFonts w:ascii="Times New Roman" w:hAnsi="Times New Roman" w:cs="Times New Roman"/>
          <w:sz w:val="24"/>
          <w:szCs w:val="24"/>
          <w:lang w:val="lv-LV"/>
        </w:rPr>
        <w:t>iropas Ekonomiskās zonas mediānai</w:t>
      </w:r>
      <w:r w:rsidR="00010BE9" w:rsidRPr="006166CC">
        <w:rPr>
          <w:rFonts w:ascii="Times New Roman" w:hAnsi="Times New Roman" w:cs="Times New Roman"/>
          <w:sz w:val="24"/>
          <w:szCs w:val="24"/>
          <w:lang w:val="lv-LV"/>
        </w:rPr>
        <w:t>, tas ir, 33%</w:t>
      </w:r>
      <w:r w:rsidR="00BE671D" w:rsidRPr="006166CC">
        <w:rPr>
          <w:rFonts w:ascii="Times New Roman" w:hAnsi="Times New Roman" w:cs="Times New Roman"/>
          <w:sz w:val="24"/>
          <w:szCs w:val="24"/>
          <w:lang w:val="lv-LV"/>
        </w:rPr>
        <w:t xml:space="preserve"> (skatīt </w:t>
      </w:r>
      <w:r w:rsidR="00151899" w:rsidRPr="006166CC">
        <w:rPr>
          <w:rFonts w:ascii="Times New Roman" w:hAnsi="Times New Roman" w:cs="Times New Roman"/>
          <w:sz w:val="24"/>
          <w:szCs w:val="24"/>
          <w:lang w:val="lv-LV"/>
        </w:rPr>
        <w:t>a</w:t>
      </w:r>
      <w:r w:rsidR="00BE671D" w:rsidRPr="006166CC">
        <w:rPr>
          <w:rFonts w:ascii="Times New Roman" w:hAnsi="Times New Roman" w:cs="Times New Roman"/>
          <w:sz w:val="24"/>
          <w:szCs w:val="24"/>
          <w:lang w:val="lv-LV"/>
        </w:rPr>
        <w:t>ttēlu Nr. 1)</w:t>
      </w:r>
      <w:r w:rsidR="00010BE9" w:rsidRPr="006166CC">
        <w:rPr>
          <w:rFonts w:ascii="Times New Roman" w:hAnsi="Times New Roman" w:cs="Times New Roman"/>
          <w:sz w:val="24"/>
          <w:szCs w:val="24"/>
          <w:lang w:val="lv-LV"/>
        </w:rPr>
        <w:t>.</w:t>
      </w:r>
    </w:p>
    <w:p w14:paraId="08D8A580" w14:textId="3F065AFF" w:rsidR="00211F90" w:rsidRPr="006166CC" w:rsidRDefault="00A7636E" w:rsidP="00EA3BA7">
      <w:pPr>
        <w:jc w:val="both"/>
        <w:rPr>
          <w:rFonts w:ascii="Times New Roman" w:hAnsi="Times New Roman" w:cs="Times New Roman"/>
          <w:sz w:val="24"/>
          <w:szCs w:val="24"/>
          <w:lang w:val="lv-LV"/>
        </w:rPr>
      </w:pPr>
      <w:r w:rsidRPr="006166CC">
        <w:rPr>
          <w:rFonts w:ascii="Times New Roman" w:hAnsi="Times New Roman" w:cs="Times New Roman"/>
          <w:sz w:val="24"/>
          <w:szCs w:val="24"/>
          <w:lang w:val="lv-LV"/>
        </w:rPr>
        <w:lastRenderedPageBreak/>
        <w:t xml:space="preserve">3 gadu mērķi var sasniegt ar </w:t>
      </w:r>
      <w:r w:rsidR="00D827C4" w:rsidRPr="006166CC">
        <w:rPr>
          <w:rFonts w:ascii="Times New Roman" w:hAnsi="Times New Roman" w:cs="Times New Roman"/>
          <w:sz w:val="24"/>
          <w:szCs w:val="24"/>
          <w:lang w:val="lv-LV"/>
        </w:rPr>
        <w:t xml:space="preserve">kapitālsabiedrību </w:t>
      </w:r>
      <w:r w:rsidRPr="006166CC">
        <w:rPr>
          <w:rFonts w:ascii="Times New Roman" w:hAnsi="Times New Roman" w:cs="Times New Roman"/>
          <w:sz w:val="24"/>
          <w:szCs w:val="24"/>
          <w:lang w:val="lv-LV"/>
        </w:rPr>
        <w:t xml:space="preserve">un investoru skaitu palielināšanu biržā, </w:t>
      </w:r>
      <w:r w:rsidR="00633192" w:rsidRPr="006166CC">
        <w:rPr>
          <w:rFonts w:ascii="Times New Roman" w:hAnsi="Times New Roman" w:cs="Times New Roman"/>
          <w:sz w:val="24"/>
          <w:szCs w:val="24"/>
          <w:lang w:val="lv-LV"/>
        </w:rPr>
        <w:t>tādējādi radot</w:t>
      </w:r>
      <w:r w:rsidRPr="006166CC">
        <w:rPr>
          <w:rFonts w:ascii="Times New Roman" w:hAnsi="Times New Roman" w:cs="Times New Roman"/>
          <w:sz w:val="24"/>
          <w:szCs w:val="24"/>
          <w:lang w:val="lv-LV"/>
        </w:rPr>
        <w:t xml:space="preserve"> </w:t>
      </w:r>
      <w:r w:rsidR="00633192" w:rsidRPr="006166CC">
        <w:rPr>
          <w:rFonts w:ascii="Times New Roman" w:hAnsi="Times New Roman" w:cs="Times New Roman"/>
          <w:sz w:val="24"/>
          <w:szCs w:val="24"/>
          <w:lang w:val="lv-LV"/>
        </w:rPr>
        <w:t>iespējas</w:t>
      </w:r>
      <w:r w:rsidRPr="006166CC">
        <w:rPr>
          <w:rFonts w:ascii="Times New Roman" w:hAnsi="Times New Roman" w:cs="Times New Roman"/>
          <w:sz w:val="24"/>
          <w:szCs w:val="24"/>
          <w:lang w:val="lv-LV"/>
        </w:rPr>
        <w:t xml:space="preserve"> arī ilgtermiņa mērķa sasniegšanai.</w:t>
      </w:r>
      <w:r w:rsidR="009B20B3" w:rsidRPr="006166CC">
        <w:rPr>
          <w:rFonts w:ascii="Times New Roman" w:hAnsi="Times New Roman" w:cs="Times New Roman"/>
          <w:sz w:val="24"/>
          <w:szCs w:val="24"/>
          <w:lang w:val="lv-LV"/>
        </w:rPr>
        <w:t xml:space="preserve"> </w:t>
      </w:r>
    </w:p>
    <w:p w14:paraId="7A51E076" w14:textId="77777777" w:rsidR="00E37765" w:rsidRPr="006166CC" w:rsidRDefault="00E37765" w:rsidP="00E37765">
      <w:pPr>
        <w:pStyle w:val="Heading1"/>
        <w:rPr>
          <w:rFonts w:ascii="Times New Roman" w:hAnsi="Times New Roman" w:cs="Times New Roman"/>
          <w:sz w:val="24"/>
          <w:szCs w:val="24"/>
          <w:lang w:val="lv-LV"/>
        </w:rPr>
      </w:pPr>
      <w:bookmarkStart w:id="20" w:name="_Toc511029107"/>
      <w:r w:rsidRPr="006166CC">
        <w:rPr>
          <w:rFonts w:ascii="Times New Roman" w:hAnsi="Times New Roman" w:cs="Times New Roman"/>
          <w:sz w:val="24"/>
          <w:szCs w:val="24"/>
          <w:lang w:val="lv-LV"/>
        </w:rPr>
        <w:t>Turpmākie soļi kapitāla tirgus attīstības veicināšanai</w:t>
      </w:r>
      <w:bookmarkEnd w:id="20"/>
    </w:p>
    <w:p w14:paraId="321CFB37" w14:textId="53E2DF94" w:rsidR="00255687" w:rsidRPr="006166CC" w:rsidRDefault="00BF4ACF" w:rsidP="00E37765">
      <w:pPr>
        <w:pStyle w:val="Heading2"/>
        <w:rPr>
          <w:rFonts w:ascii="Times New Roman" w:hAnsi="Times New Roman" w:cs="Times New Roman"/>
          <w:sz w:val="24"/>
          <w:szCs w:val="24"/>
          <w:lang w:val="lv-LV"/>
        </w:rPr>
      </w:pPr>
      <w:bookmarkStart w:id="21" w:name="_Toc511029108"/>
      <w:r w:rsidRPr="006166CC">
        <w:rPr>
          <w:rFonts w:ascii="Times New Roman" w:hAnsi="Times New Roman" w:cs="Times New Roman"/>
          <w:sz w:val="24"/>
          <w:szCs w:val="24"/>
          <w:lang w:val="lv-LV"/>
        </w:rPr>
        <w:t xml:space="preserve">Valstij piederošo </w:t>
      </w:r>
      <w:r w:rsidR="00D827C4" w:rsidRPr="006166CC">
        <w:rPr>
          <w:rFonts w:ascii="Times New Roman" w:hAnsi="Times New Roman" w:cs="Times New Roman"/>
          <w:sz w:val="24"/>
          <w:szCs w:val="24"/>
          <w:lang w:val="lv-LV"/>
        </w:rPr>
        <w:t>akciju</w:t>
      </w:r>
      <w:r w:rsidR="00A50695" w:rsidRPr="006166CC">
        <w:rPr>
          <w:rFonts w:ascii="Times New Roman" w:hAnsi="Times New Roman" w:cs="Times New Roman"/>
          <w:sz w:val="24"/>
          <w:szCs w:val="24"/>
          <w:lang w:val="lv-LV"/>
        </w:rPr>
        <w:t xml:space="preserve"> </w:t>
      </w:r>
      <w:r w:rsidRPr="006166CC">
        <w:rPr>
          <w:rFonts w:ascii="Times New Roman" w:hAnsi="Times New Roman" w:cs="Times New Roman"/>
          <w:sz w:val="24"/>
          <w:szCs w:val="24"/>
          <w:lang w:val="lv-LV"/>
        </w:rPr>
        <w:t xml:space="preserve">daļēja vai pilnīga </w:t>
      </w:r>
      <w:r w:rsidR="009046C4" w:rsidRPr="006166CC">
        <w:rPr>
          <w:rFonts w:ascii="Times New Roman" w:hAnsi="Times New Roman" w:cs="Times New Roman"/>
          <w:sz w:val="24"/>
          <w:szCs w:val="24"/>
          <w:lang w:val="lv-LV"/>
        </w:rPr>
        <w:t>kotācija</w:t>
      </w:r>
      <w:bookmarkEnd w:id="21"/>
    </w:p>
    <w:p w14:paraId="1CDE39A2" w14:textId="5FD7DCDA" w:rsidR="00B232D3" w:rsidRPr="006166CC" w:rsidRDefault="00255687" w:rsidP="00EA3BA7">
      <w:pPr>
        <w:jc w:val="both"/>
        <w:rPr>
          <w:rFonts w:ascii="Times New Roman" w:hAnsi="Times New Roman" w:cs="Times New Roman"/>
          <w:sz w:val="24"/>
          <w:szCs w:val="24"/>
          <w:lang w:val="lv-LV"/>
        </w:rPr>
      </w:pPr>
      <w:r w:rsidRPr="006166CC">
        <w:rPr>
          <w:rFonts w:ascii="Times New Roman" w:hAnsi="Times New Roman" w:cs="Times New Roman"/>
          <w:sz w:val="24"/>
          <w:szCs w:val="24"/>
          <w:lang w:val="lv-LV"/>
        </w:rPr>
        <w:t>Līdzšinējā starptautiskā pieredze liecina, ka sekmīgai kapitāla tirgus attīstībai ir nepieciešami pozi</w:t>
      </w:r>
      <w:r w:rsidR="00B030CE" w:rsidRPr="006166CC">
        <w:rPr>
          <w:rFonts w:ascii="Times New Roman" w:hAnsi="Times New Roman" w:cs="Times New Roman"/>
          <w:sz w:val="24"/>
          <w:szCs w:val="24"/>
          <w:lang w:val="lv-LV"/>
        </w:rPr>
        <w:t>tīvi precedenti</w:t>
      </w:r>
      <w:r w:rsidRPr="006166CC">
        <w:rPr>
          <w:rFonts w:ascii="Times New Roman" w:hAnsi="Times New Roman" w:cs="Times New Roman"/>
          <w:sz w:val="24"/>
          <w:szCs w:val="24"/>
          <w:lang w:val="lv-LV"/>
        </w:rPr>
        <w:t xml:space="preserve"> un piemēri. Latvijā tādu līdz šim ir bijis ļoti maz. </w:t>
      </w:r>
      <w:r w:rsidR="00FB35F5" w:rsidRPr="006166CC">
        <w:rPr>
          <w:rFonts w:ascii="Times New Roman" w:hAnsi="Times New Roman" w:cs="Times New Roman"/>
          <w:sz w:val="24"/>
          <w:szCs w:val="24"/>
          <w:lang w:val="lv-LV"/>
        </w:rPr>
        <w:t>B</w:t>
      </w:r>
      <w:r w:rsidRPr="006166CC">
        <w:rPr>
          <w:rFonts w:ascii="Times New Roman" w:hAnsi="Times New Roman" w:cs="Times New Roman"/>
          <w:sz w:val="24"/>
          <w:szCs w:val="24"/>
          <w:lang w:val="lv-LV"/>
        </w:rPr>
        <w:t>ūtisku impulsu var dot valdība, kurai ir</w:t>
      </w:r>
      <w:r w:rsidR="002B6A8E" w:rsidRPr="006166CC">
        <w:rPr>
          <w:rFonts w:ascii="Times New Roman" w:hAnsi="Times New Roman" w:cs="Times New Roman"/>
          <w:sz w:val="24"/>
          <w:szCs w:val="24"/>
          <w:lang w:val="lv-LV"/>
        </w:rPr>
        <w:t xml:space="preserve"> </w:t>
      </w:r>
      <w:r w:rsidR="00B656CA" w:rsidRPr="006166CC">
        <w:rPr>
          <w:rFonts w:ascii="Times New Roman" w:hAnsi="Times New Roman" w:cs="Times New Roman"/>
          <w:sz w:val="24"/>
          <w:szCs w:val="24"/>
          <w:lang w:val="lv-LV"/>
        </w:rPr>
        <w:t xml:space="preserve">jāturpina realizēt “saprātīgus” </w:t>
      </w:r>
      <w:r w:rsidR="00281B98" w:rsidRPr="006166CC">
        <w:rPr>
          <w:rFonts w:ascii="Times New Roman" w:hAnsi="Times New Roman" w:cs="Times New Roman"/>
          <w:sz w:val="24"/>
          <w:szCs w:val="24"/>
          <w:lang w:val="lv-LV"/>
        </w:rPr>
        <w:t xml:space="preserve">esošo valsts </w:t>
      </w:r>
      <w:r w:rsidR="00D827C4" w:rsidRPr="006166CC">
        <w:rPr>
          <w:rFonts w:ascii="Times New Roman" w:hAnsi="Times New Roman" w:cs="Times New Roman"/>
          <w:sz w:val="24"/>
          <w:szCs w:val="24"/>
          <w:lang w:val="lv-LV"/>
        </w:rPr>
        <w:t xml:space="preserve">kapitālsabiedrību </w:t>
      </w:r>
      <w:r w:rsidR="009046C4" w:rsidRPr="006166CC">
        <w:rPr>
          <w:rFonts w:ascii="Times New Roman" w:hAnsi="Times New Roman" w:cs="Times New Roman"/>
          <w:sz w:val="24"/>
          <w:szCs w:val="24"/>
          <w:lang w:val="lv-LV"/>
        </w:rPr>
        <w:t>kotācijas</w:t>
      </w:r>
      <w:r w:rsidR="00A60141" w:rsidRPr="006166CC">
        <w:rPr>
          <w:rFonts w:ascii="Times New Roman" w:hAnsi="Times New Roman" w:cs="Times New Roman"/>
          <w:sz w:val="24"/>
          <w:szCs w:val="24"/>
          <w:lang w:val="lv-LV"/>
        </w:rPr>
        <w:t xml:space="preserve"> </w:t>
      </w:r>
      <w:r w:rsidR="00B656CA" w:rsidRPr="006166CC">
        <w:rPr>
          <w:rFonts w:ascii="Times New Roman" w:hAnsi="Times New Roman" w:cs="Times New Roman"/>
          <w:sz w:val="24"/>
          <w:szCs w:val="24"/>
          <w:lang w:val="lv-LV"/>
        </w:rPr>
        <w:t>procesus</w:t>
      </w:r>
      <w:r w:rsidR="00EC48FE" w:rsidRPr="006166CC">
        <w:rPr>
          <w:rFonts w:ascii="Times New Roman" w:hAnsi="Times New Roman" w:cs="Times New Roman"/>
          <w:sz w:val="24"/>
          <w:szCs w:val="24"/>
          <w:lang w:val="lv-LV"/>
        </w:rPr>
        <w:t xml:space="preserve"> biržā</w:t>
      </w:r>
      <w:r w:rsidR="00B656CA" w:rsidRPr="006166CC">
        <w:rPr>
          <w:rFonts w:ascii="Times New Roman" w:hAnsi="Times New Roman" w:cs="Times New Roman"/>
          <w:sz w:val="24"/>
          <w:szCs w:val="24"/>
          <w:lang w:val="lv-LV"/>
        </w:rPr>
        <w:t xml:space="preserve">, paturot 51% vai lielāku līdzdalību, tādējādi veicinot </w:t>
      </w:r>
      <w:r w:rsidR="00D827C4" w:rsidRPr="006166CC">
        <w:rPr>
          <w:rFonts w:ascii="Times New Roman" w:hAnsi="Times New Roman" w:cs="Times New Roman"/>
          <w:sz w:val="24"/>
          <w:szCs w:val="24"/>
          <w:lang w:val="lv-LV"/>
        </w:rPr>
        <w:t xml:space="preserve">kapitālsabiedrību </w:t>
      </w:r>
      <w:r w:rsidR="00B656CA" w:rsidRPr="006166CC">
        <w:rPr>
          <w:rFonts w:ascii="Times New Roman" w:hAnsi="Times New Roman" w:cs="Times New Roman"/>
          <w:sz w:val="24"/>
          <w:szCs w:val="24"/>
          <w:lang w:val="lv-LV"/>
        </w:rPr>
        <w:t xml:space="preserve">vērtības kāpumu. Tas kļūs iespējams, pateicoties </w:t>
      </w:r>
      <w:r w:rsidR="00D827C4" w:rsidRPr="006166CC">
        <w:rPr>
          <w:rFonts w:ascii="Times New Roman" w:hAnsi="Times New Roman" w:cs="Times New Roman"/>
          <w:sz w:val="24"/>
          <w:szCs w:val="24"/>
          <w:lang w:val="lv-LV"/>
        </w:rPr>
        <w:t>kapitālsabiedrību</w:t>
      </w:r>
      <w:r w:rsidR="00B656CA" w:rsidRPr="006166CC">
        <w:rPr>
          <w:rFonts w:ascii="Times New Roman" w:hAnsi="Times New Roman" w:cs="Times New Roman"/>
          <w:sz w:val="24"/>
          <w:szCs w:val="24"/>
          <w:lang w:val="lv-LV"/>
        </w:rPr>
        <w:t xml:space="preserve"> resursu efektīvākai izmantošanai</w:t>
      </w:r>
      <w:r w:rsidR="00A60141" w:rsidRPr="006166CC">
        <w:rPr>
          <w:rFonts w:ascii="Times New Roman" w:hAnsi="Times New Roman" w:cs="Times New Roman"/>
          <w:sz w:val="24"/>
          <w:szCs w:val="24"/>
          <w:lang w:val="lv-LV"/>
        </w:rPr>
        <w:t>, inovācijām</w:t>
      </w:r>
      <w:r w:rsidR="00B656CA" w:rsidRPr="006166CC">
        <w:rPr>
          <w:rFonts w:ascii="Times New Roman" w:hAnsi="Times New Roman" w:cs="Times New Roman"/>
          <w:sz w:val="24"/>
          <w:szCs w:val="24"/>
          <w:lang w:val="lv-LV"/>
        </w:rPr>
        <w:t xml:space="preserve"> un labas korporatīvās pārvaldības prakses </w:t>
      </w:r>
      <w:r w:rsidR="00895234" w:rsidRPr="006166CC">
        <w:rPr>
          <w:rFonts w:ascii="Times New Roman" w:hAnsi="Times New Roman" w:cs="Times New Roman"/>
          <w:sz w:val="24"/>
          <w:szCs w:val="24"/>
          <w:lang w:val="lv-LV"/>
        </w:rPr>
        <w:t>pilnveidošanai</w:t>
      </w:r>
      <w:r w:rsidR="00B656CA" w:rsidRPr="006166CC">
        <w:rPr>
          <w:rFonts w:ascii="Times New Roman" w:hAnsi="Times New Roman" w:cs="Times New Roman"/>
          <w:sz w:val="24"/>
          <w:szCs w:val="24"/>
          <w:lang w:val="lv-LV"/>
        </w:rPr>
        <w:t>. Piemēram, Lietuvā visi enerģētikas sektora uzņēmumi ir kotēti biržā</w:t>
      </w:r>
      <w:r w:rsidR="00895234" w:rsidRPr="006166CC">
        <w:rPr>
          <w:rFonts w:ascii="Times New Roman" w:hAnsi="Times New Roman" w:cs="Times New Roman"/>
          <w:sz w:val="24"/>
          <w:szCs w:val="24"/>
          <w:lang w:val="lv-LV"/>
        </w:rPr>
        <w:t>, saglabājot</w:t>
      </w:r>
      <w:r w:rsidR="00B656CA" w:rsidRPr="006166CC">
        <w:rPr>
          <w:rFonts w:ascii="Times New Roman" w:hAnsi="Times New Roman" w:cs="Times New Roman"/>
          <w:sz w:val="24"/>
          <w:szCs w:val="24"/>
          <w:lang w:val="lv-LV"/>
        </w:rPr>
        <w:t xml:space="preserve"> valsts </w:t>
      </w:r>
      <w:r w:rsidR="00895234" w:rsidRPr="006166CC">
        <w:rPr>
          <w:rFonts w:ascii="Times New Roman" w:hAnsi="Times New Roman" w:cs="Times New Roman"/>
          <w:sz w:val="24"/>
          <w:szCs w:val="24"/>
          <w:lang w:val="lv-LV"/>
        </w:rPr>
        <w:t xml:space="preserve">izšķirošo </w:t>
      </w:r>
      <w:r w:rsidR="00B656CA" w:rsidRPr="006166CC">
        <w:rPr>
          <w:rFonts w:ascii="Times New Roman" w:hAnsi="Times New Roman" w:cs="Times New Roman"/>
          <w:sz w:val="24"/>
          <w:szCs w:val="24"/>
          <w:lang w:val="lv-LV"/>
        </w:rPr>
        <w:t xml:space="preserve">līdzdalību. </w:t>
      </w:r>
    </w:p>
    <w:p w14:paraId="07A139EB" w14:textId="468F07CB" w:rsidR="00711663" w:rsidRPr="006166CC" w:rsidRDefault="00711663" w:rsidP="00EA3BA7">
      <w:pPr>
        <w:jc w:val="both"/>
        <w:rPr>
          <w:rFonts w:ascii="Times New Roman" w:hAnsi="Times New Roman" w:cs="Times New Roman"/>
          <w:sz w:val="24"/>
          <w:szCs w:val="24"/>
          <w:lang w:val="lv-LV"/>
        </w:rPr>
      </w:pPr>
      <w:r w:rsidRPr="006166CC">
        <w:rPr>
          <w:rFonts w:ascii="Times New Roman" w:hAnsi="Times New Roman" w:cs="Times New Roman"/>
          <w:sz w:val="24"/>
          <w:szCs w:val="24"/>
          <w:lang w:val="lv-LV"/>
        </w:rPr>
        <w:t xml:space="preserve">Jāņem arī vērā, ka, lai birža kā kapitāla piesaistes instruments būtu interesanta gan kapitāla devējiem, gan kapitāla piesaistītājiem, biržai ir jābūt ar </w:t>
      </w:r>
      <w:r w:rsidR="00627312" w:rsidRPr="006166CC">
        <w:rPr>
          <w:rFonts w:ascii="Times New Roman" w:hAnsi="Times New Roman" w:cs="Times New Roman"/>
          <w:sz w:val="24"/>
          <w:szCs w:val="24"/>
          <w:lang w:val="lv-LV"/>
        </w:rPr>
        <w:t>atbilstoša apjoma</w:t>
      </w:r>
      <w:r w:rsidRPr="006166CC">
        <w:rPr>
          <w:rFonts w:ascii="Times New Roman" w:hAnsi="Times New Roman" w:cs="Times New Roman"/>
          <w:sz w:val="24"/>
          <w:szCs w:val="24"/>
          <w:lang w:val="lv-LV"/>
        </w:rPr>
        <w:t xml:space="preserve"> kapitalizāciju un likviditāti. </w:t>
      </w:r>
      <w:r w:rsidR="00D5484B" w:rsidRPr="006166CC">
        <w:rPr>
          <w:rFonts w:ascii="Times New Roman" w:hAnsi="Times New Roman" w:cs="Times New Roman"/>
          <w:sz w:val="24"/>
          <w:szCs w:val="24"/>
          <w:lang w:val="lv-LV"/>
        </w:rPr>
        <w:t xml:space="preserve">Kā jau minēts iepriekš šajā ziņojumā – Latvijas gadījumā biržā ir gan zema kapitalizācija, gan zema likviditāte. Lai paceltu biržā kotēto uzņēmumu kapitalizācijas apjomu, ar individuāliem mazajiem un vidējiem uzņēmumiem, kas apsvērtu kotēšanās uzsākšanu biržā, nebūs pietiekami, kā arī kapitalizācijas sasniegšana šādā veidā prasītu ļoti ilgu laiku. Attiecīgi, lai būtiski paceltu biržā kotēto uzņēmumu kapitalizācijas līmeni, kam, savukārt sekotu arī likviditātes līmeņa pieaugums, būtisku pozitīvu grūdienu varētu dot atsevišķu </w:t>
      </w:r>
      <w:r w:rsidR="00C108A7" w:rsidRPr="006166CC">
        <w:rPr>
          <w:rFonts w:ascii="Times New Roman" w:hAnsi="Times New Roman" w:cs="Times New Roman"/>
          <w:sz w:val="24"/>
          <w:szCs w:val="24"/>
          <w:lang w:val="lv-LV"/>
        </w:rPr>
        <w:t xml:space="preserve">valsts kapitālsabiedrību daļas akciju kotēšana biržā. </w:t>
      </w:r>
    </w:p>
    <w:p w14:paraId="1455CEBA" w14:textId="77777777" w:rsidR="00802E7B" w:rsidRPr="006166CC" w:rsidRDefault="00802E7B" w:rsidP="00EA3BA7">
      <w:pPr>
        <w:jc w:val="both"/>
        <w:rPr>
          <w:rFonts w:ascii="Times New Roman" w:hAnsi="Times New Roman" w:cs="Times New Roman"/>
          <w:sz w:val="24"/>
          <w:szCs w:val="24"/>
          <w:lang w:val="lv-LV"/>
        </w:rPr>
      </w:pPr>
      <w:r w:rsidRPr="006166CC">
        <w:rPr>
          <w:rFonts w:ascii="Times New Roman" w:hAnsi="Times New Roman" w:cs="Times New Roman"/>
          <w:sz w:val="24"/>
          <w:szCs w:val="24"/>
          <w:lang w:val="lv-LV"/>
        </w:rPr>
        <w:t>Piemēri ar biržā kotētajiem Lietuvas enerģētikas sektora uzņēmumiem un valsts līdzdalību to kapitālā:</w:t>
      </w:r>
    </w:p>
    <w:p w14:paraId="3AE86500" w14:textId="77777777" w:rsidR="00802E7B" w:rsidRPr="006166CC" w:rsidRDefault="00802E7B" w:rsidP="00EA3BA7">
      <w:pPr>
        <w:pStyle w:val="ListParagraph"/>
        <w:numPr>
          <w:ilvl w:val="0"/>
          <w:numId w:val="8"/>
        </w:numPr>
        <w:jc w:val="both"/>
        <w:rPr>
          <w:rFonts w:ascii="Times New Roman" w:hAnsi="Times New Roman" w:cs="Times New Roman"/>
          <w:sz w:val="24"/>
          <w:szCs w:val="24"/>
          <w:lang w:val="lv-LV"/>
        </w:rPr>
      </w:pPr>
      <w:r w:rsidRPr="006166CC">
        <w:rPr>
          <w:rFonts w:ascii="Times New Roman" w:hAnsi="Times New Roman" w:cs="Times New Roman"/>
          <w:sz w:val="24"/>
          <w:szCs w:val="24"/>
          <w:lang w:val="lv-LV"/>
        </w:rPr>
        <w:t xml:space="preserve">ESO – 94.98 % pieder Lietuvos Energija, Latvijā līdzvērtīgs uzņēmums – </w:t>
      </w:r>
      <w:r w:rsidR="00895234" w:rsidRPr="006166CC">
        <w:rPr>
          <w:rFonts w:ascii="Times New Roman" w:hAnsi="Times New Roman" w:cs="Times New Roman"/>
          <w:sz w:val="24"/>
          <w:szCs w:val="24"/>
          <w:lang w:val="lv-LV"/>
        </w:rPr>
        <w:t>AS “</w:t>
      </w:r>
      <w:r w:rsidRPr="006166CC">
        <w:rPr>
          <w:rFonts w:ascii="Times New Roman" w:hAnsi="Times New Roman" w:cs="Times New Roman"/>
          <w:sz w:val="24"/>
          <w:szCs w:val="24"/>
          <w:lang w:val="lv-LV"/>
        </w:rPr>
        <w:t>Sadales tīkls</w:t>
      </w:r>
      <w:r w:rsidR="00895234" w:rsidRPr="006166CC">
        <w:rPr>
          <w:rFonts w:ascii="Times New Roman" w:hAnsi="Times New Roman" w:cs="Times New Roman"/>
          <w:sz w:val="24"/>
          <w:szCs w:val="24"/>
          <w:lang w:val="lv-LV"/>
        </w:rPr>
        <w:t>”</w:t>
      </w:r>
      <w:r w:rsidRPr="006166CC">
        <w:rPr>
          <w:rFonts w:ascii="Times New Roman" w:hAnsi="Times New Roman" w:cs="Times New Roman"/>
          <w:sz w:val="24"/>
          <w:szCs w:val="24"/>
          <w:lang w:val="lv-LV"/>
        </w:rPr>
        <w:t>.</w:t>
      </w:r>
    </w:p>
    <w:p w14:paraId="00778A05" w14:textId="77777777" w:rsidR="00802E7B" w:rsidRPr="006166CC" w:rsidRDefault="00802E7B" w:rsidP="00EA3BA7">
      <w:pPr>
        <w:pStyle w:val="ListParagraph"/>
        <w:numPr>
          <w:ilvl w:val="0"/>
          <w:numId w:val="8"/>
        </w:numPr>
        <w:jc w:val="both"/>
        <w:rPr>
          <w:rFonts w:ascii="Times New Roman" w:hAnsi="Times New Roman" w:cs="Times New Roman"/>
          <w:sz w:val="24"/>
          <w:szCs w:val="24"/>
          <w:lang w:val="lv-LV"/>
        </w:rPr>
      </w:pPr>
      <w:r w:rsidRPr="006166CC">
        <w:rPr>
          <w:rFonts w:ascii="Times New Roman" w:hAnsi="Times New Roman" w:cs="Times New Roman"/>
          <w:sz w:val="24"/>
          <w:szCs w:val="24"/>
          <w:lang w:val="lv-LV"/>
        </w:rPr>
        <w:t xml:space="preserve">Lietuvos Energijos Gamyba – 96.75% Lietuvos Energija, Latvijā līdzvērtīgs uzņēmums – </w:t>
      </w:r>
      <w:r w:rsidR="00895234" w:rsidRPr="006166CC">
        <w:rPr>
          <w:rFonts w:ascii="Times New Roman" w:hAnsi="Times New Roman" w:cs="Times New Roman"/>
          <w:sz w:val="24"/>
          <w:szCs w:val="24"/>
          <w:lang w:val="lv-LV"/>
        </w:rPr>
        <w:t>AS “</w:t>
      </w:r>
      <w:r w:rsidRPr="006166CC">
        <w:rPr>
          <w:rFonts w:ascii="Times New Roman" w:hAnsi="Times New Roman" w:cs="Times New Roman"/>
          <w:sz w:val="24"/>
          <w:szCs w:val="24"/>
          <w:lang w:val="lv-LV"/>
        </w:rPr>
        <w:t>Latvenergo</w:t>
      </w:r>
      <w:r w:rsidR="00895234" w:rsidRPr="006166CC">
        <w:rPr>
          <w:rFonts w:ascii="Times New Roman" w:hAnsi="Times New Roman" w:cs="Times New Roman"/>
          <w:sz w:val="24"/>
          <w:szCs w:val="24"/>
          <w:lang w:val="lv-LV"/>
        </w:rPr>
        <w:t>”</w:t>
      </w:r>
      <w:r w:rsidRPr="006166CC">
        <w:rPr>
          <w:rFonts w:ascii="Times New Roman" w:hAnsi="Times New Roman" w:cs="Times New Roman"/>
          <w:sz w:val="24"/>
          <w:szCs w:val="24"/>
          <w:lang w:val="lv-LV"/>
        </w:rPr>
        <w:t>.</w:t>
      </w:r>
    </w:p>
    <w:p w14:paraId="04F68D34" w14:textId="77777777" w:rsidR="00802E7B" w:rsidRPr="006166CC" w:rsidRDefault="00802E7B" w:rsidP="00EA3BA7">
      <w:pPr>
        <w:pStyle w:val="ListParagraph"/>
        <w:numPr>
          <w:ilvl w:val="0"/>
          <w:numId w:val="8"/>
        </w:numPr>
        <w:jc w:val="both"/>
        <w:rPr>
          <w:rFonts w:ascii="Times New Roman" w:hAnsi="Times New Roman" w:cs="Times New Roman"/>
          <w:sz w:val="24"/>
          <w:szCs w:val="24"/>
          <w:lang w:val="lv-LV"/>
        </w:rPr>
      </w:pPr>
      <w:r w:rsidRPr="006166CC">
        <w:rPr>
          <w:rFonts w:ascii="Times New Roman" w:hAnsi="Times New Roman" w:cs="Times New Roman"/>
          <w:sz w:val="24"/>
          <w:szCs w:val="24"/>
          <w:lang w:val="lv-LV"/>
        </w:rPr>
        <w:t xml:space="preserve">Amber Grid – 96.6% EPSO–G (Lietuvas Enerģētikas Ministrija), Latvijā līdzvērtīgs uzņēmums – </w:t>
      </w:r>
      <w:r w:rsidR="00895234" w:rsidRPr="006166CC">
        <w:rPr>
          <w:rFonts w:ascii="Times New Roman" w:hAnsi="Times New Roman" w:cs="Times New Roman"/>
          <w:sz w:val="24"/>
          <w:szCs w:val="24"/>
          <w:lang w:val="lv-LV"/>
        </w:rPr>
        <w:t>AS “</w:t>
      </w:r>
      <w:r w:rsidRPr="006166CC">
        <w:rPr>
          <w:rFonts w:ascii="Times New Roman" w:hAnsi="Times New Roman" w:cs="Times New Roman"/>
          <w:sz w:val="24"/>
          <w:szCs w:val="24"/>
          <w:lang w:val="lv-LV"/>
        </w:rPr>
        <w:t>Conexus Baltic Grid</w:t>
      </w:r>
      <w:r w:rsidR="00895234" w:rsidRPr="006166CC">
        <w:rPr>
          <w:rFonts w:ascii="Times New Roman" w:hAnsi="Times New Roman" w:cs="Times New Roman"/>
          <w:sz w:val="24"/>
          <w:szCs w:val="24"/>
          <w:lang w:val="lv-LV"/>
        </w:rPr>
        <w:t>”</w:t>
      </w:r>
      <w:r w:rsidRPr="006166CC">
        <w:rPr>
          <w:rFonts w:ascii="Times New Roman" w:hAnsi="Times New Roman" w:cs="Times New Roman"/>
          <w:sz w:val="24"/>
          <w:szCs w:val="24"/>
          <w:lang w:val="lv-LV"/>
        </w:rPr>
        <w:t>.</w:t>
      </w:r>
    </w:p>
    <w:p w14:paraId="0193BDE4" w14:textId="77777777" w:rsidR="00802E7B" w:rsidRPr="006166CC" w:rsidRDefault="00802E7B" w:rsidP="00EA3BA7">
      <w:pPr>
        <w:pStyle w:val="ListParagraph"/>
        <w:numPr>
          <w:ilvl w:val="0"/>
          <w:numId w:val="8"/>
        </w:numPr>
        <w:jc w:val="both"/>
        <w:rPr>
          <w:rFonts w:ascii="Times New Roman" w:hAnsi="Times New Roman" w:cs="Times New Roman"/>
          <w:sz w:val="24"/>
          <w:szCs w:val="24"/>
          <w:lang w:val="lv-LV"/>
        </w:rPr>
      </w:pPr>
      <w:r w:rsidRPr="006166CC">
        <w:rPr>
          <w:rFonts w:ascii="Times New Roman" w:hAnsi="Times New Roman" w:cs="Times New Roman"/>
          <w:sz w:val="24"/>
          <w:szCs w:val="24"/>
          <w:lang w:val="lv-LV"/>
        </w:rPr>
        <w:t xml:space="preserve">Kauno Energija – 84.69% un 8.02 % ar Kauņas pašvaldību saistīti uzņēmumi, Latvijā līdzvērtīgs uzņēmums – </w:t>
      </w:r>
      <w:r w:rsidR="00895234" w:rsidRPr="006166CC">
        <w:rPr>
          <w:rFonts w:ascii="Times New Roman" w:hAnsi="Times New Roman" w:cs="Times New Roman"/>
          <w:sz w:val="24"/>
          <w:szCs w:val="24"/>
          <w:lang w:val="lv-LV"/>
        </w:rPr>
        <w:t>AS “</w:t>
      </w:r>
      <w:r w:rsidRPr="006166CC">
        <w:rPr>
          <w:rFonts w:ascii="Times New Roman" w:hAnsi="Times New Roman" w:cs="Times New Roman"/>
          <w:sz w:val="24"/>
          <w:szCs w:val="24"/>
          <w:lang w:val="lv-LV"/>
        </w:rPr>
        <w:t>Rīgas siltums</w:t>
      </w:r>
      <w:r w:rsidR="00895234" w:rsidRPr="006166CC">
        <w:rPr>
          <w:rFonts w:ascii="Times New Roman" w:hAnsi="Times New Roman" w:cs="Times New Roman"/>
          <w:sz w:val="24"/>
          <w:szCs w:val="24"/>
          <w:lang w:val="lv-LV"/>
        </w:rPr>
        <w:t>”</w:t>
      </w:r>
      <w:r w:rsidRPr="006166CC">
        <w:rPr>
          <w:rFonts w:ascii="Times New Roman" w:hAnsi="Times New Roman" w:cs="Times New Roman"/>
          <w:sz w:val="24"/>
          <w:szCs w:val="24"/>
          <w:lang w:val="lv-LV"/>
        </w:rPr>
        <w:t>.</w:t>
      </w:r>
    </w:p>
    <w:p w14:paraId="1BE88311" w14:textId="77777777" w:rsidR="00802E7B" w:rsidRPr="006166CC" w:rsidRDefault="00802E7B" w:rsidP="00EA3BA7">
      <w:pPr>
        <w:pStyle w:val="ListParagraph"/>
        <w:numPr>
          <w:ilvl w:val="0"/>
          <w:numId w:val="8"/>
        </w:numPr>
        <w:jc w:val="both"/>
        <w:rPr>
          <w:rFonts w:ascii="Times New Roman" w:hAnsi="Times New Roman" w:cs="Times New Roman"/>
          <w:sz w:val="24"/>
          <w:szCs w:val="24"/>
          <w:lang w:val="lv-LV"/>
        </w:rPr>
      </w:pPr>
      <w:r w:rsidRPr="006166CC">
        <w:rPr>
          <w:rFonts w:ascii="Times New Roman" w:hAnsi="Times New Roman" w:cs="Times New Roman"/>
          <w:sz w:val="24"/>
          <w:szCs w:val="24"/>
          <w:lang w:val="lv-LV"/>
        </w:rPr>
        <w:t xml:space="preserve">LITGRID – 97.51% EPSO-G (Lietuvas Enerģētikas Ministrija), Latvijā līdzvērtīgs uzņēmums – </w:t>
      </w:r>
      <w:r w:rsidR="00895234" w:rsidRPr="006166CC">
        <w:rPr>
          <w:rFonts w:ascii="Times New Roman" w:hAnsi="Times New Roman" w:cs="Times New Roman"/>
          <w:sz w:val="24"/>
          <w:szCs w:val="24"/>
          <w:lang w:val="lv-LV"/>
        </w:rPr>
        <w:t>AS ”</w:t>
      </w:r>
      <w:r w:rsidRPr="006166CC">
        <w:rPr>
          <w:rFonts w:ascii="Times New Roman" w:hAnsi="Times New Roman" w:cs="Times New Roman"/>
          <w:sz w:val="24"/>
          <w:szCs w:val="24"/>
          <w:lang w:val="lv-LV"/>
        </w:rPr>
        <w:t>Augstsprieguma tīkls</w:t>
      </w:r>
      <w:r w:rsidR="00895234" w:rsidRPr="006166CC">
        <w:rPr>
          <w:rFonts w:ascii="Times New Roman" w:hAnsi="Times New Roman" w:cs="Times New Roman"/>
          <w:sz w:val="24"/>
          <w:szCs w:val="24"/>
          <w:lang w:val="lv-LV"/>
        </w:rPr>
        <w:t>”</w:t>
      </w:r>
      <w:r w:rsidRPr="006166CC">
        <w:rPr>
          <w:rFonts w:ascii="Times New Roman" w:hAnsi="Times New Roman" w:cs="Times New Roman"/>
          <w:sz w:val="24"/>
          <w:szCs w:val="24"/>
          <w:lang w:val="lv-LV"/>
        </w:rPr>
        <w:t>.</w:t>
      </w:r>
    </w:p>
    <w:p w14:paraId="41F8F653" w14:textId="77777777" w:rsidR="00802E7B" w:rsidRPr="006166CC" w:rsidRDefault="00802E7B" w:rsidP="00802E7B">
      <w:pPr>
        <w:pStyle w:val="ListParagraph"/>
        <w:jc w:val="right"/>
        <w:rPr>
          <w:rFonts w:ascii="Times New Roman" w:hAnsi="Times New Roman" w:cs="Times New Roman"/>
          <w:i/>
          <w:sz w:val="24"/>
          <w:szCs w:val="24"/>
          <w:lang w:val="lv-LV"/>
        </w:rPr>
      </w:pPr>
      <w:r w:rsidRPr="006166CC">
        <w:rPr>
          <w:rFonts w:ascii="Times New Roman" w:hAnsi="Times New Roman" w:cs="Times New Roman"/>
          <w:i/>
          <w:sz w:val="24"/>
          <w:szCs w:val="24"/>
          <w:lang w:val="lv-LV"/>
        </w:rPr>
        <w:t xml:space="preserve">Avots: Nasdaq </w:t>
      </w:r>
      <w:r w:rsidR="00CC3EBD" w:rsidRPr="006166CC">
        <w:rPr>
          <w:rFonts w:ascii="Times New Roman" w:hAnsi="Times New Roman" w:cs="Times New Roman"/>
          <w:i/>
          <w:sz w:val="24"/>
          <w:szCs w:val="24"/>
          <w:lang w:val="lv-LV"/>
        </w:rPr>
        <w:t>Baltic</w:t>
      </w:r>
      <w:r w:rsidRPr="006166CC">
        <w:rPr>
          <w:rFonts w:ascii="Times New Roman" w:hAnsi="Times New Roman" w:cs="Times New Roman"/>
          <w:i/>
          <w:sz w:val="24"/>
          <w:szCs w:val="24"/>
          <w:lang w:val="lv-LV"/>
        </w:rPr>
        <w:t>, 2017</w:t>
      </w:r>
    </w:p>
    <w:p w14:paraId="3D6DCAC7" w14:textId="782AC03F" w:rsidR="008F7850" w:rsidRPr="006166CC" w:rsidRDefault="00D21C6D" w:rsidP="00EA3BA7">
      <w:pPr>
        <w:jc w:val="both"/>
        <w:rPr>
          <w:rFonts w:ascii="Times New Roman" w:hAnsi="Times New Roman" w:cs="Times New Roman"/>
          <w:sz w:val="24"/>
          <w:szCs w:val="24"/>
          <w:lang w:val="lv-LV"/>
        </w:rPr>
      </w:pPr>
      <w:r w:rsidRPr="006166CC">
        <w:rPr>
          <w:rFonts w:ascii="Times New Roman" w:hAnsi="Times New Roman" w:cs="Times New Roman"/>
          <w:sz w:val="24"/>
          <w:szCs w:val="24"/>
          <w:lang w:val="lv-LV"/>
        </w:rPr>
        <w:t>Papildu a</w:t>
      </w:r>
      <w:r w:rsidR="00BD0FCB" w:rsidRPr="006166CC">
        <w:rPr>
          <w:rFonts w:ascii="Times New Roman" w:hAnsi="Times New Roman" w:cs="Times New Roman"/>
          <w:sz w:val="24"/>
          <w:szCs w:val="24"/>
          <w:lang w:val="lv-LV"/>
        </w:rPr>
        <w:t xml:space="preserve">kciju kotācija </w:t>
      </w:r>
      <w:r w:rsidR="00A60141" w:rsidRPr="006166CC">
        <w:rPr>
          <w:rFonts w:ascii="Times New Roman" w:hAnsi="Times New Roman" w:cs="Times New Roman"/>
          <w:sz w:val="24"/>
          <w:szCs w:val="24"/>
          <w:lang w:val="lv-LV"/>
        </w:rPr>
        <w:t>ir</w:t>
      </w:r>
      <w:r w:rsidR="00BD0FCB" w:rsidRPr="006166CC">
        <w:rPr>
          <w:rFonts w:ascii="Times New Roman" w:hAnsi="Times New Roman" w:cs="Times New Roman"/>
          <w:sz w:val="24"/>
          <w:szCs w:val="24"/>
          <w:lang w:val="lv-LV"/>
        </w:rPr>
        <w:t xml:space="preserve"> </w:t>
      </w:r>
      <w:r w:rsidR="009046C4" w:rsidRPr="006166CC">
        <w:rPr>
          <w:rFonts w:ascii="Times New Roman" w:hAnsi="Times New Roman" w:cs="Times New Roman"/>
          <w:sz w:val="24"/>
          <w:szCs w:val="24"/>
          <w:lang w:val="lv-LV"/>
        </w:rPr>
        <w:t xml:space="preserve">jauna </w:t>
      </w:r>
      <w:r w:rsidR="00FF0020" w:rsidRPr="006166CC">
        <w:rPr>
          <w:rFonts w:ascii="Times New Roman" w:hAnsi="Times New Roman" w:cs="Times New Roman"/>
          <w:sz w:val="24"/>
          <w:szCs w:val="24"/>
          <w:lang w:val="lv-LV"/>
        </w:rPr>
        <w:t xml:space="preserve">attīstības kapitāla piesaiste </w:t>
      </w:r>
      <w:r w:rsidR="006E3A5F" w:rsidRPr="006166CC">
        <w:rPr>
          <w:rFonts w:ascii="Times New Roman" w:hAnsi="Times New Roman" w:cs="Times New Roman"/>
          <w:sz w:val="24"/>
          <w:szCs w:val="24"/>
          <w:lang w:val="lv-LV"/>
        </w:rPr>
        <w:t xml:space="preserve">un </w:t>
      </w:r>
      <w:r w:rsidR="00BD0FCB" w:rsidRPr="006166CC">
        <w:rPr>
          <w:rFonts w:ascii="Times New Roman" w:hAnsi="Times New Roman" w:cs="Times New Roman"/>
          <w:sz w:val="24"/>
          <w:szCs w:val="24"/>
          <w:lang w:val="lv-LV"/>
        </w:rPr>
        <w:t>papildu</w:t>
      </w:r>
      <w:r w:rsidR="006E3A5F" w:rsidRPr="006166CC">
        <w:rPr>
          <w:rFonts w:ascii="Times New Roman" w:hAnsi="Times New Roman" w:cs="Times New Roman"/>
          <w:sz w:val="24"/>
          <w:szCs w:val="24"/>
          <w:lang w:val="lv-LV"/>
        </w:rPr>
        <w:t xml:space="preserve"> finanšu resursu ieplūšana </w:t>
      </w:r>
      <w:r w:rsidR="00D827C4" w:rsidRPr="006166CC">
        <w:rPr>
          <w:rFonts w:ascii="Times New Roman" w:hAnsi="Times New Roman" w:cs="Times New Roman"/>
          <w:sz w:val="24"/>
          <w:szCs w:val="24"/>
          <w:lang w:val="lv-LV"/>
        </w:rPr>
        <w:t>kapitālsabiedrībā</w:t>
      </w:r>
      <w:r w:rsidR="001A7D2F" w:rsidRPr="006166CC">
        <w:rPr>
          <w:rFonts w:ascii="Times New Roman" w:hAnsi="Times New Roman" w:cs="Times New Roman"/>
          <w:sz w:val="24"/>
          <w:szCs w:val="24"/>
          <w:lang w:val="lv-LV"/>
        </w:rPr>
        <w:t xml:space="preserve">, valstij saglabājot kontroli, bet vienlaikus dalot uzņēmējdarbības risku ar </w:t>
      </w:r>
      <w:r w:rsidR="001A7D2F" w:rsidRPr="006166CC">
        <w:rPr>
          <w:rFonts w:ascii="Times New Roman" w:hAnsi="Times New Roman" w:cs="Times New Roman"/>
          <w:sz w:val="24"/>
          <w:szCs w:val="24"/>
          <w:lang w:val="lv-LV"/>
        </w:rPr>
        <w:lastRenderedPageBreak/>
        <w:t>privāto sektoru</w:t>
      </w:r>
      <w:r w:rsidR="006E3A5F" w:rsidRPr="006166CC">
        <w:rPr>
          <w:rFonts w:ascii="Times New Roman" w:hAnsi="Times New Roman" w:cs="Times New Roman"/>
          <w:sz w:val="24"/>
          <w:szCs w:val="24"/>
          <w:lang w:val="lv-LV"/>
        </w:rPr>
        <w:t>.</w:t>
      </w:r>
      <w:r w:rsidR="005B1E4C" w:rsidRPr="006166CC">
        <w:rPr>
          <w:rFonts w:ascii="Times New Roman" w:hAnsi="Times New Roman" w:cs="Times New Roman"/>
          <w:sz w:val="24"/>
          <w:szCs w:val="24"/>
          <w:lang w:val="lv-LV"/>
        </w:rPr>
        <w:t xml:space="preserve"> </w:t>
      </w:r>
      <w:r w:rsidR="008F7850" w:rsidRPr="006166CC">
        <w:rPr>
          <w:rFonts w:ascii="Times New Roman" w:hAnsi="Times New Roman" w:cs="Times New Roman"/>
          <w:sz w:val="24"/>
          <w:szCs w:val="24"/>
          <w:lang w:val="lv-LV"/>
        </w:rPr>
        <w:t xml:space="preserve">Izvērtējot kapitālsabiedrību nepieciešamību </w:t>
      </w:r>
      <w:r w:rsidR="00EC1245" w:rsidRPr="006166CC">
        <w:rPr>
          <w:rFonts w:ascii="Times New Roman" w:hAnsi="Times New Roman" w:cs="Times New Roman"/>
          <w:sz w:val="24"/>
          <w:szCs w:val="24"/>
          <w:lang w:val="lv-LV"/>
        </w:rPr>
        <w:t xml:space="preserve">un gatavību </w:t>
      </w:r>
      <w:r w:rsidR="008F7850" w:rsidRPr="006166CC">
        <w:rPr>
          <w:rFonts w:ascii="Times New Roman" w:hAnsi="Times New Roman" w:cs="Times New Roman"/>
          <w:sz w:val="24"/>
          <w:szCs w:val="24"/>
          <w:lang w:val="lv-LV"/>
        </w:rPr>
        <w:t xml:space="preserve">kotēt </w:t>
      </w:r>
      <w:r w:rsidR="00EC1245" w:rsidRPr="006166CC">
        <w:rPr>
          <w:rFonts w:ascii="Times New Roman" w:hAnsi="Times New Roman" w:cs="Times New Roman"/>
          <w:sz w:val="24"/>
          <w:szCs w:val="24"/>
          <w:lang w:val="lv-LV"/>
        </w:rPr>
        <w:t xml:space="preserve">tās </w:t>
      </w:r>
      <w:r w:rsidR="008F7850" w:rsidRPr="006166CC">
        <w:rPr>
          <w:rFonts w:ascii="Times New Roman" w:hAnsi="Times New Roman" w:cs="Times New Roman"/>
          <w:sz w:val="24"/>
          <w:szCs w:val="24"/>
          <w:lang w:val="lv-LV"/>
        </w:rPr>
        <w:t>biržā</w:t>
      </w:r>
      <w:r w:rsidR="00EC1245" w:rsidRPr="006166CC">
        <w:rPr>
          <w:rFonts w:ascii="Times New Roman" w:hAnsi="Times New Roman" w:cs="Times New Roman"/>
          <w:sz w:val="24"/>
          <w:szCs w:val="24"/>
          <w:lang w:val="lv-LV"/>
        </w:rPr>
        <w:t xml:space="preserve"> vai emitēt obligācijas</w:t>
      </w:r>
      <w:r w:rsidR="008F7850" w:rsidRPr="006166CC">
        <w:rPr>
          <w:rFonts w:ascii="Times New Roman" w:hAnsi="Times New Roman" w:cs="Times New Roman"/>
          <w:sz w:val="24"/>
          <w:szCs w:val="24"/>
          <w:lang w:val="lv-LV"/>
        </w:rPr>
        <w:t xml:space="preserve">, izvērtēšanas process būtu organizējams divos </w:t>
      </w:r>
      <w:r w:rsidR="00EC1245" w:rsidRPr="006166CC">
        <w:rPr>
          <w:rFonts w:ascii="Times New Roman" w:hAnsi="Times New Roman" w:cs="Times New Roman"/>
          <w:sz w:val="24"/>
          <w:szCs w:val="24"/>
          <w:lang w:val="lv-LV"/>
        </w:rPr>
        <w:t>līmeņos</w:t>
      </w:r>
      <w:r w:rsidR="008F7850" w:rsidRPr="006166CC">
        <w:rPr>
          <w:rFonts w:ascii="Times New Roman" w:hAnsi="Times New Roman" w:cs="Times New Roman"/>
          <w:sz w:val="24"/>
          <w:szCs w:val="24"/>
          <w:lang w:val="lv-LV"/>
        </w:rPr>
        <w:t xml:space="preserve">: </w:t>
      </w:r>
    </w:p>
    <w:p w14:paraId="501C4CC1" w14:textId="7164E47B" w:rsidR="008F7850" w:rsidRPr="006166CC" w:rsidRDefault="00EC1245" w:rsidP="002F7ED3">
      <w:pPr>
        <w:pStyle w:val="ListParagraph"/>
        <w:numPr>
          <w:ilvl w:val="0"/>
          <w:numId w:val="37"/>
        </w:numPr>
        <w:jc w:val="both"/>
        <w:rPr>
          <w:rFonts w:ascii="Times New Roman" w:hAnsi="Times New Roman" w:cs="Times New Roman"/>
          <w:sz w:val="24"/>
          <w:szCs w:val="24"/>
          <w:lang w:val="lv-LV"/>
        </w:rPr>
      </w:pPr>
      <w:r w:rsidRPr="006166CC">
        <w:rPr>
          <w:rFonts w:ascii="Times New Roman" w:hAnsi="Times New Roman" w:cs="Times New Roman"/>
          <w:sz w:val="24"/>
          <w:szCs w:val="24"/>
          <w:lang w:val="lv-LV"/>
        </w:rPr>
        <w:t xml:space="preserve">Pirmais līmenis - </w:t>
      </w:r>
      <w:r w:rsidR="008F7850" w:rsidRPr="006166CC">
        <w:rPr>
          <w:rFonts w:ascii="Times New Roman" w:hAnsi="Times New Roman" w:cs="Times New Roman"/>
          <w:sz w:val="24"/>
          <w:szCs w:val="24"/>
          <w:lang w:val="lv-LV"/>
        </w:rPr>
        <w:t xml:space="preserve">sākotnējā </w:t>
      </w:r>
      <w:r w:rsidRPr="006166CC">
        <w:rPr>
          <w:rFonts w:ascii="Times New Roman" w:hAnsi="Times New Roman" w:cs="Times New Roman"/>
          <w:sz w:val="24"/>
          <w:szCs w:val="24"/>
          <w:lang w:val="lv-LV"/>
        </w:rPr>
        <w:t>izvērtējuma veikšana par nepieciešamību kapitālsabiedrības kotēt biržā vai tām emitēt obligācijas</w:t>
      </w:r>
      <w:r w:rsidR="008F7850" w:rsidRPr="006166CC">
        <w:rPr>
          <w:rFonts w:ascii="Times New Roman" w:hAnsi="Times New Roman" w:cs="Times New Roman"/>
          <w:sz w:val="24"/>
          <w:szCs w:val="24"/>
          <w:lang w:val="lv-LV"/>
        </w:rPr>
        <w:t xml:space="preserve">, kurā tiktu vērtēti primāri </w:t>
      </w:r>
      <w:r w:rsidR="00F427AB" w:rsidRPr="006166CC">
        <w:rPr>
          <w:rFonts w:ascii="Times New Roman" w:hAnsi="Times New Roman" w:cs="Times New Roman"/>
          <w:sz w:val="24"/>
          <w:szCs w:val="24"/>
          <w:lang w:val="lv-LV"/>
        </w:rPr>
        <w:t>trīs</w:t>
      </w:r>
      <w:r w:rsidR="008F7850" w:rsidRPr="006166CC">
        <w:rPr>
          <w:rFonts w:ascii="Times New Roman" w:hAnsi="Times New Roman" w:cs="Times New Roman"/>
          <w:sz w:val="24"/>
          <w:szCs w:val="24"/>
          <w:lang w:val="lv-LV"/>
        </w:rPr>
        <w:t xml:space="preserve"> kritēriji katrai kapitālsabiedrībai: </w:t>
      </w:r>
    </w:p>
    <w:p w14:paraId="5CFEF85F" w14:textId="4C510C89" w:rsidR="008F7850" w:rsidRPr="006166CC" w:rsidRDefault="008F7850" w:rsidP="002F7ED3">
      <w:pPr>
        <w:pStyle w:val="ListParagraph"/>
        <w:numPr>
          <w:ilvl w:val="1"/>
          <w:numId w:val="37"/>
        </w:numPr>
        <w:jc w:val="both"/>
        <w:rPr>
          <w:rFonts w:ascii="Times New Roman" w:hAnsi="Times New Roman" w:cs="Times New Roman"/>
          <w:sz w:val="24"/>
          <w:szCs w:val="24"/>
          <w:lang w:val="lv-LV"/>
        </w:rPr>
      </w:pPr>
      <w:r w:rsidRPr="006166CC">
        <w:rPr>
          <w:rFonts w:ascii="Times New Roman" w:hAnsi="Times New Roman" w:cs="Times New Roman"/>
          <w:sz w:val="24"/>
          <w:szCs w:val="24"/>
          <w:lang w:val="lv-LV"/>
        </w:rPr>
        <w:t>vai kapitālsabiedrībai, ņemot vērā tās kapitāla struktūru un plānotās investīcijas, ir nepieciešama papildus kapitāla piesaiste;</w:t>
      </w:r>
    </w:p>
    <w:p w14:paraId="7FB7E174" w14:textId="6D6A045C" w:rsidR="008F7850" w:rsidRPr="006166CC" w:rsidRDefault="00F427AB" w:rsidP="002F7ED3">
      <w:pPr>
        <w:pStyle w:val="ListParagraph"/>
        <w:numPr>
          <w:ilvl w:val="1"/>
          <w:numId w:val="37"/>
        </w:numPr>
        <w:jc w:val="both"/>
        <w:rPr>
          <w:rFonts w:ascii="Times New Roman" w:hAnsi="Times New Roman" w:cs="Times New Roman"/>
          <w:sz w:val="24"/>
          <w:szCs w:val="24"/>
          <w:lang w:val="lv-LV"/>
        </w:rPr>
      </w:pPr>
      <w:r w:rsidRPr="006166CC">
        <w:rPr>
          <w:rFonts w:ascii="Times New Roman" w:hAnsi="Times New Roman" w:cs="Times New Roman"/>
          <w:sz w:val="24"/>
          <w:szCs w:val="24"/>
          <w:lang w:val="lv-LV"/>
        </w:rPr>
        <w:t>vai valstij, izvērtējot līdzdalības kapitālsabiedrībā atbilstību Valsts pārvaldes iekārtas likuma 88.pantam, ir nepieciešams saglabāt līdzdalību kapitālsabiedrībā līdzšinējā apmērā</w:t>
      </w:r>
      <w:r w:rsidR="00EA7A02" w:rsidRPr="006166CC">
        <w:rPr>
          <w:rFonts w:ascii="Times New Roman" w:hAnsi="Times New Roman" w:cs="Times New Roman"/>
          <w:sz w:val="24"/>
          <w:szCs w:val="24"/>
          <w:lang w:val="lv-LV"/>
        </w:rPr>
        <w:t xml:space="preserve"> un vai valsts intereses ir iespējams nodrošināt, saglabājot valsts izšķirošo ietekmi kapitālsabiedrībā un daļu akciju kotējot biržā</w:t>
      </w:r>
      <w:r w:rsidRPr="006166CC">
        <w:rPr>
          <w:rFonts w:ascii="Times New Roman" w:hAnsi="Times New Roman" w:cs="Times New Roman"/>
          <w:sz w:val="24"/>
          <w:szCs w:val="24"/>
          <w:lang w:val="lv-LV"/>
        </w:rPr>
        <w:t>;</w:t>
      </w:r>
    </w:p>
    <w:p w14:paraId="721D292A" w14:textId="318FD8A2" w:rsidR="00EA7A02" w:rsidRPr="006166CC" w:rsidRDefault="00507F41" w:rsidP="002F7ED3">
      <w:pPr>
        <w:pStyle w:val="ListParagraph"/>
        <w:numPr>
          <w:ilvl w:val="1"/>
          <w:numId w:val="37"/>
        </w:numPr>
        <w:jc w:val="both"/>
        <w:rPr>
          <w:rFonts w:ascii="Times New Roman" w:hAnsi="Times New Roman" w:cs="Times New Roman"/>
          <w:sz w:val="24"/>
          <w:szCs w:val="24"/>
          <w:lang w:val="lv-LV"/>
        </w:rPr>
      </w:pPr>
      <w:r w:rsidRPr="006166CC">
        <w:rPr>
          <w:rFonts w:ascii="Times New Roman" w:hAnsi="Times New Roman" w:cs="Times New Roman"/>
          <w:sz w:val="24"/>
          <w:szCs w:val="24"/>
          <w:lang w:val="lv-LV"/>
        </w:rPr>
        <w:t>vai kapitālsabiedrība</w:t>
      </w:r>
      <w:r w:rsidR="00EC1245" w:rsidRPr="006166CC">
        <w:rPr>
          <w:rFonts w:ascii="Times New Roman" w:hAnsi="Times New Roman" w:cs="Times New Roman"/>
          <w:sz w:val="24"/>
          <w:szCs w:val="24"/>
          <w:lang w:val="lv-LV"/>
        </w:rPr>
        <w:t>s, kura nav</w:t>
      </w:r>
      <w:r w:rsidRPr="006166CC">
        <w:rPr>
          <w:rFonts w:ascii="Times New Roman" w:hAnsi="Times New Roman" w:cs="Times New Roman"/>
          <w:sz w:val="24"/>
          <w:szCs w:val="24"/>
          <w:lang w:val="lv-LV"/>
        </w:rPr>
        <w:t xml:space="preserve"> atsavināma saskaņā ar ierobežojumiem, ko nosaka Valsts un pašvaldību īpašuma privatizācijas un privatizācijas sertifikātu izmantošanas pabeigšanas likuma</w:t>
      </w:r>
      <w:r w:rsidRPr="006166CC">
        <w:rPr>
          <w:rStyle w:val="FootnoteReference"/>
          <w:rFonts w:ascii="Times New Roman" w:hAnsi="Times New Roman" w:cs="Times New Roman"/>
          <w:sz w:val="24"/>
          <w:szCs w:val="24"/>
          <w:lang w:val="lv-LV"/>
        </w:rPr>
        <w:footnoteReference w:id="27"/>
      </w:r>
      <w:r w:rsidRPr="006166CC">
        <w:rPr>
          <w:rFonts w:ascii="Times New Roman" w:hAnsi="Times New Roman" w:cs="Times New Roman"/>
          <w:sz w:val="24"/>
          <w:szCs w:val="24"/>
          <w:lang w:val="lv-LV"/>
        </w:rPr>
        <w:t xml:space="preserve"> 17. pants, daļēj</w:t>
      </w:r>
      <w:r w:rsidR="00EC1245" w:rsidRPr="006166CC">
        <w:rPr>
          <w:rFonts w:ascii="Times New Roman" w:hAnsi="Times New Roman" w:cs="Times New Roman"/>
          <w:sz w:val="24"/>
          <w:szCs w:val="24"/>
          <w:lang w:val="lv-LV"/>
        </w:rPr>
        <w:t>a</w:t>
      </w:r>
      <w:r w:rsidRPr="006166CC">
        <w:rPr>
          <w:rFonts w:ascii="Times New Roman" w:hAnsi="Times New Roman" w:cs="Times New Roman"/>
          <w:sz w:val="24"/>
          <w:szCs w:val="24"/>
          <w:lang w:val="lv-LV"/>
        </w:rPr>
        <w:t xml:space="preserve"> vai pilnīg</w:t>
      </w:r>
      <w:r w:rsidR="00EC1245" w:rsidRPr="006166CC">
        <w:rPr>
          <w:rFonts w:ascii="Times New Roman" w:hAnsi="Times New Roman" w:cs="Times New Roman"/>
          <w:sz w:val="24"/>
          <w:szCs w:val="24"/>
          <w:lang w:val="lv-LV"/>
        </w:rPr>
        <w:t>a</w:t>
      </w:r>
      <w:r w:rsidRPr="006166CC">
        <w:rPr>
          <w:rFonts w:ascii="Times New Roman" w:hAnsi="Times New Roman" w:cs="Times New Roman"/>
          <w:sz w:val="24"/>
          <w:szCs w:val="24"/>
          <w:lang w:val="lv-LV"/>
        </w:rPr>
        <w:t xml:space="preserve"> atsavināšan</w:t>
      </w:r>
      <w:r w:rsidR="00EC1245" w:rsidRPr="006166CC">
        <w:rPr>
          <w:rFonts w:ascii="Times New Roman" w:hAnsi="Times New Roman" w:cs="Times New Roman"/>
          <w:sz w:val="24"/>
          <w:szCs w:val="24"/>
          <w:lang w:val="lv-LV"/>
        </w:rPr>
        <w:t>a</w:t>
      </w:r>
      <w:r w:rsidRPr="006166CC">
        <w:rPr>
          <w:rFonts w:ascii="Times New Roman" w:hAnsi="Times New Roman" w:cs="Times New Roman"/>
          <w:sz w:val="24"/>
          <w:szCs w:val="24"/>
          <w:lang w:val="lv-LV"/>
        </w:rPr>
        <w:t xml:space="preserve"> nerada riskus valsts un sabiedrības drošībai</w:t>
      </w:r>
      <w:r w:rsidR="00EA7A02" w:rsidRPr="006166CC">
        <w:rPr>
          <w:rFonts w:ascii="Times New Roman" w:hAnsi="Times New Roman" w:cs="Times New Roman"/>
          <w:sz w:val="24"/>
          <w:szCs w:val="24"/>
          <w:lang w:val="lv-LV"/>
        </w:rPr>
        <w:t>;</w:t>
      </w:r>
    </w:p>
    <w:p w14:paraId="7DFA09EF" w14:textId="0AA51E48" w:rsidR="00EA7A02" w:rsidRPr="006166CC" w:rsidRDefault="00EC1245" w:rsidP="00EA7A02">
      <w:pPr>
        <w:pStyle w:val="ListParagraph"/>
        <w:numPr>
          <w:ilvl w:val="0"/>
          <w:numId w:val="37"/>
        </w:numPr>
        <w:jc w:val="both"/>
        <w:rPr>
          <w:rFonts w:ascii="Times New Roman" w:hAnsi="Times New Roman" w:cs="Times New Roman"/>
          <w:sz w:val="24"/>
          <w:szCs w:val="24"/>
          <w:lang w:val="lv-LV"/>
        </w:rPr>
      </w:pPr>
      <w:r w:rsidRPr="006166CC">
        <w:rPr>
          <w:rFonts w:ascii="Times New Roman" w:hAnsi="Times New Roman" w:cs="Times New Roman"/>
          <w:sz w:val="24"/>
          <w:szCs w:val="24"/>
          <w:lang w:val="lv-LV"/>
        </w:rPr>
        <w:t xml:space="preserve">Otrais līmenis - </w:t>
      </w:r>
      <w:r w:rsidR="00EA7A02" w:rsidRPr="006166CC">
        <w:rPr>
          <w:rFonts w:ascii="Times New Roman" w:hAnsi="Times New Roman" w:cs="Times New Roman"/>
          <w:sz w:val="24"/>
          <w:szCs w:val="24"/>
          <w:lang w:val="lv-LV"/>
        </w:rPr>
        <w:t xml:space="preserve">izvērtējuma veikšana </w:t>
      </w:r>
      <w:r w:rsidRPr="006166CC">
        <w:rPr>
          <w:rFonts w:ascii="Times New Roman" w:hAnsi="Times New Roman" w:cs="Times New Roman"/>
          <w:sz w:val="24"/>
          <w:szCs w:val="24"/>
          <w:lang w:val="lv-LV"/>
        </w:rPr>
        <w:t xml:space="preserve">par gatavības pakāpi </w:t>
      </w:r>
      <w:r w:rsidR="00EA7A02" w:rsidRPr="006166CC">
        <w:rPr>
          <w:rFonts w:ascii="Times New Roman" w:hAnsi="Times New Roman" w:cs="Times New Roman"/>
          <w:sz w:val="24"/>
          <w:szCs w:val="24"/>
          <w:lang w:val="lv-LV"/>
        </w:rPr>
        <w:t>valsts kapitālsabiedrībām</w:t>
      </w:r>
      <w:r w:rsidRPr="006166CC">
        <w:rPr>
          <w:rFonts w:ascii="Times New Roman" w:hAnsi="Times New Roman" w:cs="Times New Roman"/>
          <w:sz w:val="24"/>
          <w:szCs w:val="24"/>
          <w:lang w:val="lv-LV"/>
        </w:rPr>
        <w:t xml:space="preserve"> kotēt tās biržā vai tām emitēt obligācijas</w:t>
      </w:r>
      <w:r w:rsidR="00EA7A02" w:rsidRPr="006166CC">
        <w:rPr>
          <w:rFonts w:ascii="Times New Roman" w:hAnsi="Times New Roman" w:cs="Times New Roman"/>
          <w:sz w:val="24"/>
          <w:szCs w:val="24"/>
          <w:lang w:val="lv-LV"/>
        </w:rPr>
        <w:t xml:space="preserve">, kuras būtu apstiprinātas iespējamajai kotācijai biržā saskaņā ar pirmajā solī minētajiem kritērijiem. Šajā pilnajā izvērtējumā vērā ņemami būtu šādi kritēriji (neizslēdzošs saraksts): </w:t>
      </w:r>
    </w:p>
    <w:p w14:paraId="5253F5CA" w14:textId="77777777" w:rsidR="00EA7A02" w:rsidRPr="006166CC" w:rsidRDefault="00EA7A02" w:rsidP="00EA7A02">
      <w:pPr>
        <w:pStyle w:val="ListParagraph"/>
        <w:numPr>
          <w:ilvl w:val="1"/>
          <w:numId w:val="37"/>
        </w:numPr>
        <w:jc w:val="both"/>
        <w:rPr>
          <w:rFonts w:ascii="Times New Roman" w:hAnsi="Times New Roman" w:cs="Times New Roman"/>
          <w:sz w:val="24"/>
          <w:szCs w:val="24"/>
          <w:lang w:val="lv-LV"/>
        </w:rPr>
      </w:pPr>
      <w:r w:rsidRPr="006166CC">
        <w:rPr>
          <w:rFonts w:ascii="Times New Roman" w:hAnsi="Times New Roman" w:cs="Times New Roman"/>
          <w:sz w:val="24"/>
          <w:szCs w:val="24"/>
          <w:lang w:val="lv-LV"/>
        </w:rPr>
        <w:t>vai ir nepieciešams mainīt kapitālsabiedrības juridisko formu;</w:t>
      </w:r>
    </w:p>
    <w:p w14:paraId="7A09228B" w14:textId="77777777" w:rsidR="00EA7A02" w:rsidRPr="006166CC" w:rsidRDefault="00EA7A02" w:rsidP="00EA7A02">
      <w:pPr>
        <w:pStyle w:val="ListParagraph"/>
        <w:numPr>
          <w:ilvl w:val="1"/>
          <w:numId w:val="37"/>
        </w:numPr>
        <w:jc w:val="both"/>
        <w:rPr>
          <w:rFonts w:ascii="Times New Roman" w:hAnsi="Times New Roman" w:cs="Times New Roman"/>
          <w:sz w:val="24"/>
          <w:szCs w:val="24"/>
          <w:lang w:val="lv-LV"/>
        </w:rPr>
      </w:pPr>
      <w:r w:rsidRPr="006166CC">
        <w:rPr>
          <w:rFonts w:ascii="Times New Roman" w:hAnsi="Times New Roman" w:cs="Times New Roman"/>
          <w:sz w:val="24"/>
          <w:szCs w:val="24"/>
          <w:lang w:val="lv-LV"/>
        </w:rPr>
        <w:t xml:space="preserve">vai kapitālsabiedrības pamatdarbības nozare ir labi saprotama gan no institucionālo, gan privāto investoru perspektīvas; </w:t>
      </w:r>
    </w:p>
    <w:p w14:paraId="4B7F185F" w14:textId="77777777" w:rsidR="00EA7A02" w:rsidRPr="006166CC" w:rsidRDefault="00EA7A02" w:rsidP="00EA7A02">
      <w:pPr>
        <w:pStyle w:val="ListParagraph"/>
        <w:numPr>
          <w:ilvl w:val="1"/>
          <w:numId w:val="37"/>
        </w:numPr>
        <w:jc w:val="both"/>
        <w:rPr>
          <w:rFonts w:ascii="Times New Roman" w:hAnsi="Times New Roman" w:cs="Times New Roman"/>
          <w:sz w:val="24"/>
          <w:szCs w:val="24"/>
          <w:lang w:val="lv-LV"/>
        </w:rPr>
      </w:pPr>
      <w:r w:rsidRPr="006166CC">
        <w:rPr>
          <w:rFonts w:ascii="Times New Roman" w:hAnsi="Times New Roman" w:cs="Times New Roman"/>
          <w:sz w:val="24"/>
          <w:szCs w:val="24"/>
          <w:lang w:val="lv-LV"/>
        </w:rPr>
        <w:t xml:space="preserve">vai kapitālsabiedrībai ir pieredze darbā ar investoriem (obligāciju emitēšana, privātie investori u.tml.); </w:t>
      </w:r>
    </w:p>
    <w:p w14:paraId="65D6C150" w14:textId="77777777" w:rsidR="00EA7A02" w:rsidRPr="006166CC" w:rsidRDefault="00EA7A02" w:rsidP="00EA7A02">
      <w:pPr>
        <w:pStyle w:val="ListParagraph"/>
        <w:numPr>
          <w:ilvl w:val="1"/>
          <w:numId w:val="37"/>
        </w:numPr>
        <w:jc w:val="both"/>
        <w:rPr>
          <w:rFonts w:ascii="Times New Roman" w:hAnsi="Times New Roman" w:cs="Times New Roman"/>
          <w:sz w:val="24"/>
          <w:szCs w:val="24"/>
          <w:lang w:val="lv-LV"/>
        </w:rPr>
      </w:pPr>
      <w:r w:rsidRPr="006166CC">
        <w:rPr>
          <w:rFonts w:ascii="Times New Roman" w:hAnsi="Times New Roman" w:cs="Times New Roman"/>
          <w:sz w:val="24"/>
          <w:szCs w:val="24"/>
          <w:lang w:val="lv-LV"/>
        </w:rPr>
        <w:t xml:space="preserve">vai kapitālsabiedrībai ir piešķirts starptautiskais reitings; </w:t>
      </w:r>
    </w:p>
    <w:p w14:paraId="7AC2FADE" w14:textId="77777777" w:rsidR="00EA7A02" w:rsidRPr="006166CC" w:rsidRDefault="00EA7A02" w:rsidP="00EA7A02">
      <w:pPr>
        <w:pStyle w:val="ListParagraph"/>
        <w:numPr>
          <w:ilvl w:val="1"/>
          <w:numId w:val="37"/>
        </w:numPr>
        <w:jc w:val="both"/>
        <w:rPr>
          <w:rFonts w:ascii="Times New Roman" w:hAnsi="Times New Roman" w:cs="Times New Roman"/>
          <w:sz w:val="24"/>
          <w:szCs w:val="24"/>
          <w:lang w:val="lv-LV"/>
        </w:rPr>
      </w:pPr>
      <w:r w:rsidRPr="006166CC">
        <w:rPr>
          <w:rFonts w:ascii="Times New Roman" w:hAnsi="Times New Roman" w:cs="Times New Roman"/>
          <w:sz w:val="24"/>
          <w:szCs w:val="24"/>
          <w:lang w:val="lv-LV"/>
        </w:rPr>
        <w:t>vai kapitālsabiedrībai ir izveidota padome;</w:t>
      </w:r>
    </w:p>
    <w:p w14:paraId="251F0A91" w14:textId="77777777" w:rsidR="00EA7A02" w:rsidRPr="006166CC" w:rsidRDefault="00EA7A02" w:rsidP="00EA7A02">
      <w:pPr>
        <w:pStyle w:val="ListParagraph"/>
        <w:numPr>
          <w:ilvl w:val="1"/>
          <w:numId w:val="37"/>
        </w:numPr>
        <w:jc w:val="both"/>
        <w:rPr>
          <w:rFonts w:ascii="Times New Roman" w:hAnsi="Times New Roman" w:cs="Times New Roman"/>
          <w:sz w:val="24"/>
          <w:szCs w:val="24"/>
          <w:lang w:val="lv-LV"/>
        </w:rPr>
      </w:pPr>
      <w:r w:rsidRPr="006166CC">
        <w:rPr>
          <w:rFonts w:ascii="Times New Roman" w:hAnsi="Times New Roman" w:cs="Times New Roman"/>
          <w:sz w:val="24"/>
          <w:szCs w:val="24"/>
          <w:lang w:val="lv-LV"/>
        </w:rPr>
        <w:t>vai kapitālsabiedrībai ir apstiprināta un aktuāla darbības stratēģija/biznesa plāns;</w:t>
      </w:r>
    </w:p>
    <w:p w14:paraId="31661D23" w14:textId="3078DD34" w:rsidR="00F427AB" w:rsidRPr="006166CC" w:rsidRDefault="00EA7A02" w:rsidP="00EA7A02">
      <w:pPr>
        <w:pStyle w:val="ListParagraph"/>
        <w:numPr>
          <w:ilvl w:val="1"/>
          <w:numId w:val="37"/>
        </w:numPr>
        <w:jc w:val="both"/>
        <w:rPr>
          <w:rFonts w:ascii="Times New Roman" w:hAnsi="Times New Roman" w:cs="Times New Roman"/>
          <w:sz w:val="24"/>
          <w:szCs w:val="24"/>
          <w:lang w:val="lv-LV"/>
        </w:rPr>
      </w:pPr>
      <w:r w:rsidRPr="006166CC">
        <w:rPr>
          <w:rFonts w:ascii="Times New Roman" w:hAnsi="Times New Roman" w:cs="Times New Roman"/>
          <w:sz w:val="24"/>
          <w:szCs w:val="24"/>
          <w:lang w:val="lv-LV"/>
        </w:rPr>
        <w:t>vai kapitālsabiedrība izmanto starptautiskos grāmatvedības standartus finanšu uzskaitē</w:t>
      </w:r>
      <w:r w:rsidR="00507F41" w:rsidRPr="006166CC">
        <w:rPr>
          <w:rFonts w:ascii="Times New Roman" w:hAnsi="Times New Roman" w:cs="Times New Roman"/>
          <w:sz w:val="24"/>
          <w:szCs w:val="24"/>
          <w:lang w:val="lv-LV"/>
        </w:rPr>
        <w:t xml:space="preserve">. </w:t>
      </w:r>
    </w:p>
    <w:p w14:paraId="5D6CF2A0" w14:textId="6AD2607D" w:rsidR="00750DF2" w:rsidRPr="006166CC" w:rsidRDefault="005B1E4C" w:rsidP="006908AE">
      <w:pPr>
        <w:jc w:val="both"/>
        <w:rPr>
          <w:rFonts w:ascii="Times New Roman" w:hAnsi="Times New Roman" w:cs="Times New Roman"/>
          <w:sz w:val="24"/>
          <w:szCs w:val="24"/>
          <w:lang w:val="lv-LV"/>
        </w:rPr>
      </w:pPr>
      <w:r w:rsidRPr="006166CC">
        <w:rPr>
          <w:rFonts w:ascii="Times New Roman" w:hAnsi="Times New Roman" w:cs="Times New Roman"/>
          <w:sz w:val="24"/>
          <w:szCs w:val="24"/>
          <w:lang w:val="lv-LV"/>
        </w:rPr>
        <w:t xml:space="preserve">Nepieciešams </w:t>
      </w:r>
      <w:r w:rsidR="002C21F9" w:rsidRPr="006166CC">
        <w:rPr>
          <w:rFonts w:ascii="Times New Roman" w:hAnsi="Times New Roman" w:cs="Times New Roman"/>
          <w:sz w:val="24"/>
          <w:szCs w:val="24"/>
          <w:lang w:val="lv-LV"/>
        </w:rPr>
        <w:t xml:space="preserve">būtu </w:t>
      </w:r>
      <w:r w:rsidRPr="006166CC">
        <w:rPr>
          <w:rFonts w:ascii="Times New Roman" w:hAnsi="Times New Roman" w:cs="Times New Roman"/>
          <w:sz w:val="24"/>
          <w:szCs w:val="24"/>
          <w:lang w:val="lv-LV"/>
        </w:rPr>
        <w:t xml:space="preserve">izvērtējums </w:t>
      </w:r>
      <w:r w:rsidR="00175619" w:rsidRPr="006166CC">
        <w:rPr>
          <w:rFonts w:ascii="Times New Roman" w:hAnsi="Times New Roman" w:cs="Times New Roman"/>
          <w:sz w:val="24"/>
          <w:szCs w:val="24"/>
          <w:lang w:val="lv-LV"/>
        </w:rPr>
        <w:t xml:space="preserve">par </w:t>
      </w:r>
      <w:r w:rsidR="002C21F9" w:rsidRPr="006166CC">
        <w:rPr>
          <w:rFonts w:ascii="Times New Roman" w:hAnsi="Times New Roman" w:cs="Times New Roman"/>
          <w:sz w:val="24"/>
          <w:szCs w:val="24"/>
          <w:lang w:val="lv-LV"/>
        </w:rPr>
        <w:t xml:space="preserve">iespējamo </w:t>
      </w:r>
      <w:r w:rsidR="00175619" w:rsidRPr="006166CC">
        <w:rPr>
          <w:rFonts w:ascii="Times New Roman" w:hAnsi="Times New Roman" w:cs="Times New Roman"/>
          <w:sz w:val="24"/>
          <w:szCs w:val="24"/>
          <w:lang w:val="lv-LV"/>
        </w:rPr>
        <w:t>obligāciju emisijas/ akciju kotācij</w:t>
      </w:r>
      <w:r w:rsidR="002C21F9" w:rsidRPr="006166CC">
        <w:rPr>
          <w:rFonts w:ascii="Times New Roman" w:hAnsi="Times New Roman" w:cs="Times New Roman"/>
          <w:sz w:val="24"/>
          <w:szCs w:val="24"/>
          <w:lang w:val="lv-LV"/>
        </w:rPr>
        <w:t xml:space="preserve">u, ņemot vērā iepriekš norādīto </w:t>
      </w:r>
      <w:r w:rsidR="00EA7A02" w:rsidRPr="006166CC">
        <w:rPr>
          <w:rFonts w:ascii="Times New Roman" w:hAnsi="Times New Roman" w:cs="Times New Roman"/>
          <w:sz w:val="24"/>
          <w:szCs w:val="24"/>
          <w:lang w:val="lv-LV"/>
        </w:rPr>
        <w:t xml:space="preserve">pieeju un </w:t>
      </w:r>
      <w:r w:rsidR="002C21F9" w:rsidRPr="006166CC">
        <w:rPr>
          <w:rFonts w:ascii="Times New Roman" w:hAnsi="Times New Roman" w:cs="Times New Roman"/>
          <w:sz w:val="24"/>
          <w:szCs w:val="24"/>
          <w:lang w:val="lv-LV"/>
        </w:rPr>
        <w:t>kritērijus, šādām</w:t>
      </w:r>
      <w:r w:rsidRPr="006166CC">
        <w:rPr>
          <w:rFonts w:ascii="Times New Roman" w:hAnsi="Times New Roman" w:cs="Times New Roman"/>
          <w:sz w:val="24"/>
          <w:szCs w:val="24"/>
          <w:lang w:val="lv-LV"/>
        </w:rPr>
        <w:t xml:space="preserve"> kapitālsabiedrībām</w:t>
      </w:r>
      <w:r w:rsidR="002C21F9" w:rsidRPr="006166CC">
        <w:rPr>
          <w:rFonts w:ascii="Times New Roman" w:hAnsi="Times New Roman" w:cs="Times New Roman"/>
          <w:sz w:val="24"/>
          <w:szCs w:val="24"/>
          <w:lang w:val="lv-LV"/>
        </w:rPr>
        <w:t>:</w:t>
      </w:r>
    </w:p>
    <w:p w14:paraId="70C7775A" w14:textId="2E7C49BF" w:rsidR="00DF7E2C" w:rsidRPr="006166CC" w:rsidRDefault="00DF7E2C" w:rsidP="006E566D">
      <w:pPr>
        <w:jc w:val="right"/>
        <w:rPr>
          <w:rFonts w:ascii="Times New Roman" w:hAnsi="Times New Roman" w:cs="Times New Roman"/>
          <w:sz w:val="24"/>
          <w:szCs w:val="24"/>
          <w:lang w:val="lv-LV"/>
        </w:rPr>
      </w:pPr>
      <w:r w:rsidRPr="006166CC">
        <w:rPr>
          <w:rFonts w:ascii="Times New Roman" w:hAnsi="Times New Roman" w:cs="Times New Roman"/>
          <w:sz w:val="24"/>
          <w:szCs w:val="24"/>
          <w:lang w:val="lv-LV"/>
        </w:rPr>
        <w:t>Tabula Nr. 1 Izvērtējamās kapitālsabiedrības</w:t>
      </w:r>
    </w:p>
    <w:tbl>
      <w:tblPr>
        <w:tblStyle w:val="TableGrid"/>
        <w:tblW w:w="0" w:type="auto"/>
        <w:tblLook w:val="04A0" w:firstRow="1" w:lastRow="0" w:firstColumn="1" w:lastColumn="0" w:noHBand="0" w:noVBand="1"/>
      </w:tblPr>
      <w:tblGrid>
        <w:gridCol w:w="988"/>
        <w:gridCol w:w="8362"/>
      </w:tblGrid>
      <w:tr w:rsidR="00DF7E2C" w:rsidRPr="006166CC" w14:paraId="321547E5" w14:textId="77777777" w:rsidTr="006E566D">
        <w:tc>
          <w:tcPr>
            <w:tcW w:w="988" w:type="dxa"/>
          </w:tcPr>
          <w:p w14:paraId="66BB6B42" w14:textId="72050D80" w:rsidR="00DF7E2C" w:rsidRPr="006166CC" w:rsidRDefault="00DF7E2C" w:rsidP="00750DF2">
            <w:pPr>
              <w:jc w:val="both"/>
              <w:rPr>
                <w:rFonts w:ascii="Times New Roman" w:hAnsi="Times New Roman" w:cs="Times New Roman"/>
                <w:sz w:val="24"/>
                <w:szCs w:val="24"/>
                <w:lang w:val="lv-LV"/>
              </w:rPr>
            </w:pPr>
            <w:r w:rsidRPr="006166CC">
              <w:rPr>
                <w:rFonts w:ascii="Times New Roman" w:hAnsi="Times New Roman" w:cs="Times New Roman"/>
                <w:sz w:val="24"/>
                <w:szCs w:val="24"/>
                <w:lang w:val="lv-LV"/>
              </w:rPr>
              <w:t>Nr. p. k.</w:t>
            </w:r>
          </w:p>
        </w:tc>
        <w:tc>
          <w:tcPr>
            <w:tcW w:w="8362" w:type="dxa"/>
          </w:tcPr>
          <w:p w14:paraId="3F0EB3D2" w14:textId="719B4488" w:rsidR="00DF7E2C" w:rsidRPr="006166CC" w:rsidRDefault="00DF7E2C" w:rsidP="006E566D">
            <w:pPr>
              <w:jc w:val="center"/>
              <w:rPr>
                <w:rFonts w:ascii="Times New Roman" w:hAnsi="Times New Roman" w:cs="Times New Roman"/>
                <w:sz w:val="24"/>
                <w:szCs w:val="24"/>
                <w:lang w:val="lv-LV"/>
              </w:rPr>
            </w:pPr>
            <w:r w:rsidRPr="006166CC">
              <w:rPr>
                <w:rFonts w:ascii="Times New Roman" w:hAnsi="Times New Roman" w:cs="Times New Roman"/>
                <w:sz w:val="24"/>
                <w:szCs w:val="24"/>
                <w:lang w:val="lv-LV"/>
              </w:rPr>
              <w:t>Kapitālsabiedrība</w:t>
            </w:r>
          </w:p>
        </w:tc>
      </w:tr>
      <w:tr w:rsidR="00DF7E2C" w:rsidRPr="006166CC" w14:paraId="09DCB2B0" w14:textId="77777777" w:rsidTr="006E566D">
        <w:tc>
          <w:tcPr>
            <w:tcW w:w="988" w:type="dxa"/>
          </w:tcPr>
          <w:p w14:paraId="2A6A103D" w14:textId="001C7A69" w:rsidR="00DF7E2C" w:rsidRPr="006166CC" w:rsidRDefault="00DF7E2C" w:rsidP="006E566D">
            <w:pPr>
              <w:jc w:val="center"/>
              <w:rPr>
                <w:rFonts w:ascii="Times New Roman" w:hAnsi="Times New Roman" w:cs="Times New Roman"/>
                <w:sz w:val="24"/>
                <w:szCs w:val="24"/>
                <w:lang w:val="lv-LV"/>
              </w:rPr>
            </w:pPr>
            <w:r w:rsidRPr="006166CC">
              <w:rPr>
                <w:rFonts w:ascii="Times New Roman" w:hAnsi="Times New Roman" w:cs="Times New Roman"/>
                <w:sz w:val="24"/>
                <w:szCs w:val="24"/>
                <w:lang w:val="lv-LV"/>
              </w:rPr>
              <w:t>1.</w:t>
            </w:r>
          </w:p>
          <w:p w14:paraId="5A012E37" w14:textId="77777777" w:rsidR="00DF7E2C" w:rsidRPr="006166CC" w:rsidRDefault="00DF7E2C" w:rsidP="006E566D">
            <w:pPr>
              <w:jc w:val="center"/>
              <w:rPr>
                <w:rFonts w:ascii="Times New Roman" w:hAnsi="Times New Roman" w:cs="Times New Roman"/>
                <w:sz w:val="24"/>
                <w:szCs w:val="24"/>
                <w:lang w:val="lv-LV"/>
              </w:rPr>
            </w:pPr>
            <w:r w:rsidRPr="006166CC">
              <w:rPr>
                <w:rFonts w:ascii="Times New Roman" w:hAnsi="Times New Roman" w:cs="Times New Roman"/>
                <w:sz w:val="24"/>
                <w:szCs w:val="24"/>
                <w:lang w:val="lv-LV"/>
              </w:rPr>
              <w:t>2.</w:t>
            </w:r>
          </w:p>
          <w:p w14:paraId="5234E9CD" w14:textId="77777777" w:rsidR="00DF7E2C" w:rsidRPr="006166CC" w:rsidRDefault="00DF7E2C" w:rsidP="006E566D">
            <w:pPr>
              <w:jc w:val="center"/>
              <w:rPr>
                <w:rFonts w:ascii="Times New Roman" w:hAnsi="Times New Roman" w:cs="Times New Roman"/>
                <w:sz w:val="24"/>
                <w:szCs w:val="24"/>
                <w:lang w:val="lv-LV"/>
              </w:rPr>
            </w:pPr>
            <w:r w:rsidRPr="006166CC">
              <w:rPr>
                <w:rFonts w:ascii="Times New Roman" w:hAnsi="Times New Roman" w:cs="Times New Roman"/>
                <w:sz w:val="24"/>
                <w:szCs w:val="24"/>
                <w:lang w:val="lv-LV"/>
              </w:rPr>
              <w:t>3.</w:t>
            </w:r>
          </w:p>
          <w:p w14:paraId="15C249B4" w14:textId="77777777" w:rsidR="00DF7E2C" w:rsidRPr="006166CC" w:rsidRDefault="00DF7E2C" w:rsidP="006E566D">
            <w:pPr>
              <w:jc w:val="center"/>
              <w:rPr>
                <w:rFonts w:ascii="Times New Roman" w:hAnsi="Times New Roman" w:cs="Times New Roman"/>
                <w:sz w:val="24"/>
                <w:szCs w:val="24"/>
                <w:lang w:val="lv-LV"/>
              </w:rPr>
            </w:pPr>
            <w:r w:rsidRPr="006166CC">
              <w:rPr>
                <w:rFonts w:ascii="Times New Roman" w:hAnsi="Times New Roman" w:cs="Times New Roman"/>
                <w:sz w:val="24"/>
                <w:szCs w:val="24"/>
                <w:lang w:val="lv-LV"/>
              </w:rPr>
              <w:t>4.</w:t>
            </w:r>
          </w:p>
          <w:p w14:paraId="1AF323CF" w14:textId="77777777" w:rsidR="00DF7E2C" w:rsidRPr="006166CC" w:rsidRDefault="00DF7E2C" w:rsidP="006E566D">
            <w:pPr>
              <w:jc w:val="center"/>
              <w:rPr>
                <w:rFonts w:ascii="Times New Roman" w:hAnsi="Times New Roman" w:cs="Times New Roman"/>
                <w:sz w:val="24"/>
                <w:szCs w:val="24"/>
                <w:lang w:val="lv-LV"/>
              </w:rPr>
            </w:pPr>
            <w:r w:rsidRPr="006166CC">
              <w:rPr>
                <w:rFonts w:ascii="Times New Roman" w:hAnsi="Times New Roman" w:cs="Times New Roman"/>
                <w:sz w:val="24"/>
                <w:szCs w:val="24"/>
                <w:lang w:val="lv-LV"/>
              </w:rPr>
              <w:t>5.</w:t>
            </w:r>
          </w:p>
          <w:p w14:paraId="4248B2BA" w14:textId="77777777" w:rsidR="00DF7E2C" w:rsidRPr="006166CC" w:rsidRDefault="00DF7E2C" w:rsidP="006E566D">
            <w:pPr>
              <w:jc w:val="center"/>
              <w:rPr>
                <w:rFonts w:ascii="Times New Roman" w:hAnsi="Times New Roman" w:cs="Times New Roman"/>
                <w:sz w:val="24"/>
                <w:szCs w:val="24"/>
                <w:lang w:val="lv-LV"/>
              </w:rPr>
            </w:pPr>
            <w:r w:rsidRPr="006166CC">
              <w:rPr>
                <w:rFonts w:ascii="Times New Roman" w:hAnsi="Times New Roman" w:cs="Times New Roman"/>
                <w:sz w:val="24"/>
                <w:szCs w:val="24"/>
                <w:lang w:val="lv-LV"/>
              </w:rPr>
              <w:lastRenderedPageBreak/>
              <w:t>6.</w:t>
            </w:r>
          </w:p>
          <w:p w14:paraId="2280B4D8" w14:textId="77777777" w:rsidR="00DF7E2C" w:rsidRPr="006166CC" w:rsidRDefault="00DF7E2C" w:rsidP="006E566D">
            <w:pPr>
              <w:jc w:val="center"/>
              <w:rPr>
                <w:rFonts w:ascii="Times New Roman" w:hAnsi="Times New Roman" w:cs="Times New Roman"/>
                <w:sz w:val="24"/>
                <w:szCs w:val="24"/>
                <w:lang w:val="lv-LV"/>
              </w:rPr>
            </w:pPr>
            <w:r w:rsidRPr="006166CC">
              <w:rPr>
                <w:rFonts w:ascii="Times New Roman" w:hAnsi="Times New Roman" w:cs="Times New Roman"/>
                <w:sz w:val="24"/>
                <w:szCs w:val="24"/>
                <w:lang w:val="lv-LV"/>
              </w:rPr>
              <w:t>7.</w:t>
            </w:r>
          </w:p>
          <w:p w14:paraId="7B63AEF3" w14:textId="77777777" w:rsidR="00DF7E2C" w:rsidRPr="006166CC" w:rsidRDefault="00DF7E2C" w:rsidP="006E566D">
            <w:pPr>
              <w:jc w:val="center"/>
              <w:rPr>
                <w:rFonts w:ascii="Times New Roman" w:hAnsi="Times New Roman" w:cs="Times New Roman"/>
                <w:sz w:val="24"/>
                <w:szCs w:val="24"/>
                <w:lang w:val="lv-LV"/>
              </w:rPr>
            </w:pPr>
            <w:r w:rsidRPr="006166CC">
              <w:rPr>
                <w:rFonts w:ascii="Times New Roman" w:hAnsi="Times New Roman" w:cs="Times New Roman"/>
                <w:sz w:val="24"/>
                <w:szCs w:val="24"/>
                <w:lang w:val="lv-LV"/>
              </w:rPr>
              <w:t>8.</w:t>
            </w:r>
          </w:p>
          <w:p w14:paraId="2B48024B" w14:textId="77777777" w:rsidR="00DF7E2C" w:rsidRPr="006166CC" w:rsidRDefault="00DF7E2C" w:rsidP="006E566D">
            <w:pPr>
              <w:jc w:val="center"/>
              <w:rPr>
                <w:rFonts w:ascii="Times New Roman" w:hAnsi="Times New Roman" w:cs="Times New Roman"/>
                <w:sz w:val="24"/>
                <w:szCs w:val="24"/>
                <w:lang w:val="lv-LV"/>
              </w:rPr>
            </w:pPr>
            <w:r w:rsidRPr="006166CC">
              <w:rPr>
                <w:rFonts w:ascii="Times New Roman" w:hAnsi="Times New Roman" w:cs="Times New Roman"/>
                <w:sz w:val="24"/>
                <w:szCs w:val="24"/>
                <w:lang w:val="lv-LV"/>
              </w:rPr>
              <w:t>9.</w:t>
            </w:r>
          </w:p>
          <w:p w14:paraId="031AA100" w14:textId="77777777" w:rsidR="00DF7E2C" w:rsidRPr="006166CC" w:rsidRDefault="00DF7E2C" w:rsidP="006E566D">
            <w:pPr>
              <w:jc w:val="center"/>
              <w:rPr>
                <w:rFonts w:ascii="Times New Roman" w:hAnsi="Times New Roman" w:cs="Times New Roman"/>
                <w:sz w:val="24"/>
                <w:szCs w:val="24"/>
                <w:lang w:val="lv-LV"/>
              </w:rPr>
            </w:pPr>
            <w:r w:rsidRPr="006166CC">
              <w:rPr>
                <w:rFonts w:ascii="Times New Roman" w:hAnsi="Times New Roman" w:cs="Times New Roman"/>
                <w:sz w:val="24"/>
                <w:szCs w:val="24"/>
                <w:lang w:val="lv-LV"/>
              </w:rPr>
              <w:t>10.</w:t>
            </w:r>
          </w:p>
          <w:p w14:paraId="69B1BBB9" w14:textId="77777777" w:rsidR="00DF7E2C" w:rsidRPr="006166CC" w:rsidRDefault="00DF7E2C" w:rsidP="006E566D">
            <w:pPr>
              <w:jc w:val="center"/>
              <w:rPr>
                <w:rFonts w:ascii="Times New Roman" w:hAnsi="Times New Roman" w:cs="Times New Roman"/>
                <w:sz w:val="24"/>
                <w:szCs w:val="24"/>
                <w:lang w:val="lv-LV"/>
              </w:rPr>
            </w:pPr>
            <w:r w:rsidRPr="006166CC">
              <w:rPr>
                <w:rFonts w:ascii="Times New Roman" w:hAnsi="Times New Roman" w:cs="Times New Roman"/>
                <w:sz w:val="24"/>
                <w:szCs w:val="24"/>
                <w:lang w:val="lv-LV"/>
              </w:rPr>
              <w:t>11.</w:t>
            </w:r>
          </w:p>
          <w:p w14:paraId="3E71DCF2" w14:textId="77777777" w:rsidR="00DF7E2C" w:rsidRPr="006166CC" w:rsidRDefault="00DF7E2C" w:rsidP="006E566D">
            <w:pPr>
              <w:jc w:val="center"/>
              <w:rPr>
                <w:rFonts w:ascii="Times New Roman" w:hAnsi="Times New Roman" w:cs="Times New Roman"/>
                <w:sz w:val="24"/>
                <w:szCs w:val="24"/>
                <w:lang w:val="lv-LV"/>
              </w:rPr>
            </w:pPr>
            <w:r w:rsidRPr="006166CC">
              <w:rPr>
                <w:rFonts w:ascii="Times New Roman" w:hAnsi="Times New Roman" w:cs="Times New Roman"/>
                <w:sz w:val="24"/>
                <w:szCs w:val="24"/>
                <w:lang w:val="lv-LV"/>
              </w:rPr>
              <w:t>12.</w:t>
            </w:r>
          </w:p>
          <w:p w14:paraId="37E71E23" w14:textId="77777777" w:rsidR="00DF7E2C" w:rsidRPr="006166CC" w:rsidRDefault="00DF7E2C" w:rsidP="006E566D">
            <w:pPr>
              <w:jc w:val="center"/>
              <w:rPr>
                <w:rFonts w:ascii="Times New Roman" w:hAnsi="Times New Roman" w:cs="Times New Roman"/>
                <w:sz w:val="24"/>
                <w:szCs w:val="24"/>
                <w:lang w:val="lv-LV"/>
              </w:rPr>
            </w:pPr>
            <w:r w:rsidRPr="006166CC">
              <w:rPr>
                <w:rFonts w:ascii="Times New Roman" w:hAnsi="Times New Roman" w:cs="Times New Roman"/>
                <w:sz w:val="24"/>
                <w:szCs w:val="24"/>
                <w:lang w:val="lv-LV"/>
              </w:rPr>
              <w:t>13.</w:t>
            </w:r>
          </w:p>
          <w:p w14:paraId="1AF4CC34" w14:textId="77777777" w:rsidR="00DF7E2C" w:rsidRPr="006166CC" w:rsidRDefault="00DF7E2C" w:rsidP="006E566D">
            <w:pPr>
              <w:jc w:val="center"/>
              <w:rPr>
                <w:rFonts w:ascii="Times New Roman" w:hAnsi="Times New Roman" w:cs="Times New Roman"/>
                <w:sz w:val="24"/>
                <w:szCs w:val="24"/>
                <w:lang w:val="lv-LV"/>
              </w:rPr>
            </w:pPr>
            <w:r w:rsidRPr="006166CC">
              <w:rPr>
                <w:rFonts w:ascii="Times New Roman" w:hAnsi="Times New Roman" w:cs="Times New Roman"/>
                <w:sz w:val="24"/>
                <w:szCs w:val="24"/>
                <w:lang w:val="lv-LV"/>
              </w:rPr>
              <w:t>14.</w:t>
            </w:r>
          </w:p>
          <w:p w14:paraId="695AAF2A" w14:textId="77777777" w:rsidR="00DF7E2C" w:rsidRPr="006166CC" w:rsidRDefault="00DF7E2C" w:rsidP="006E566D">
            <w:pPr>
              <w:jc w:val="center"/>
              <w:rPr>
                <w:rFonts w:ascii="Times New Roman" w:hAnsi="Times New Roman" w:cs="Times New Roman"/>
                <w:sz w:val="24"/>
                <w:szCs w:val="24"/>
                <w:lang w:val="lv-LV"/>
              </w:rPr>
            </w:pPr>
            <w:r w:rsidRPr="006166CC">
              <w:rPr>
                <w:rFonts w:ascii="Times New Roman" w:hAnsi="Times New Roman" w:cs="Times New Roman"/>
                <w:sz w:val="24"/>
                <w:szCs w:val="24"/>
                <w:lang w:val="lv-LV"/>
              </w:rPr>
              <w:t>15.</w:t>
            </w:r>
          </w:p>
          <w:p w14:paraId="47448BBA" w14:textId="77777777" w:rsidR="00DF7E2C" w:rsidRPr="006166CC" w:rsidRDefault="00DF7E2C" w:rsidP="006E566D">
            <w:pPr>
              <w:jc w:val="center"/>
              <w:rPr>
                <w:rFonts w:ascii="Times New Roman" w:hAnsi="Times New Roman" w:cs="Times New Roman"/>
                <w:sz w:val="24"/>
                <w:szCs w:val="24"/>
                <w:lang w:val="lv-LV"/>
              </w:rPr>
            </w:pPr>
            <w:r w:rsidRPr="006166CC">
              <w:rPr>
                <w:rFonts w:ascii="Times New Roman" w:hAnsi="Times New Roman" w:cs="Times New Roman"/>
                <w:sz w:val="24"/>
                <w:szCs w:val="24"/>
                <w:lang w:val="lv-LV"/>
              </w:rPr>
              <w:t>16.</w:t>
            </w:r>
          </w:p>
          <w:p w14:paraId="30ACFCD6" w14:textId="77777777" w:rsidR="00DF7E2C" w:rsidRPr="006166CC" w:rsidRDefault="00DF7E2C" w:rsidP="006E566D">
            <w:pPr>
              <w:jc w:val="center"/>
              <w:rPr>
                <w:rFonts w:ascii="Times New Roman" w:hAnsi="Times New Roman" w:cs="Times New Roman"/>
                <w:sz w:val="24"/>
                <w:szCs w:val="24"/>
                <w:lang w:val="lv-LV"/>
              </w:rPr>
            </w:pPr>
            <w:r w:rsidRPr="006166CC">
              <w:rPr>
                <w:rFonts w:ascii="Times New Roman" w:hAnsi="Times New Roman" w:cs="Times New Roman"/>
                <w:sz w:val="24"/>
                <w:szCs w:val="24"/>
                <w:lang w:val="lv-LV"/>
              </w:rPr>
              <w:t>17.</w:t>
            </w:r>
          </w:p>
          <w:p w14:paraId="062FD8C9" w14:textId="77777777" w:rsidR="00DF7E2C" w:rsidRPr="006166CC" w:rsidRDefault="00DF7E2C" w:rsidP="006E566D">
            <w:pPr>
              <w:jc w:val="center"/>
              <w:rPr>
                <w:rFonts w:ascii="Times New Roman" w:hAnsi="Times New Roman" w:cs="Times New Roman"/>
                <w:sz w:val="24"/>
                <w:szCs w:val="24"/>
                <w:lang w:val="lv-LV"/>
              </w:rPr>
            </w:pPr>
            <w:r w:rsidRPr="006166CC">
              <w:rPr>
                <w:rFonts w:ascii="Times New Roman" w:hAnsi="Times New Roman" w:cs="Times New Roman"/>
                <w:sz w:val="24"/>
                <w:szCs w:val="24"/>
                <w:lang w:val="lv-LV"/>
              </w:rPr>
              <w:t>18.</w:t>
            </w:r>
          </w:p>
          <w:p w14:paraId="757AB91D" w14:textId="77777777" w:rsidR="00DF7E2C" w:rsidRPr="006166CC" w:rsidRDefault="00DF7E2C" w:rsidP="006E566D">
            <w:pPr>
              <w:jc w:val="center"/>
              <w:rPr>
                <w:rFonts w:ascii="Times New Roman" w:hAnsi="Times New Roman" w:cs="Times New Roman"/>
                <w:sz w:val="24"/>
                <w:szCs w:val="24"/>
                <w:lang w:val="lv-LV"/>
              </w:rPr>
            </w:pPr>
            <w:r w:rsidRPr="006166CC">
              <w:rPr>
                <w:rFonts w:ascii="Times New Roman" w:hAnsi="Times New Roman" w:cs="Times New Roman"/>
                <w:sz w:val="24"/>
                <w:szCs w:val="24"/>
                <w:lang w:val="lv-LV"/>
              </w:rPr>
              <w:t>19.</w:t>
            </w:r>
          </w:p>
          <w:p w14:paraId="7573F667" w14:textId="52FDD2C6" w:rsidR="00DF7E2C" w:rsidRPr="006166CC" w:rsidRDefault="00DF7E2C" w:rsidP="006E566D">
            <w:pPr>
              <w:jc w:val="center"/>
              <w:rPr>
                <w:rFonts w:ascii="Times New Roman" w:hAnsi="Times New Roman" w:cs="Times New Roman"/>
                <w:sz w:val="24"/>
                <w:szCs w:val="24"/>
                <w:lang w:val="lv-LV"/>
              </w:rPr>
            </w:pPr>
            <w:r w:rsidRPr="006166CC">
              <w:rPr>
                <w:rFonts w:ascii="Times New Roman" w:hAnsi="Times New Roman" w:cs="Times New Roman"/>
                <w:sz w:val="24"/>
                <w:szCs w:val="24"/>
                <w:lang w:val="lv-LV"/>
              </w:rPr>
              <w:t>20.</w:t>
            </w:r>
          </w:p>
        </w:tc>
        <w:tc>
          <w:tcPr>
            <w:tcW w:w="8362" w:type="dxa"/>
          </w:tcPr>
          <w:p w14:paraId="5672FA1E" w14:textId="60C1590D" w:rsidR="00DF7E2C" w:rsidRPr="006166CC" w:rsidRDefault="00DF7E2C" w:rsidP="00DF7E2C">
            <w:pPr>
              <w:jc w:val="both"/>
              <w:rPr>
                <w:rFonts w:ascii="Times New Roman" w:hAnsi="Times New Roman" w:cs="Times New Roman"/>
                <w:sz w:val="24"/>
                <w:szCs w:val="24"/>
                <w:lang w:val="lv-LV"/>
              </w:rPr>
            </w:pPr>
            <w:r w:rsidRPr="006166CC">
              <w:rPr>
                <w:rFonts w:ascii="Times New Roman" w:hAnsi="Times New Roman" w:cs="Times New Roman"/>
                <w:sz w:val="24"/>
                <w:szCs w:val="24"/>
                <w:lang w:val="lv-LV"/>
              </w:rPr>
              <w:lastRenderedPageBreak/>
              <w:t>SIA “Lattelecom”</w:t>
            </w:r>
          </w:p>
          <w:p w14:paraId="13F22B7D" w14:textId="74823F28" w:rsidR="00DF7E2C" w:rsidRPr="006166CC" w:rsidRDefault="00DF7E2C" w:rsidP="00DF7E2C">
            <w:pPr>
              <w:jc w:val="both"/>
              <w:rPr>
                <w:rFonts w:ascii="Times New Roman" w:hAnsi="Times New Roman" w:cs="Times New Roman"/>
                <w:sz w:val="24"/>
                <w:szCs w:val="24"/>
                <w:lang w:val="lv-LV"/>
              </w:rPr>
            </w:pPr>
            <w:r w:rsidRPr="006166CC">
              <w:rPr>
                <w:rFonts w:ascii="Times New Roman" w:hAnsi="Times New Roman" w:cs="Times New Roman"/>
                <w:sz w:val="24"/>
                <w:szCs w:val="24"/>
                <w:lang w:val="lv-LV"/>
              </w:rPr>
              <w:t>SIA “LMT”</w:t>
            </w:r>
          </w:p>
          <w:p w14:paraId="4C7B250A" w14:textId="43BDCFE7" w:rsidR="00DF7E2C" w:rsidRPr="006166CC" w:rsidRDefault="00DF7E2C" w:rsidP="00DF7E2C">
            <w:pPr>
              <w:jc w:val="both"/>
              <w:rPr>
                <w:rFonts w:ascii="Times New Roman" w:hAnsi="Times New Roman" w:cs="Times New Roman"/>
                <w:sz w:val="24"/>
                <w:szCs w:val="24"/>
                <w:lang w:val="lv-LV"/>
              </w:rPr>
            </w:pPr>
            <w:r w:rsidRPr="006166CC">
              <w:rPr>
                <w:rFonts w:ascii="Times New Roman" w:hAnsi="Times New Roman" w:cs="Times New Roman"/>
                <w:sz w:val="24"/>
                <w:szCs w:val="24"/>
                <w:lang w:val="lv-LV"/>
              </w:rPr>
              <w:t>VAS “Starptautiskā lidosta “Rīga””</w:t>
            </w:r>
          </w:p>
          <w:p w14:paraId="2B48C72D" w14:textId="77777777" w:rsidR="00DF7E2C" w:rsidRPr="006166CC" w:rsidRDefault="00DF7E2C" w:rsidP="00DF7E2C">
            <w:pPr>
              <w:jc w:val="both"/>
              <w:rPr>
                <w:rFonts w:ascii="Times New Roman" w:hAnsi="Times New Roman" w:cs="Times New Roman"/>
                <w:sz w:val="24"/>
                <w:szCs w:val="24"/>
                <w:lang w:val="lv-LV"/>
              </w:rPr>
            </w:pPr>
            <w:r w:rsidRPr="006166CC">
              <w:rPr>
                <w:rFonts w:ascii="Times New Roman" w:hAnsi="Times New Roman" w:cs="Times New Roman"/>
                <w:sz w:val="24"/>
                <w:szCs w:val="24"/>
                <w:lang w:val="lv-LV"/>
              </w:rPr>
              <w:t>VAS “Latvijas gaisa satiksme”</w:t>
            </w:r>
          </w:p>
          <w:p w14:paraId="220DDB52" w14:textId="77777777" w:rsidR="00DF7E2C" w:rsidRPr="006166CC" w:rsidRDefault="00DF7E2C" w:rsidP="00DF7E2C">
            <w:pPr>
              <w:jc w:val="both"/>
              <w:rPr>
                <w:rFonts w:ascii="Times New Roman" w:hAnsi="Times New Roman" w:cs="Times New Roman"/>
                <w:sz w:val="24"/>
                <w:szCs w:val="24"/>
                <w:lang w:val="lv-LV"/>
              </w:rPr>
            </w:pPr>
            <w:r w:rsidRPr="006166CC">
              <w:rPr>
                <w:rFonts w:ascii="Times New Roman" w:hAnsi="Times New Roman" w:cs="Times New Roman"/>
                <w:sz w:val="24"/>
                <w:szCs w:val="24"/>
                <w:lang w:val="lv-LV"/>
              </w:rPr>
              <w:t>VAS “Latvijas dzelzceļš”</w:t>
            </w:r>
          </w:p>
          <w:p w14:paraId="08A3A7B1" w14:textId="78EB5C31" w:rsidR="00DF7E2C" w:rsidRPr="006166CC" w:rsidRDefault="00DF7E2C" w:rsidP="00DF7E2C">
            <w:pPr>
              <w:jc w:val="both"/>
              <w:rPr>
                <w:rFonts w:ascii="Times New Roman" w:hAnsi="Times New Roman" w:cs="Times New Roman"/>
                <w:sz w:val="24"/>
                <w:szCs w:val="24"/>
                <w:lang w:val="lv-LV"/>
              </w:rPr>
            </w:pPr>
            <w:r w:rsidRPr="006166CC">
              <w:rPr>
                <w:rFonts w:ascii="Times New Roman" w:hAnsi="Times New Roman" w:cs="Times New Roman"/>
                <w:sz w:val="24"/>
                <w:szCs w:val="24"/>
                <w:lang w:val="lv-LV"/>
              </w:rPr>
              <w:lastRenderedPageBreak/>
              <w:t>SIA “</w:t>
            </w:r>
            <w:r w:rsidR="00760B34" w:rsidRPr="006166CC">
              <w:rPr>
                <w:rFonts w:ascii="Times New Roman" w:hAnsi="Times New Roman" w:cs="Times New Roman"/>
                <w:sz w:val="24"/>
                <w:szCs w:val="24"/>
                <w:lang w:val="lv-LV"/>
              </w:rPr>
              <w:t>LDZ CARGO</w:t>
            </w:r>
            <w:r w:rsidRPr="006166CC">
              <w:rPr>
                <w:rFonts w:ascii="Times New Roman" w:hAnsi="Times New Roman" w:cs="Times New Roman"/>
                <w:sz w:val="24"/>
                <w:szCs w:val="24"/>
                <w:lang w:val="lv-LV"/>
              </w:rPr>
              <w:t>”</w:t>
            </w:r>
          </w:p>
          <w:p w14:paraId="0964EF0C" w14:textId="77777777" w:rsidR="00DF7E2C" w:rsidRPr="006166CC" w:rsidRDefault="00DF7E2C" w:rsidP="00DF7E2C">
            <w:pPr>
              <w:pStyle w:val="PlainText"/>
              <w:rPr>
                <w:rFonts w:ascii="Times New Roman" w:hAnsi="Times New Roman"/>
                <w:bCs/>
                <w:sz w:val="24"/>
                <w:szCs w:val="24"/>
                <w:lang w:val="lv-LV"/>
              </w:rPr>
            </w:pPr>
            <w:r w:rsidRPr="006166CC">
              <w:rPr>
                <w:rFonts w:ascii="Times New Roman" w:hAnsi="Times New Roman"/>
                <w:bCs/>
                <w:sz w:val="24"/>
                <w:szCs w:val="24"/>
                <w:lang w:val="lv-LV"/>
              </w:rPr>
              <w:t>VAS “Latvijas Pasts”</w:t>
            </w:r>
          </w:p>
          <w:p w14:paraId="00334640" w14:textId="77777777" w:rsidR="00DF7E2C" w:rsidRPr="006166CC" w:rsidRDefault="00DF7E2C" w:rsidP="00DF7E2C">
            <w:pPr>
              <w:pStyle w:val="PlainText"/>
              <w:rPr>
                <w:rFonts w:ascii="Times New Roman" w:hAnsi="Times New Roman"/>
                <w:bCs/>
                <w:sz w:val="24"/>
                <w:szCs w:val="24"/>
                <w:lang w:val="lv-LV"/>
              </w:rPr>
            </w:pPr>
            <w:r w:rsidRPr="006166CC">
              <w:rPr>
                <w:rFonts w:ascii="Times New Roman" w:hAnsi="Times New Roman"/>
                <w:bCs/>
                <w:sz w:val="24"/>
                <w:szCs w:val="24"/>
                <w:lang w:val="lv-LV"/>
              </w:rPr>
              <w:t>VAS “Ceļu satiksmes drošības direkcija”</w:t>
            </w:r>
          </w:p>
          <w:p w14:paraId="4A1AC324" w14:textId="77777777" w:rsidR="00DF7E2C" w:rsidRPr="006166CC" w:rsidRDefault="00DF7E2C" w:rsidP="00DF7E2C">
            <w:pPr>
              <w:pStyle w:val="PlainText"/>
              <w:rPr>
                <w:rFonts w:ascii="Times New Roman" w:hAnsi="Times New Roman"/>
                <w:bCs/>
                <w:sz w:val="24"/>
                <w:szCs w:val="24"/>
                <w:lang w:val="lv-LV"/>
              </w:rPr>
            </w:pPr>
            <w:r w:rsidRPr="006166CC">
              <w:rPr>
                <w:rFonts w:ascii="Times New Roman" w:hAnsi="Times New Roman"/>
                <w:bCs/>
                <w:sz w:val="24"/>
                <w:szCs w:val="24"/>
                <w:lang w:val="lv-LV"/>
              </w:rPr>
              <w:t>VAS “Latvijas autoceļu uzturētājs”</w:t>
            </w:r>
          </w:p>
          <w:p w14:paraId="7FBD1744" w14:textId="77777777" w:rsidR="00DF7E2C" w:rsidRPr="006166CC" w:rsidRDefault="00DF7E2C" w:rsidP="00DF7E2C">
            <w:pPr>
              <w:pStyle w:val="PlainText"/>
              <w:rPr>
                <w:rFonts w:ascii="Times New Roman" w:hAnsi="Times New Roman"/>
                <w:bCs/>
                <w:sz w:val="24"/>
                <w:szCs w:val="24"/>
                <w:lang w:val="lv-LV"/>
              </w:rPr>
            </w:pPr>
            <w:r w:rsidRPr="006166CC">
              <w:rPr>
                <w:rFonts w:ascii="Times New Roman" w:hAnsi="Times New Roman"/>
                <w:bCs/>
                <w:sz w:val="24"/>
                <w:szCs w:val="24"/>
                <w:lang w:val="lv-LV"/>
              </w:rPr>
              <w:t>AS “Air Baltic Corporation”</w:t>
            </w:r>
          </w:p>
          <w:p w14:paraId="1432761B" w14:textId="77777777" w:rsidR="00DF7E2C" w:rsidRPr="006166CC" w:rsidRDefault="00DF7E2C" w:rsidP="00DF7E2C">
            <w:pPr>
              <w:jc w:val="both"/>
              <w:rPr>
                <w:rFonts w:ascii="Times New Roman" w:hAnsi="Times New Roman" w:cs="Times New Roman"/>
                <w:sz w:val="24"/>
                <w:szCs w:val="24"/>
                <w:lang w:val="lv-LV"/>
              </w:rPr>
            </w:pPr>
            <w:r w:rsidRPr="006166CC">
              <w:rPr>
                <w:rFonts w:ascii="Times New Roman" w:hAnsi="Times New Roman" w:cs="Times New Roman"/>
                <w:sz w:val="24"/>
                <w:szCs w:val="24"/>
                <w:lang w:val="lv-LV"/>
              </w:rPr>
              <w:t>AS “Latvijas valsts meži”</w:t>
            </w:r>
          </w:p>
          <w:p w14:paraId="6EE99A96" w14:textId="77777777" w:rsidR="00DF7E2C" w:rsidRPr="006166CC" w:rsidRDefault="00DF7E2C" w:rsidP="00DF7E2C">
            <w:pPr>
              <w:jc w:val="both"/>
              <w:rPr>
                <w:rFonts w:ascii="Times New Roman" w:hAnsi="Times New Roman" w:cs="Times New Roman"/>
                <w:sz w:val="24"/>
                <w:szCs w:val="24"/>
                <w:lang w:val="lv-LV"/>
              </w:rPr>
            </w:pPr>
            <w:r w:rsidRPr="006166CC">
              <w:rPr>
                <w:rFonts w:ascii="Times New Roman" w:hAnsi="Times New Roman" w:cs="Times New Roman"/>
                <w:sz w:val="24"/>
                <w:szCs w:val="24"/>
                <w:lang w:val="lv-LV"/>
              </w:rPr>
              <w:t xml:space="preserve">AS “Latvenergo” </w:t>
            </w:r>
          </w:p>
          <w:p w14:paraId="12DC4FDA" w14:textId="63DD99D2" w:rsidR="00DF7E2C" w:rsidRPr="006166CC" w:rsidRDefault="00DF7E2C" w:rsidP="00DF7E2C">
            <w:pPr>
              <w:jc w:val="both"/>
              <w:rPr>
                <w:rFonts w:ascii="Times New Roman" w:hAnsi="Times New Roman" w:cs="Times New Roman"/>
                <w:sz w:val="24"/>
                <w:szCs w:val="24"/>
                <w:lang w:val="lv-LV"/>
              </w:rPr>
            </w:pPr>
            <w:r w:rsidRPr="006166CC">
              <w:rPr>
                <w:rFonts w:ascii="Times New Roman" w:hAnsi="Times New Roman" w:cs="Times New Roman"/>
                <w:sz w:val="24"/>
                <w:szCs w:val="24"/>
                <w:lang w:val="lv-LV"/>
              </w:rPr>
              <w:t>AS "Sadales tīkls”</w:t>
            </w:r>
          </w:p>
          <w:p w14:paraId="28F00C47" w14:textId="77777777" w:rsidR="00DF7E2C" w:rsidRPr="006166CC" w:rsidRDefault="00DF7E2C" w:rsidP="00DF7E2C">
            <w:pPr>
              <w:pStyle w:val="PlainText"/>
              <w:rPr>
                <w:rFonts w:ascii="Times New Roman" w:hAnsi="Times New Roman"/>
                <w:bCs/>
                <w:sz w:val="24"/>
                <w:szCs w:val="24"/>
                <w:lang w:val="lv-LV"/>
              </w:rPr>
            </w:pPr>
            <w:r w:rsidRPr="006166CC">
              <w:rPr>
                <w:rFonts w:ascii="Times New Roman" w:hAnsi="Times New Roman"/>
                <w:bCs/>
                <w:sz w:val="24"/>
                <w:szCs w:val="24"/>
                <w:lang w:val="lv-LV"/>
              </w:rPr>
              <w:t>VAS “Augstsprieguma tīkls”</w:t>
            </w:r>
          </w:p>
          <w:p w14:paraId="1C13CE78" w14:textId="47630360" w:rsidR="00DF7E2C" w:rsidRPr="006166CC" w:rsidRDefault="00DF7E2C" w:rsidP="00DF7E2C">
            <w:pPr>
              <w:pStyle w:val="PlainText"/>
              <w:rPr>
                <w:rFonts w:ascii="Times New Roman" w:hAnsi="Times New Roman"/>
                <w:bCs/>
                <w:sz w:val="24"/>
                <w:szCs w:val="24"/>
                <w:lang w:val="lv-LV"/>
              </w:rPr>
            </w:pPr>
            <w:r w:rsidRPr="006166CC">
              <w:rPr>
                <w:rFonts w:ascii="Times New Roman" w:hAnsi="Times New Roman"/>
                <w:bCs/>
                <w:sz w:val="24"/>
                <w:szCs w:val="24"/>
                <w:lang w:val="lv-LV"/>
              </w:rPr>
              <w:t>VAS “Valsts nekustamie īpašumi”</w:t>
            </w:r>
          </w:p>
          <w:p w14:paraId="3EE4A0CB" w14:textId="3C855DE8" w:rsidR="00DF7E2C" w:rsidRPr="006166CC" w:rsidRDefault="00DF7E2C" w:rsidP="00DF7E2C">
            <w:pPr>
              <w:pStyle w:val="PlainText"/>
              <w:rPr>
                <w:rFonts w:ascii="Times New Roman" w:hAnsi="Times New Roman"/>
                <w:bCs/>
                <w:sz w:val="24"/>
                <w:szCs w:val="24"/>
                <w:lang w:val="lv-LV"/>
              </w:rPr>
            </w:pPr>
            <w:r w:rsidRPr="006166CC">
              <w:rPr>
                <w:rFonts w:ascii="Times New Roman" w:hAnsi="Times New Roman"/>
                <w:bCs/>
                <w:sz w:val="24"/>
                <w:szCs w:val="24"/>
                <w:lang w:val="lv-LV"/>
              </w:rPr>
              <w:t>VAS “Latvijas Loto”</w:t>
            </w:r>
          </w:p>
          <w:p w14:paraId="63F9655C" w14:textId="77777777" w:rsidR="00DF7E2C" w:rsidRPr="006166CC" w:rsidRDefault="00DF7E2C" w:rsidP="00DF7E2C">
            <w:pPr>
              <w:pStyle w:val="PlainText"/>
              <w:rPr>
                <w:rFonts w:ascii="Times New Roman" w:hAnsi="Times New Roman"/>
                <w:bCs/>
                <w:sz w:val="24"/>
                <w:szCs w:val="24"/>
                <w:lang w:val="lv-LV"/>
              </w:rPr>
            </w:pPr>
            <w:r w:rsidRPr="006166CC">
              <w:rPr>
                <w:rFonts w:ascii="Times New Roman" w:hAnsi="Times New Roman"/>
                <w:bCs/>
                <w:sz w:val="24"/>
                <w:szCs w:val="24"/>
                <w:lang w:val="lv-LV"/>
              </w:rPr>
              <w:t>AS “Pasažieru vilciens”</w:t>
            </w:r>
          </w:p>
          <w:p w14:paraId="71B25D8D" w14:textId="77777777" w:rsidR="00DF7E2C" w:rsidRPr="006166CC" w:rsidRDefault="00DF7E2C" w:rsidP="00DF7E2C">
            <w:pPr>
              <w:pStyle w:val="PlainText"/>
              <w:rPr>
                <w:rFonts w:ascii="Times New Roman" w:hAnsi="Times New Roman"/>
                <w:bCs/>
                <w:sz w:val="24"/>
                <w:szCs w:val="24"/>
                <w:lang w:val="lv-LV"/>
              </w:rPr>
            </w:pPr>
            <w:r w:rsidRPr="006166CC">
              <w:rPr>
                <w:rFonts w:ascii="Times New Roman" w:hAnsi="Times New Roman"/>
                <w:bCs/>
                <w:sz w:val="24"/>
                <w:szCs w:val="24"/>
                <w:lang w:val="lv-LV"/>
              </w:rPr>
              <w:t>AS “Latvijas elektriskie tīkli”</w:t>
            </w:r>
          </w:p>
          <w:p w14:paraId="62BBCFF9" w14:textId="77777777" w:rsidR="00DF7E2C" w:rsidRPr="006166CC" w:rsidRDefault="00DF7E2C" w:rsidP="00DF7E2C">
            <w:pPr>
              <w:pStyle w:val="PlainText"/>
              <w:rPr>
                <w:rFonts w:ascii="Times New Roman" w:hAnsi="Times New Roman"/>
                <w:bCs/>
                <w:sz w:val="24"/>
                <w:szCs w:val="24"/>
                <w:lang w:val="lv-LV"/>
              </w:rPr>
            </w:pPr>
            <w:r w:rsidRPr="006166CC">
              <w:rPr>
                <w:rFonts w:ascii="Times New Roman" w:hAnsi="Times New Roman"/>
                <w:bCs/>
                <w:sz w:val="24"/>
                <w:szCs w:val="24"/>
                <w:lang w:val="lv-LV"/>
              </w:rPr>
              <w:t>SIA “LDZ ritošā sastāva serviss”</w:t>
            </w:r>
          </w:p>
          <w:p w14:paraId="7CC0C1EE" w14:textId="5A267712" w:rsidR="00DF7E2C" w:rsidRPr="006166CC" w:rsidRDefault="00DF7E2C" w:rsidP="00DF7E2C">
            <w:pPr>
              <w:jc w:val="both"/>
              <w:rPr>
                <w:rFonts w:ascii="Times New Roman" w:hAnsi="Times New Roman" w:cs="Times New Roman"/>
                <w:sz w:val="24"/>
                <w:szCs w:val="24"/>
                <w:lang w:val="lv-LV"/>
              </w:rPr>
            </w:pPr>
            <w:r w:rsidRPr="006166CC">
              <w:rPr>
                <w:rFonts w:ascii="Times New Roman" w:hAnsi="Times New Roman" w:cs="Times New Roman"/>
                <w:bCs/>
                <w:sz w:val="24"/>
                <w:szCs w:val="24"/>
                <w:lang w:val="lv-LV"/>
              </w:rPr>
              <w:t>AS “Rīgas siltums”</w:t>
            </w:r>
          </w:p>
        </w:tc>
      </w:tr>
    </w:tbl>
    <w:p w14:paraId="0677C781" w14:textId="5DEEB884" w:rsidR="00DC1F50" w:rsidRPr="006166CC" w:rsidRDefault="00DC1F50" w:rsidP="006E566D">
      <w:pPr>
        <w:pStyle w:val="PlainText"/>
        <w:rPr>
          <w:rFonts w:ascii="Times New Roman" w:hAnsi="Times New Roman"/>
          <w:bCs/>
          <w:sz w:val="24"/>
          <w:szCs w:val="24"/>
          <w:lang w:val="lv-LV"/>
        </w:rPr>
      </w:pPr>
      <w:r w:rsidRPr="006166CC">
        <w:rPr>
          <w:rFonts w:ascii="Times New Roman" w:hAnsi="Times New Roman"/>
          <w:bCs/>
          <w:sz w:val="24"/>
          <w:szCs w:val="24"/>
          <w:lang w:val="lv-LV"/>
        </w:rPr>
        <w:lastRenderedPageBreak/>
        <w:tab/>
      </w:r>
      <w:r w:rsidRPr="006166CC">
        <w:rPr>
          <w:rFonts w:ascii="Times New Roman" w:hAnsi="Times New Roman"/>
          <w:bCs/>
          <w:sz w:val="24"/>
          <w:szCs w:val="24"/>
          <w:lang w:val="lv-LV"/>
        </w:rPr>
        <w:tab/>
      </w:r>
      <w:r w:rsidRPr="006166CC">
        <w:rPr>
          <w:rFonts w:ascii="Times New Roman" w:hAnsi="Times New Roman"/>
          <w:bCs/>
          <w:sz w:val="24"/>
          <w:szCs w:val="24"/>
          <w:lang w:val="lv-LV"/>
        </w:rPr>
        <w:tab/>
      </w:r>
      <w:r w:rsidRPr="006166CC">
        <w:rPr>
          <w:rFonts w:ascii="Times New Roman" w:hAnsi="Times New Roman"/>
          <w:bCs/>
          <w:sz w:val="24"/>
          <w:szCs w:val="24"/>
          <w:lang w:val="lv-LV"/>
        </w:rPr>
        <w:tab/>
      </w:r>
      <w:r w:rsidRPr="006166CC">
        <w:rPr>
          <w:rFonts w:ascii="Times New Roman" w:hAnsi="Times New Roman"/>
          <w:bCs/>
          <w:sz w:val="24"/>
          <w:szCs w:val="24"/>
          <w:lang w:val="lv-LV"/>
        </w:rPr>
        <w:tab/>
      </w:r>
    </w:p>
    <w:p w14:paraId="1512E064" w14:textId="783CCD5E" w:rsidR="00A60141" w:rsidRPr="006166CC" w:rsidRDefault="00FB35F5" w:rsidP="00EA3BA7">
      <w:pPr>
        <w:jc w:val="both"/>
        <w:rPr>
          <w:rFonts w:ascii="Times New Roman" w:hAnsi="Times New Roman" w:cs="Times New Roman"/>
          <w:sz w:val="24"/>
          <w:szCs w:val="24"/>
          <w:lang w:val="lv-LV"/>
        </w:rPr>
      </w:pPr>
      <w:r w:rsidRPr="006166CC">
        <w:rPr>
          <w:rFonts w:ascii="Times New Roman" w:hAnsi="Times New Roman" w:cs="Times New Roman"/>
          <w:sz w:val="24"/>
          <w:szCs w:val="24"/>
          <w:lang w:val="lv-LV"/>
        </w:rPr>
        <w:t>Ņ</w:t>
      </w:r>
      <w:r w:rsidR="002C1EFA" w:rsidRPr="006166CC">
        <w:rPr>
          <w:rFonts w:ascii="Times New Roman" w:hAnsi="Times New Roman" w:cs="Times New Roman"/>
          <w:sz w:val="24"/>
          <w:szCs w:val="24"/>
          <w:lang w:val="lv-LV"/>
        </w:rPr>
        <w:t xml:space="preserve">emot vērā, ka šī brīža tirgus kapitalizācija </w:t>
      </w:r>
      <w:r w:rsidR="00B46DAE" w:rsidRPr="006166CC">
        <w:rPr>
          <w:rFonts w:ascii="Times New Roman" w:hAnsi="Times New Roman" w:cs="Times New Roman"/>
          <w:sz w:val="24"/>
          <w:szCs w:val="24"/>
          <w:lang w:val="lv-LV"/>
        </w:rPr>
        <w:t xml:space="preserve">ir </w:t>
      </w:r>
      <w:r w:rsidR="002C1EFA" w:rsidRPr="006166CC">
        <w:rPr>
          <w:rFonts w:ascii="Times New Roman" w:hAnsi="Times New Roman" w:cs="Times New Roman"/>
          <w:sz w:val="24"/>
          <w:szCs w:val="24"/>
          <w:lang w:val="lv-LV"/>
        </w:rPr>
        <w:t>0.8 miljardi</w:t>
      </w:r>
      <w:r w:rsidR="00B30025" w:rsidRPr="006166CC">
        <w:rPr>
          <w:rFonts w:ascii="Times New Roman" w:hAnsi="Times New Roman" w:cs="Times New Roman"/>
          <w:sz w:val="24"/>
          <w:szCs w:val="24"/>
          <w:lang w:val="lv-LV"/>
        </w:rPr>
        <w:t xml:space="preserve"> eiro</w:t>
      </w:r>
      <w:r w:rsidR="002C1EFA" w:rsidRPr="006166CC">
        <w:rPr>
          <w:rFonts w:ascii="Times New Roman" w:hAnsi="Times New Roman" w:cs="Times New Roman"/>
          <w:sz w:val="24"/>
          <w:szCs w:val="24"/>
          <w:lang w:val="lv-LV"/>
        </w:rPr>
        <w:t xml:space="preserve">, </w:t>
      </w:r>
      <w:r w:rsidR="0053398C" w:rsidRPr="006166CC">
        <w:rPr>
          <w:rFonts w:ascii="Times New Roman" w:hAnsi="Times New Roman" w:cs="Times New Roman"/>
          <w:sz w:val="24"/>
          <w:szCs w:val="24"/>
          <w:lang w:val="lv-LV"/>
        </w:rPr>
        <w:t xml:space="preserve">pastāv iespēja būtiski paaugstināt tirgus kapitalizāciju, </w:t>
      </w:r>
      <w:r w:rsidR="00652BA9" w:rsidRPr="006166CC">
        <w:rPr>
          <w:rFonts w:ascii="Times New Roman" w:hAnsi="Times New Roman" w:cs="Times New Roman"/>
          <w:sz w:val="24"/>
          <w:szCs w:val="24"/>
          <w:lang w:val="lv-LV"/>
        </w:rPr>
        <w:t>biržā iekļauj</w:t>
      </w:r>
      <w:r w:rsidR="0053398C" w:rsidRPr="006166CC">
        <w:rPr>
          <w:rFonts w:ascii="Times New Roman" w:hAnsi="Times New Roman" w:cs="Times New Roman"/>
          <w:sz w:val="24"/>
          <w:szCs w:val="24"/>
          <w:lang w:val="lv-LV"/>
        </w:rPr>
        <w:t>ot</w:t>
      </w:r>
      <w:r w:rsidR="00652BA9" w:rsidRPr="006166CC">
        <w:rPr>
          <w:rFonts w:ascii="Times New Roman" w:hAnsi="Times New Roman" w:cs="Times New Roman"/>
          <w:sz w:val="24"/>
          <w:szCs w:val="24"/>
          <w:lang w:val="lv-LV"/>
        </w:rPr>
        <w:t xml:space="preserve"> </w:t>
      </w:r>
      <w:r w:rsidR="0053398C" w:rsidRPr="006166CC">
        <w:rPr>
          <w:rFonts w:ascii="Times New Roman" w:hAnsi="Times New Roman" w:cs="Times New Roman"/>
          <w:sz w:val="24"/>
          <w:szCs w:val="24"/>
          <w:lang w:val="lv-LV"/>
        </w:rPr>
        <w:t xml:space="preserve">daļu minēto </w:t>
      </w:r>
      <w:r w:rsidR="008C011B" w:rsidRPr="006166CC">
        <w:rPr>
          <w:rFonts w:ascii="Times New Roman" w:hAnsi="Times New Roman" w:cs="Times New Roman"/>
          <w:sz w:val="24"/>
          <w:szCs w:val="24"/>
          <w:lang w:val="lv-LV"/>
        </w:rPr>
        <w:t>kapitālsabiedrīb</w:t>
      </w:r>
      <w:r w:rsidR="0053398C" w:rsidRPr="006166CC">
        <w:rPr>
          <w:rFonts w:ascii="Times New Roman" w:hAnsi="Times New Roman" w:cs="Times New Roman"/>
          <w:sz w:val="24"/>
          <w:szCs w:val="24"/>
          <w:lang w:val="lv-LV"/>
        </w:rPr>
        <w:t xml:space="preserve">u. </w:t>
      </w:r>
      <w:r w:rsidR="002C1EFA" w:rsidRPr="006166CC">
        <w:rPr>
          <w:rFonts w:ascii="Times New Roman" w:hAnsi="Times New Roman" w:cs="Times New Roman"/>
          <w:sz w:val="24"/>
          <w:szCs w:val="24"/>
          <w:lang w:val="lv-LV"/>
        </w:rPr>
        <w:t>Lai sasniegtu iepriekš minēt</w:t>
      </w:r>
      <w:r w:rsidR="00B46DAE" w:rsidRPr="006166CC">
        <w:rPr>
          <w:rFonts w:ascii="Times New Roman" w:hAnsi="Times New Roman" w:cs="Times New Roman"/>
          <w:sz w:val="24"/>
          <w:szCs w:val="24"/>
          <w:lang w:val="lv-LV"/>
        </w:rPr>
        <w:t xml:space="preserve">o ikgadējo IKP </w:t>
      </w:r>
      <w:r w:rsidR="00461047" w:rsidRPr="006166CC">
        <w:rPr>
          <w:rFonts w:ascii="Times New Roman" w:hAnsi="Times New Roman" w:cs="Times New Roman"/>
          <w:sz w:val="24"/>
          <w:szCs w:val="24"/>
          <w:lang w:val="lv-LV"/>
        </w:rPr>
        <w:t xml:space="preserve">uz vienu iedzīvotāju </w:t>
      </w:r>
      <w:r w:rsidR="00B46DAE" w:rsidRPr="006166CC">
        <w:rPr>
          <w:rFonts w:ascii="Times New Roman" w:hAnsi="Times New Roman" w:cs="Times New Roman"/>
          <w:sz w:val="24"/>
          <w:szCs w:val="24"/>
          <w:lang w:val="lv-LV"/>
        </w:rPr>
        <w:t>pieaugumu 1.8% apmērā un papildu nodokļu ienākumus 120 miljonu eiro apmērā ik</w:t>
      </w:r>
      <w:r w:rsidRPr="006166CC">
        <w:rPr>
          <w:rFonts w:ascii="Times New Roman" w:hAnsi="Times New Roman" w:cs="Times New Roman"/>
          <w:sz w:val="24"/>
          <w:szCs w:val="24"/>
          <w:lang w:val="lv-LV"/>
        </w:rPr>
        <w:t xml:space="preserve"> gadu (IKP paliekot nemainīgam)</w:t>
      </w:r>
      <w:r w:rsidR="00B46DAE" w:rsidRPr="006166CC">
        <w:rPr>
          <w:rFonts w:ascii="Times New Roman" w:hAnsi="Times New Roman" w:cs="Times New Roman"/>
          <w:sz w:val="24"/>
          <w:szCs w:val="24"/>
          <w:lang w:val="lv-LV"/>
        </w:rPr>
        <w:t xml:space="preserve"> pietiek, ja biržā </w:t>
      </w:r>
      <w:r w:rsidR="001A7D2F" w:rsidRPr="006166CC">
        <w:rPr>
          <w:rFonts w:ascii="Times New Roman" w:hAnsi="Times New Roman" w:cs="Times New Roman"/>
          <w:sz w:val="24"/>
          <w:szCs w:val="24"/>
          <w:lang w:val="lv-LV"/>
        </w:rPr>
        <w:t>tiktu</w:t>
      </w:r>
      <w:r w:rsidR="00B46DAE" w:rsidRPr="006166CC">
        <w:rPr>
          <w:rFonts w:ascii="Times New Roman" w:hAnsi="Times New Roman" w:cs="Times New Roman"/>
          <w:sz w:val="24"/>
          <w:szCs w:val="24"/>
          <w:lang w:val="lv-LV"/>
        </w:rPr>
        <w:t xml:space="preserve"> </w:t>
      </w:r>
      <w:r w:rsidR="0053398C" w:rsidRPr="006166CC">
        <w:rPr>
          <w:rFonts w:ascii="Times New Roman" w:hAnsi="Times New Roman" w:cs="Times New Roman"/>
          <w:sz w:val="24"/>
          <w:szCs w:val="24"/>
          <w:lang w:val="lv-LV"/>
        </w:rPr>
        <w:t xml:space="preserve">kotēta tikai daļa </w:t>
      </w:r>
      <w:r w:rsidR="008C011B" w:rsidRPr="006166CC">
        <w:rPr>
          <w:rFonts w:ascii="Times New Roman" w:hAnsi="Times New Roman" w:cs="Times New Roman"/>
          <w:sz w:val="24"/>
          <w:szCs w:val="24"/>
          <w:lang w:val="lv-LV"/>
        </w:rPr>
        <w:t>kapitālsabiedrību</w:t>
      </w:r>
      <w:r w:rsidR="00B46DAE" w:rsidRPr="006166CC">
        <w:rPr>
          <w:rFonts w:ascii="Times New Roman" w:hAnsi="Times New Roman" w:cs="Times New Roman"/>
          <w:sz w:val="24"/>
          <w:szCs w:val="24"/>
          <w:lang w:val="lv-LV"/>
        </w:rPr>
        <w:t xml:space="preserve">. </w:t>
      </w:r>
      <w:r w:rsidR="00FA6870" w:rsidRPr="006166CC">
        <w:rPr>
          <w:rFonts w:ascii="Times New Roman" w:hAnsi="Times New Roman" w:cs="Times New Roman"/>
          <w:sz w:val="24"/>
          <w:szCs w:val="24"/>
          <w:lang w:val="lv-LV"/>
        </w:rPr>
        <w:t xml:space="preserve">Vienlaikus jāņem vērā, ka </w:t>
      </w:r>
      <w:r w:rsidR="0033674E" w:rsidRPr="006166CC">
        <w:rPr>
          <w:rFonts w:ascii="Times New Roman" w:hAnsi="Times New Roman" w:cs="Times New Roman"/>
          <w:sz w:val="24"/>
          <w:szCs w:val="24"/>
          <w:lang w:val="lv-LV"/>
        </w:rPr>
        <w:t xml:space="preserve">vairākām </w:t>
      </w:r>
      <w:r w:rsidR="00175619" w:rsidRPr="006166CC">
        <w:rPr>
          <w:rFonts w:ascii="Times New Roman" w:hAnsi="Times New Roman" w:cs="Times New Roman"/>
          <w:sz w:val="24"/>
          <w:szCs w:val="24"/>
          <w:lang w:val="lv-LV"/>
        </w:rPr>
        <w:t>kapitālsabiedrīb</w:t>
      </w:r>
      <w:r w:rsidR="0033674E" w:rsidRPr="006166CC">
        <w:rPr>
          <w:rFonts w:ascii="Times New Roman" w:hAnsi="Times New Roman" w:cs="Times New Roman"/>
          <w:sz w:val="24"/>
          <w:szCs w:val="24"/>
          <w:lang w:val="lv-LV"/>
        </w:rPr>
        <w:t>ām</w:t>
      </w:r>
      <w:r w:rsidR="00175619" w:rsidRPr="006166CC">
        <w:rPr>
          <w:rFonts w:ascii="Times New Roman" w:hAnsi="Times New Roman" w:cs="Times New Roman"/>
          <w:sz w:val="24"/>
          <w:szCs w:val="24"/>
          <w:lang w:val="lv-LV"/>
        </w:rPr>
        <w:t xml:space="preserve"> </w:t>
      </w:r>
      <w:r w:rsidR="00FA6870" w:rsidRPr="006166CC">
        <w:rPr>
          <w:rFonts w:ascii="Times New Roman" w:hAnsi="Times New Roman" w:cs="Times New Roman"/>
          <w:sz w:val="24"/>
          <w:szCs w:val="24"/>
          <w:lang w:val="lv-LV"/>
        </w:rPr>
        <w:t>akciju atsavināšana iespējama tikai tajā gadījumā, ja tiek veikti atbilstoši grozījumi Valsts un pašvaldību īpašuma privatizācijas un privatizācijas sertifikātu izmantošanas pabeigšanas likuma</w:t>
      </w:r>
      <w:r w:rsidR="00FA6870" w:rsidRPr="006166CC">
        <w:rPr>
          <w:rFonts w:ascii="Times New Roman" w:hAnsi="Times New Roman" w:cs="Times New Roman"/>
          <w:sz w:val="24"/>
          <w:szCs w:val="24"/>
          <w:vertAlign w:val="superscript"/>
        </w:rPr>
        <w:footnoteReference w:id="28"/>
      </w:r>
      <w:r w:rsidR="00FA6870" w:rsidRPr="006166CC">
        <w:rPr>
          <w:rFonts w:ascii="Times New Roman" w:hAnsi="Times New Roman" w:cs="Times New Roman"/>
          <w:sz w:val="24"/>
          <w:szCs w:val="24"/>
          <w:lang w:val="lv-LV"/>
        </w:rPr>
        <w:t xml:space="preserve"> 17.pantā</w:t>
      </w:r>
      <w:r w:rsidR="00711D2B" w:rsidRPr="006166CC">
        <w:rPr>
          <w:rFonts w:ascii="Times New Roman" w:hAnsi="Times New Roman" w:cs="Times New Roman"/>
          <w:sz w:val="24"/>
          <w:szCs w:val="24"/>
          <w:lang w:val="lv-LV"/>
        </w:rPr>
        <w:t>, bet obligāciju emisijai jau pašlaik nav nekādu šķēršļu no normatīvo aktu viedokļa</w:t>
      </w:r>
      <w:r w:rsidR="00FA6870" w:rsidRPr="006166CC">
        <w:rPr>
          <w:rFonts w:ascii="Times New Roman" w:hAnsi="Times New Roman" w:cs="Times New Roman"/>
          <w:sz w:val="24"/>
          <w:szCs w:val="24"/>
          <w:lang w:val="lv-LV"/>
        </w:rPr>
        <w:t>.</w:t>
      </w:r>
    </w:p>
    <w:p w14:paraId="10372815" w14:textId="28E024BF" w:rsidR="00B232D3" w:rsidRPr="006166CC" w:rsidRDefault="002B6A8E" w:rsidP="00EA3BA7">
      <w:pPr>
        <w:jc w:val="both"/>
        <w:rPr>
          <w:rFonts w:ascii="Times New Roman" w:hAnsi="Times New Roman" w:cs="Times New Roman"/>
          <w:sz w:val="24"/>
          <w:szCs w:val="24"/>
          <w:lang w:val="lv-LV"/>
        </w:rPr>
      </w:pPr>
      <w:r w:rsidRPr="006166CC">
        <w:rPr>
          <w:rFonts w:ascii="Times New Roman" w:hAnsi="Times New Roman" w:cs="Times New Roman"/>
          <w:sz w:val="24"/>
          <w:szCs w:val="24"/>
          <w:lang w:val="lv-LV"/>
        </w:rPr>
        <w:t>Piemēram,</w:t>
      </w:r>
      <w:r w:rsidR="00B46DAE" w:rsidRPr="006166CC">
        <w:rPr>
          <w:rFonts w:ascii="Times New Roman" w:hAnsi="Times New Roman" w:cs="Times New Roman"/>
          <w:sz w:val="24"/>
          <w:szCs w:val="24"/>
          <w:lang w:val="lv-LV"/>
        </w:rPr>
        <w:t xml:space="preserve"> </w:t>
      </w:r>
      <w:r w:rsidR="00B30025" w:rsidRPr="006166CC">
        <w:rPr>
          <w:rFonts w:ascii="Times New Roman" w:hAnsi="Times New Roman" w:cs="Times New Roman"/>
          <w:sz w:val="24"/>
          <w:szCs w:val="24"/>
          <w:lang w:val="lv-LV"/>
        </w:rPr>
        <w:t>AS “</w:t>
      </w:r>
      <w:r w:rsidR="00B46DAE" w:rsidRPr="006166CC">
        <w:rPr>
          <w:rFonts w:ascii="Times New Roman" w:hAnsi="Times New Roman" w:cs="Times New Roman"/>
          <w:sz w:val="24"/>
          <w:szCs w:val="24"/>
          <w:lang w:val="lv-LV"/>
        </w:rPr>
        <w:t>Latvenergo</w:t>
      </w:r>
      <w:r w:rsidR="00B30025" w:rsidRPr="006166CC">
        <w:rPr>
          <w:rFonts w:ascii="Times New Roman" w:hAnsi="Times New Roman" w:cs="Times New Roman"/>
          <w:sz w:val="24"/>
          <w:szCs w:val="24"/>
          <w:lang w:val="lv-LV"/>
        </w:rPr>
        <w:t>”</w:t>
      </w:r>
      <w:r w:rsidR="008C3F81" w:rsidRPr="006166CC">
        <w:rPr>
          <w:rFonts w:ascii="Times New Roman" w:hAnsi="Times New Roman" w:cs="Times New Roman"/>
          <w:sz w:val="24"/>
          <w:szCs w:val="24"/>
          <w:lang w:val="lv-LV"/>
        </w:rPr>
        <w:t xml:space="preserve"> koncerna</w:t>
      </w:r>
      <w:r w:rsidR="00B46DAE" w:rsidRPr="006166CC">
        <w:rPr>
          <w:rFonts w:ascii="Times New Roman" w:hAnsi="Times New Roman" w:cs="Times New Roman"/>
          <w:sz w:val="24"/>
          <w:szCs w:val="24"/>
          <w:lang w:val="lv-LV"/>
        </w:rPr>
        <w:t xml:space="preserve"> aplēstā tirgus vērtībā ir 1.3 miljardi</w:t>
      </w:r>
      <w:r w:rsidR="00C0088E" w:rsidRPr="006166CC">
        <w:rPr>
          <w:rFonts w:ascii="Times New Roman" w:hAnsi="Times New Roman" w:cs="Times New Roman"/>
          <w:sz w:val="24"/>
          <w:szCs w:val="24"/>
          <w:lang w:val="lv-LV"/>
        </w:rPr>
        <w:t xml:space="preserve"> eiro</w:t>
      </w:r>
      <w:r w:rsidR="00B46DAE" w:rsidRPr="006166CC">
        <w:rPr>
          <w:rFonts w:ascii="Times New Roman" w:hAnsi="Times New Roman" w:cs="Times New Roman"/>
          <w:sz w:val="24"/>
          <w:szCs w:val="24"/>
          <w:lang w:val="lv-LV"/>
        </w:rPr>
        <w:t xml:space="preserve">. </w:t>
      </w:r>
      <w:r w:rsidR="00A60141" w:rsidRPr="006166CC">
        <w:rPr>
          <w:rFonts w:ascii="Times New Roman" w:hAnsi="Times New Roman" w:cs="Times New Roman"/>
          <w:sz w:val="24"/>
          <w:szCs w:val="24"/>
          <w:lang w:val="lv-LV"/>
        </w:rPr>
        <w:t>Tas ir iespaidīgi, ja salīdzin</w:t>
      </w:r>
      <w:r w:rsidR="00B30025" w:rsidRPr="006166CC">
        <w:rPr>
          <w:rFonts w:ascii="Times New Roman" w:hAnsi="Times New Roman" w:cs="Times New Roman"/>
          <w:sz w:val="24"/>
          <w:szCs w:val="24"/>
          <w:lang w:val="lv-LV"/>
        </w:rPr>
        <w:t>a</w:t>
      </w:r>
      <w:r w:rsidR="00B46DAE" w:rsidRPr="006166CC">
        <w:rPr>
          <w:rFonts w:ascii="Times New Roman" w:hAnsi="Times New Roman" w:cs="Times New Roman"/>
          <w:sz w:val="24"/>
          <w:szCs w:val="24"/>
          <w:lang w:val="lv-LV"/>
        </w:rPr>
        <w:t xml:space="preserve"> ar privātā sektora uzņēmumiem</w:t>
      </w:r>
      <w:r w:rsidR="00A60141" w:rsidRPr="006166CC">
        <w:rPr>
          <w:rFonts w:ascii="Times New Roman" w:hAnsi="Times New Roman" w:cs="Times New Roman"/>
          <w:sz w:val="24"/>
          <w:szCs w:val="24"/>
          <w:lang w:val="lv-LV"/>
        </w:rPr>
        <w:t>, kuri šogad plāno uzsākt akciju kotāciju biržā</w:t>
      </w:r>
      <w:r w:rsidR="00B46DAE" w:rsidRPr="006166CC">
        <w:rPr>
          <w:rFonts w:ascii="Times New Roman" w:hAnsi="Times New Roman" w:cs="Times New Roman"/>
          <w:sz w:val="24"/>
          <w:szCs w:val="24"/>
          <w:lang w:val="lv-LV"/>
        </w:rPr>
        <w:t xml:space="preserve">. </w:t>
      </w:r>
    </w:p>
    <w:p w14:paraId="06F8FC53" w14:textId="362A8C84" w:rsidR="00BD0FCB" w:rsidRPr="006166CC" w:rsidRDefault="00B30025" w:rsidP="00EA3BA7">
      <w:pPr>
        <w:jc w:val="both"/>
        <w:rPr>
          <w:rFonts w:ascii="Times New Roman" w:hAnsi="Times New Roman" w:cs="Times New Roman"/>
          <w:sz w:val="24"/>
          <w:szCs w:val="24"/>
          <w:lang w:val="lv-LV"/>
        </w:rPr>
      </w:pPr>
      <w:r w:rsidRPr="006166CC">
        <w:rPr>
          <w:rFonts w:ascii="Times New Roman" w:hAnsi="Times New Roman" w:cs="Times New Roman"/>
          <w:b/>
          <w:sz w:val="24"/>
          <w:szCs w:val="24"/>
          <w:lang w:val="lv-LV"/>
        </w:rPr>
        <w:t>AS “</w:t>
      </w:r>
      <w:r w:rsidR="00166EE8" w:rsidRPr="006166CC">
        <w:rPr>
          <w:rFonts w:ascii="Times New Roman" w:hAnsi="Times New Roman" w:cs="Times New Roman"/>
          <w:b/>
          <w:sz w:val="24"/>
          <w:szCs w:val="24"/>
          <w:lang w:val="lv-LV"/>
        </w:rPr>
        <w:t>Latvenergo</w:t>
      </w:r>
      <w:r w:rsidRPr="006166CC">
        <w:rPr>
          <w:rFonts w:ascii="Times New Roman" w:hAnsi="Times New Roman" w:cs="Times New Roman"/>
          <w:b/>
          <w:sz w:val="24"/>
          <w:szCs w:val="24"/>
          <w:lang w:val="lv-LV"/>
        </w:rPr>
        <w:t>”</w:t>
      </w:r>
      <w:r w:rsidR="00EF6A76" w:rsidRPr="006166CC">
        <w:rPr>
          <w:rFonts w:ascii="Times New Roman" w:hAnsi="Times New Roman" w:cs="Times New Roman"/>
          <w:sz w:val="24"/>
          <w:szCs w:val="24"/>
          <w:lang w:val="lv-LV"/>
        </w:rPr>
        <w:t>, kas šobrīd pārvalda trešdaļu no kopējā Baltijas elektroenerģijas tirgus</w:t>
      </w:r>
      <w:r w:rsidR="00EF6A76" w:rsidRPr="006166CC">
        <w:rPr>
          <w:rStyle w:val="FootnoteReference"/>
          <w:rFonts w:ascii="Times New Roman" w:hAnsi="Times New Roman" w:cs="Times New Roman"/>
          <w:sz w:val="24"/>
          <w:szCs w:val="24"/>
          <w:lang w:val="lv-LV"/>
        </w:rPr>
        <w:footnoteReference w:id="29"/>
      </w:r>
      <w:r w:rsidR="005271E3" w:rsidRPr="006166CC">
        <w:rPr>
          <w:rFonts w:ascii="Times New Roman" w:hAnsi="Times New Roman" w:cs="Times New Roman"/>
          <w:sz w:val="24"/>
          <w:szCs w:val="24"/>
          <w:lang w:val="lv-LV"/>
        </w:rPr>
        <w:t>,</w:t>
      </w:r>
      <w:r w:rsidR="00166EE8" w:rsidRPr="006166CC">
        <w:rPr>
          <w:rFonts w:ascii="Times New Roman" w:hAnsi="Times New Roman" w:cs="Times New Roman"/>
          <w:sz w:val="24"/>
          <w:szCs w:val="24"/>
          <w:lang w:val="lv-LV"/>
        </w:rPr>
        <w:t xml:space="preserve"> ir veiksmīgi emitējis parāda vēr</w:t>
      </w:r>
      <w:r w:rsidR="00FB35F5" w:rsidRPr="006166CC">
        <w:rPr>
          <w:rFonts w:ascii="Times New Roman" w:hAnsi="Times New Roman" w:cs="Times New Roman"/>
          <w:sz w:val="24"/>
          <w:szCs w:val="24"/>
          <w:lang w:val="lv-LV"/>
        </w:rPr>
        <w:t>tspapīrus starptautiskajā tirgū. T</w:t>
      </w:r>
      <w:r w:rsidR="00166EE8" w:rsidRPr="006166CC">
        <w:rPr>
          <w:rFonts w:ascii="Times New Roman" w:hAnsi="Times New Roman" w:cs="Times New Roman"/>
          <w:sz w:val="24"/>
          <w:szCs w:val="24"/>
          <w:lang w:val="lv-LV"/>
        </w:rPr>
        <w:t xml:space="preserve">as nozīmē, ka </w:t>
      </w:r>
      <w:r w:rsidR="008C011B" w:rsidRPr="006166CC">
        <w:rPr>
          <w:rFonts w:ascii="Times New Roman" w:hAnsi="Times New Roman" w:cs="Times New Roman"/>
          <w:sz w:val="24"/>
          <w:szCs w:val="24"/>
          <w:lang w:val="lv-LV"/>
        </w:rPr>
        <w:t xml:space="preserve">kapitālsabiedrībai </w:t>
      </w:r>
      <w:r w:rsidR="00A92A39" w:rsidRPr="006166CC">
        <w:rPr>
          <w:rFonts w:ascii="Times New Roman" w:hAnsi="Times New Roman" w:cs="Times New Roman"/>
          <w:sz w:val="24"/>
          <w:szCs w:val="24"/>
          <w:lang w:val="lv-LV"/>
        </w:rPr>
        <w:t>jau ir pieredze kapitāla tirgū un</w:t>
      </w:r>
      <w:r w:rsidR="00166EE8" w:rsidRPr="006166CC">
        <w:rPr>
          <w:rFonts w:ascii="Times New Roman" w:hAnsi="Times New Roman" w:cs="Times New Roman"/>
          <w:sz w:val="24"/>
          <w:szCs w:val="24"/>
          <w:lang w:val="lv-LV"/>
        </w:rPr>
        <w:t xml:space="preserve"> tas ir sakārtots </w:t>
      </w:r>
      <w:r w:rsidR="00A92A39" w:rsidRPr="006166CC">
        <w:rPr>
          <w:rFonts w:ascii="Times New Roman" w:hAnsi="Times New Roman" w:cs="Times New Roman"/>
          <w:sz w:val="24"/>
          <w:szCs w:val="24"/>
          <w:lang w:val="lv-LV"/>
        </w:rPr>
        <w:t>–</w:t>
      </w:r>
      <w:r w:rsidR="00166EE8" w:rsidRPr="006166CC">
        <w:rPr>
          <w:rFonts w:ascii="Times New Roman" w:hAnsi="Times New Roman" w:cs="Times New Roman"/>
          <w:sz w:val="24"/>
          <w:szCs w:val="24"/>
          <w:lang w:val="lv-LV"/>
        </w:rPr>
        <w:t xml:space="preserve"> </w:t>
      </w:r>
      <w:r w:rsidR="00A92A39" w:rsidRPr="006166CC">
        <w:rPr>
          <w:rFonts w:ascii="Times New Roman" w:hAnsi="Times New Roman" w:cs="Times New Roman"/>
          <w:sz w:val="24"/>
          <w:szCs w:val="24"/>
          <w:lang w:val="lv-LV"/>
        </w:rPr>
        <w:t>ar labu korporatīvo pārvaldību, caurspīdīgumu</w:t>
      </w:r>
      <w:r w:rsidR="00166EE8" w:rsidRPr="006166CC">
        <w:rPr>
          <w:rFonts w:ascii="Times New Roman" w:hAnsi="Times New Roman" w:cs="Times New Roman"/>
          <w:sz w:val="24"/>
          <w:szCs w:val="24"/>
          <w:lang w:val="lv-LV"/>
        </w:rPr>
        <w:t xml:space="preserve">, </w:t>
      </w:r>
      <w:r w:rsidRPr="006166CC">
        <w:rPr>
          <w:rFonts w:ascii="Times New Roman" w:hAnsi="Times New Roman" w:cs="Times New Roman"/>
          <w:sz w:val="24"/>
          <w:szCs w:val="24"/>
          <w:lang w:val="lv-LV"/>
        </w:rPr>
        <w:t>Starptautisko finanšu pārskatu standartu (</w:t>
      </w:r>
      <w:r w:rsidR="00A92A39" w:rsidRPr="006166CC">
        <w:rPr>
          <w:rFonts w:ascii="Times New Roman" w:hAnsi="Times New Roman" w:cs="Times New Roman"/>
          <w:sz w:val="24"/>
          <w:szCs w:val="24"/>
          <w:lang w:val="lv-LV"/>
        </w:rPr>
        <w:t>IFRS</w:t>
      </w:r>
      <w:r w:rsidRPr="006166CC">
        <w:rPr>
          <w:rFonts w:ascii="Times New Roman" w:hAnsi="Times New Roman" w:cs="Times New Roman"/>
          <w:sz w:val="24"/>
          <w:szCs w:val="24"/>
          <w:lang w:val="lv-LV"/>
        </w:rPr>
        <w:t>)</w:t>
      </w:r>
      <w:r w:rsidR="00A92A39" w:rsidRPr="006166CC">
        <w:rPr>
          <w:rFonts w:ascii="Times New Roman" w:hAnsi="Times New Roman" w:cs="Times New Roman"/>
          <w:sz w:val="24"/>
          <w:szCs w:val="24"/>
          <w:lang w:val="lv-LV"/>
        </w:rPr>
        <w:t xml:space="preserve"> lietošanu</w:t>
      </w:r>
      <w:r w:rsidR="00166EE8" w:rsidRPr="006166CC">
        <w:rPr>
          <w:rFonts w:ascii="Times New Roman" w:hAnsi="Times New Roman" w:cs="Times New Roman"/>
          <w:sz w:val="24"/>
          <w:szCs w:val="24"/>
          <w:lang w:val="lv-LV"/>
        </w:rPr>
        <w:t xml:space="preserve"> utt. </w:t>
      </w:r>
      <w:r w:rsidRPr="006166CC">
        <w:rPr>
          <w:rFonts w:ascii="Times New Roman" w:hAnsi="Times New Roman" w:cs="Times New Roman"/>
          <w:sz w:val="24"/>
          <w:szCs w:val="24"/>
          <w:lang w:val="lv-LV"/>
        </w:rPr>
        <w:t>AS “</w:t>
      </w:r>
      <w:r w:rsidR="000728D4" w:rsidRPr="006166CC">
        <w:rPr>
          <w:rFonts w:ascii="Times New Roman" w:hAnsi="Times New Roman" w:cs="Times New Roman"/>
          <w:sz w:val="24"/>
          <w:szCs w:val="24"/>
          <w:lang w:val="lv-LV"/>
        </w:rPr>
        <w:t>Latvenergo</w:t>
      </w:r>
      <w:r w:rsidRPr="006166CC">
        <w:rPr>
          <w:rFonts w:ascii="Times New Roman" w:hAnsi="Times New Roman" w:cs="Times New Roman"/>
          <w:sz w:val="24"/>
          <w:szCs w:val="24"/>
          <w:lang w:val="lv-LV"/>
        </w:rPr>
        <w:t>”</w:t>
      </w:r>
      <w:r w:rsidR="000728D4" w:rsidRPr="006166CC">
        <w:rPr>
          <w:rFonts w:ascii="Times New Roman" w:hAnsi="Times New Roman" w:cs="Times New Roman"/>
          <w:sz w:val="24"/>
          <w:szCs w:val="24"/>
          <w:lang w:val="lv-LV"/>
        </w:rPr>
        <w:t xml:space="preserve"> ir valsts </w:t>
      </w:r>
      <w:r w:rsidR="008C011B" w:rsidRPr="006166CC">
        <w:rPr>
          <w:rFonts w:ascii="Times New Roman" w:hAnsi="Times New Roman" w:cs="Times New Roman"/>
          <w:sz w:val="24"/>
          <w:szCs w:val="24"/>
          <w:lang w:val="lv-LV"/>
        </w:rPr>
        <w:t>kapitālsabiedrība</w:t>
      </w:r>
      <w:r w:rsidR="000728D4" w:rsidRPr="006166CC">
        <w:rPr>
          <w:rFonts w:ascii="Times New Roman" w:hAnsi="Times New Roman" w:cs="Times New Roman"/>
          <w:sz w:val="24"/>
          <w:szCs w:val="24"/>
          <w:lang w:val="lv-LV"/>
        </w:rPr>
        <w:t>, k</w:t>
      </w:r>
      <w:r w:rsidR="003526C4" w:rsidRPr="006166CC">
        <w:rPr>
          <w:rFonts w:ascii="Times New Roman" w:hAnsi="Times New Roman" w:cs="Times New Roman"/>
          <w:sz w:val="24"/>
          <w:szCs w:val="24"/>
          <w:lang w:val="lv-LV"/>
        </w:rPr>
        <w:t xml:space="preserve">as </w:t>
      </w:r>
      <w:r w:rsidR="000728D4" w:rsidRPr="006166CC">
        <w:rPr>
          <w:rFonts w:ascii="Times New Roman" w:hAnsi="Times New Roman" w:cs="Times New Roman"/>
          <w:sz w:val="24"/>
          <w:szCs w:val="24"/>
          <w:lang w:val="lv-LV"/>
        </w:rPr>
        <w:t>ir saņēm</w:t>
      </w:r>
      <w:r w:rsidR="00B44935" w:rsidRPr="006166CC">
        <w:rPr>
          <w:rFonts w:ascii="Times New Roman" w:hAnsi="Times New Roman" w:cs="Times New Roman"/>
          <w:sz w:val="24"/>
          <w:szCs w:val="24"/>
          <w:lang w:val="lv-LV"/>
        </w:rPr>
        <w:t>usi</w:t>
      </w:r>
      <w:r w:rsidR="000728D4" w:rsidRPr="006166CC">
        <w:rPr>
          <w:rFonts w:ascii="Times New Roman" w:hAnsi="Times New Roman" w:cs="Times New Roman"/>
          <w:sz w:val="24"/>
          <w:szCs w:val="24"/>
          <w:lang w:val="lv-LV"/>
        </w:rPr>
        <w:t xml:space="preserve"> starptautiskas kredītreitingu aģentūras vērtējumu. Moody’s aģentūra ir novērtējusi Latvenergo investīciju pakāpes kredītreitingu kā Baa2/stabils</w:t>
      </w:r>
      <w:r w:rsidR="009C5AFF" w:rsidRPr="006166CC">
        <w:rPr>
          <w:rFonts w:ascii="Times New Roman" w:hAnsi="Times New Roman" w:cs="Times New Roman"/>
          <w:sz w:val="24"/>
          <w:szCs w:val="24"/>
          <w:lang w:val="lv-LV"/>
        </w:rPr>
        <w:t>, turklāt</w:t>
      </w:r>
      <w:r w:rsidR="00BD76CA" w:rsidRPr="006166CC">
        <w:rPr>
          <w:rFonts w:ascii="Times New Roman" w:hAnsi="Times New Roman" w:cs="Times New Roman"/>
          <w:sz w:val="24"/>
          <w:szCs w:val="24"/>
          <w:lang w:val="lv-LV"/>
        </w:rPr>
        <w:t xml:space="preserve"> Latvenergo zaļo jeb vides projektu obligāciju emisijai tika piešķirts augstākais vērtējums</w:t>
      </w:r>
      <w:r w:rsidR="000728D4" w:rsidRPr="006166CC">
        <w:rPr>
          <w:rFonts w:ascii="Times New Roman" w:hAnsi="Times New Roman" w:cs="Times New Roman"/>
          <w:sz w:val="24"/>
          <w:szCs w:val="24"/>
          <w:lang w:val="lv-LV"/>
        </w:rPr>
        <w:t>.</w:t>
      </w:r>
      <w:r w:rsidR="000728D4" w:rsidRPr="006166CC">
        <w:rPr>
          <w:rStyle w:val="FootnoteReference"/>
          <w:rFonts w:ascii="Times New Roman" w:hAnsi="Times New Roman" w:cs="Times New Roman"/>
          <w:sz w:val="24"/>
          <w:szCs w:val="24"/>
          <w:lang w:val="lv-LV"/>
        </w:rPr>
        <w:footnoteReference w:id="30"/>
      </w:r>
      <w:r w:rsidR="000728D4" w:rsidRPr="006166CC">
        <w:rPr>
          <w:rFonts w:ascii="Times New Roman" w:hAnsi="Times New Roman" w:cs="Times New Roman"/>
          <w:sz w:val="24"/>
          <w:szCs w:val="24"/>
          <w:lang w:val="lv-LV"/>
        </w:rPr>
        <w:t xml:space="preserve"> </w:t>
      </w:r>
      <w:r w:rsidR="005103E1" w:rsidRPr="006166CC">
        <w:rPr>
          <w:rFonts w:ascii="Times New Roman" w:hAnsi="Times New Roman" w:cs="Times New Roman"/>
          <w:sz w:val="24"/>
          <w:szCs w:val="24"/>
          <w:lang w:val="lv-LV"/>
        </w:rPr>
        <w:t xml:space="preserve">Ieguvumi no reitinga iegūšanas ir, piemēram, ievērojami lielākas kapitāla piesaistes iespējas, investoru diversifikācija, kvalitātes zīme kā labam ieguldījumam. Reitings ir kā atskaites punkts </w:t>
      </w:r>
      <w:r w:rsidR="005B76DB" w:rsidRPr="006166CC">
        <w:rPr>
          <w:rFonts w:ascii="Times New Roman" w:hAnsi="Times New Roman" w:cs="Times New Roman"/>
          <w:sz w:val="24"/>
          <w:szCs w:val="24"/>
          <w:lang w:val="lv-LV"/>
        </w:rPr>
        <w:t xml:space="preserve">turpmākai </w:t>
      </w:r>
      <w:r w:rsidR="005103E1" w:rsidRPr="006166CC">
        <w:rPr>
          <w:rFonts w:ascii="Times New Roman" w:hAnsi="Times New Roman" w:cs="Times New Roman"/>
          <w:sz w:val="24"/>
          <w:szCs w:val="24"/>
          <w:lang w:val="lv-LV"/>
        </w:rPr>
        <w:t xml:space="preserve">vērtspapīru tirgus cenas noteikšanai. </w:t>
      </w:r>
    </w:p>
    <w:p w14:paraId="18F4AB6F" w14:textId="77777777" w:rsidR="009B20B3" w:rsidRPr="006166CC" w:rsidRDefault="00B30025" w:rsidP="00EA3BA7">
      <w:pPr>
        <w:jc w:val="both"/>
        <w:rPr>
          <w:rFonts w:ascii="Times New Roman" w:hAnsi="Times New Roman" w:cs="Times New Roman"/>
          <w:bCs/>
          <w:sz w:val="24"/>
          <w:szCs w:val="24"/>
          <w:lang w:val="lv-LV"/>
        </w:rPr>
      </w:pPr>
      <w:r w:rsidRPr="006166CC">
        <w:rPr>
          <w:rFonts w:ascii="Times New Roman" w:hAnsi="Times New Roman" w:cs="Times New Roman"/>
          <w:sz w:val="24"/>
          <w:szCs w:val="24"/>
          <w:lang w:val="lv-LV"/>
        </w:rPr>
        <w:lastRenderedPageBreak/>
        <w:t>AS “</w:t>
      </w:r>
      <w:r w:rsidR="00E46280" w:rsidRPr="006166CC">
        <w:rPr>
          <w:rFonts w:ascii="Times New Roman" w:hAnsi="Times New Roman" w:cs="Times New Roman"/>
          <w:sz w:val="24"/>
          <w:szCs w:val="24"/>
          <w:lang w:val="lv-LV"/>
        </w:rPr>
        <w:t>Latvenergo</w:t>
      </w:r>
      <w:r w:rsidRPr="006166CC">
        <w:rPr>
          <w:rFonts w:ascii="Times New Roman" w:hAnsi="Times New Roman" w:cs="Times New Roman"/>
          <w:sz w:val="24"/>
          <w:szCs w:val="24"/>
          <w:lang w:val="lv-LV"/>
        </w:rPr>
        <w:t>”</w:t>
      </w:r>
      <w:r w:rsidR="00E46280" w:rsidRPr="006166CC">
        <w:rPr>
          <w:rFonts w:ascii="Times New Roman" w:hAnsi="Times New Roman" w:cs="Times New Roman"/>
          <w:sz w:val="24"/>
          <w:szCs w:val="24"/>
          <w:lang w:val="lv-LV"/>
        </w:rPr>
        <w:t xml:space="preserve"> līdzīgs ir Dānijas</w:t>
      </w:r>
      <w:r w:rsidR="00873348" w:rsidRPr="006166CC">
        <w:rPr>
          <w:rFonts w:ascii="Times New Roman" w:hAnsi="Times New Roman" w:cs="Times New Roman"/>
          <w:sz w:val="24"/>
          <w:szCs w:val="24"/>
          <w:lang w:val="lv-LV"/>
        </w:rPr>
        <w:t xml:space="preserve"> enerģētikas uzņēmums</w:t>
      </w:r>
      <w:r w:rsidR="00E46280" w:rsidRPr="006166CC">
        <w:rPr>
          <w:rFonts w:ascii="Times New Roman" w:hAnsi="Times New Roman" w:cs="Times New Roman"/>
          <w:sz w:val="24"/>
          <w:szCs w:val="24"/>
          <w:lang w:val="lv-LV"/>
        </w:rPr>
        <w:t xml:space="preserve"> DONG Energy, </w:t>
      </w:r>
      <w:r w:rsidR="00FB35F5" w:rsidRPr="006166CC">
        <w:rPr>
          <w:rFonts w:ascii="Times New Roman" w:hAnsi="Times New Roman" w:cs="Times New Roman"/>
          <w:sz w:val="24"/>
          <w:szCs w:val="24"/>
          <w:lang w:val="lv-LV"/>
        </w:rPr>
        <w:t>kura</w:t>
      </w:r>
      <w:r w:rsidR="00E46280" w:rsidRPr="006166CC">
        <w:rPr>
          <w:rFonts w:ascii="Times New Roman" w:hAnsi="Times New Roman" w:cs="Times New Roman"/>
          <w:sz w:val="24"/>
          <w:szCs w:val="24"/>
          <w:lang w:val="lv-LV"/>
        </w:rPr>
        <w:t xml:space="preserve"> akcijas pērn tika iekļautas Nasdaq Kopenhāgenas biržā.</w:t>
      </w:r>
      <w:r w:rsidR="00E46280" w:rsidRPr="006166CC">
        <w:rPr>
          <w:rStyle w:val="FootnoteReference"/>
          <w:rFonts w:ascii="Times New Roman" w:hAnsi="Times New Roman" w:cs="Times New Roman"/>
          <w:sz w:val="24"/>
          <w:szCs w:val="24"/>
          <w:lang w:val="lv-LV"/>
        </w:rPr>
        <w:footnoteReference w:id="31"/>
      </w:r>
      <w:r w:rsidR="00E46280" w:rsidRPr="006166CC">
        <w:rPr>
          <w:rStyle w:val="Heading2Char"/>
          <w:rFonts w:ascii="Times New Roman" w:hAnsi="Times New Roman" w:cs="Times New Roman"/>
          <w:sz w:val="24"/>
          <w:szCs w:val="24"/>
          <w:lang w:val="lv-LV"/>
        </w:rPr>
        <w:t xml:space="preserve"> </w:t>
      </w:r>
      <w:r w:rsidR="00E46280" w:rsidRPr="006166CC">
        <w:rPr>
          <w:rFonts w:ascii="Times New Roman" w:hAnsi="Times New Roman" w:cs="Times New Roman"/>
          <w:bCs/>
          <w:sz w:val="24"/>
          <w:szCs w:val="24"/>
          <w:lang w:val="lv-LV"/>
        </w:rPr>
        <w:t>Pēc kapitalizācijas tas bija lielākais uzņēmums, kas iekļauts tirdzniecībai Ziemeļvalstu biržās kopš 2000. gada.</w:t>
      </w:r>
      <w:r w:rsidR="00E46280" w:rsidRPr="006166CC">
        <w:rPr>
          <w:rStyle w:val="FootnoteReference"/>
          <w:rFonts w:ascii="Times New Roman" w:hAnsi="Times New Roman" w:cs="Times New Roman"/>
          <w:sz w:val="24"/>
          <w:szCs w:val="24"/>
          <w:lang w:val="lv-LV"/>
        </w:rPr>
        <w:footnoteReference w:id="32"/>
      </w:r>
      <w:r w:rsidR="00873348" w:rsidRPr="006166CC">
        <w:rPr>
          <w:rStyle w:val="Heading2Char"/>
          <w:rFonts w:ascii="Times New Roman" w:hAnsi="Times New Roman" w:cs="Times New Roman"/>
          <w:sz w:val="24"/>
          <w:szCs w:val="24"/>
          <w:lang w:val="lv-LV"/>
        </w:rPr>
        <w:t xml:space="preserve"> </w:t>
      </w:r>
      <w:r w:rsidR="00873348" w:rsidRPr="006166CC">
        <w:rPr>
          <w:rFonts w:ascii="Times New Roman" w:hAnsi="Times New Roman" w:cs="Times New Roman"/>
          <w:sz w:val="24"/>
          <w:szCs w:val="24"/>
          <w:lang w:val="lv-LV"/>
        </w:rPr>
        <w:t>DONG Energy piesaistīja kapitālu 2.7 miljardu eiro vērtībā,</w:t>
      </w:r>
      <w:r w:rsidR="00873348" w:rsidRPr="006166CC">
        <w:rPr>
          <w:rStyle w:val="Heading2Char"/>
          <w:rFonts w:ascii="Times New Roman" w:hAnsi="Times New Roman" w:cs="Times New Roman"/>
          <w:sz w:val="24"/>
          <w:szCs w:val="24"/>
          <w:lang w:val="lv-LV"/>
        </w:rPr>
        <w:t xml:space="preserve"> </w:t>
      </w:r>
      <w:r w:rsidR="00873348" w:rsidRPr="006166CC">
        <w:rPr>
          <w:rStyle w:val="FootnoteReference"/>
          <w:rFonts w:ascii="Times New Roman" w:hAnsi="Times New Roman" w:cs="Times New Roman"/>
          <w:sz w:val="24"/>
          <w:szCs w:val="24"/>
          <w:lang w:val="lv-LV"/>
        </w:rPr>
        <w:footnoteReference w:id="33"/>
      </w:r>
      <w:r w:rsidR="00873348" w:rsidRPr="006166CC">
        <w:rPr>
          <w:rStyle w:val="Heading2Char"/>
          <w:rFonts w:ascii="Times New Roman" w:hAnsi="Times New Roman" w:cs="Times New Roman"/>
          <w:sz w:val="24"/>
          <w:szCs w:val="24"/>
          <w:lang w:val="lv-LV"/>
        </w:rPr>
        <w:t xml:space="preserve"> </w:t>
      </w:r>
      <w:r w:rsidR="00873348" w:rsidRPr="006166CC">
        <w:rPr>
          <w:rFonts w:ascii="Times New Roman" w:hAnsi="Times New Roman" w:cs="Times New Roman"/>
          <w:bCs/>
          <w:sz w:val="24"/>
          <w:szCs w:val="24"/>
          <w:lang w:val="lv-LV"/>
        </w:rPr>
        <w:t xml:space="preserve">Dānijas </w:t>
      </w:r>
      <w:r w:rsidR="00094FC3" w:rsidRPr="006166CC">
        <w:rPr>
          <w:rFonts w:ascii="Times New Roman" w:hAnsi="Times New Roman" w:cs="Times New Roman"/>
          <w:bCs/>
          <w:sz w:val="24"/>
          <w:szCs w:val="24"/>
          <w:lang w:val="lv-LV"/>
        </w:rPr>
        <w:t>K</w:t>
      </w:r>
      <w:r w:rsidR="00873348" w:rsidRPr="006166CC">
        <w:rPr>
          <w:rFonts w:ascii="Times New Roman" w:hAnsi="Times New Roman" w:cs="Times New Roman"/>
          <w:bCs/>
          <w:sz w:val="24"/>
          <w:szCs w:val="24"/>
          <w:lang w:val="lv-LV"/>
        </w:rPr>
        <w:t>aralistei paturot 50.4% akciju</w:t>
      </w:r>
      <w:r w:rsidR="00873348" w:rsidRPr="006166CC">
        <w:rPr>
          <w:rStyle w:val="FootnoteReference"/>
          <w:rFonts w:ascii="Times New Roman" w:hAnsi="Times New Roman" w:cs="Times New Roman"/>
          <w:sz w:val="24"/>
          <w:szCs w:val="24"/>
          <w:shd w:val="clear" w:color="auto" w:fill="FFFFFF"/>
          <w:lang w:val="lv-LV"/>
        </w:rPr>
        <w:footnoteReference w:id="34"/>
      </w:r>
      <w:r w:rsidR="00873348" w:rsidRPr="006166CC">
        <w:rPr>
          <w:rFonts w:ascii="Times New Roman" w:hAnsi="Times New Roman" w:cs="Times New Roman"/>
          <w:bCs/>
          <w:sz w:val="24"/>
          <w:szCs w:val="24"/>
          <w:lang w:val="lv-LV"/>
        </w:rPr>
        <w:t>. Vairāk pielikumā Nr. 4.</w:t>
      </w:r>
    </w:p>
    <w:p w14:paraId="7D618C66" w14:textId="03C45F40" w:rsidR="00D15A37" w:rsidRPr="006166CC" w:rsidRDefault="00B30025" w:rsidP="00EA3BA7">
      <w:pPr>
        <w:jc w:val="both"/>
        <w:rPr>
          <w:rFonts w:ascii="Times New Roman" w:hAnsi="Times New Roman" w:cs="Times New Roman"/>
          <w:color w:val="000000" w:themeColor="text1"/>
          <w:sz w:val="24"/>
          <w:szCs w:val="24"/>
          <w:lang w:val="lv-LV"/>
        </w:rPr>
      </w:pPr>
      <w:r w:rsidRPr="006166CC">
        <w:rPr>
          <w:rFonts w:ascii="Times New Roman" w:hAnsi="Times New Roman" w:cs="Times New Roman"/>
          <w:b/>
          <w:sz w:val="24"/>
          <w:szCs w:val="24"/>
          <w:lang w:val="lv-LV"/>
        </w:rPr>
        <w:t>SIA “</w:t>
      </w:r>
      <w:r w:rsidR="00D15A37" w:rsidRPr="006166CC">
        <w:rPr>
          <w:rFonts w:ascii="Times New Roman" w:hAnsi="Times New Roman" w:cs="Times New Roman"/>
          <w:b/>
          <w:sz w:val="24"/>
          <w:szCs w:val="24"/>
          <w:lang w:val="lv-LV"/>
        </w:rPr>
        <w:t>Lattelecom</w:t>
      </w:r>
      <w:r w:rsidRPr="006166CC">
        <w:rPr>
          <w:rFonts w:ascii="Times New Roman" w:hAnsi="Times New Roman" w:cs="Times New Roman"/>
          <w:b/>
          <w:sz w:val="24"/>
          <w:szCs w:val="24"/>
          <w:lang w:val="lv-LV"/>
        </w:rPr>
        <w:t>”</w:t>
      </w:r>
      <w:r w:rsidR="00D15A37" w:rsidRPr="006166CC">
        <w:rPr>
          <w:rFonts w:ascii="Times New Roman" w:hAnsi="Times New Roman" w:cs="Times New Roman"/>
          <w:sz w:val="24"/>
          <w:szCs w:val="24"/>
          <w:lang w:val="lv-LV"/>
        </w:rPr>
        <w:t xml:space="preserve"> </w:t>
      </w:r>
      <w:r w:rsidR="00C559E5" w:rsidRPr="006166CC">
        <w:rPr>
          <w:rFonts w:ascii="Times New Roman" w:hAnsi="Times New Roman" w:cs="Times New Roman"/>
          <w:sz w:val="24"/>
          <w:szCs w:val="24"/>
          <w:lang w:val="lv-LV"/>
        </w:rPr>
        <w:t>u</w:t>
      </w:r>
      <w:r w:rsidR="00C36F43" w:rsidRPr="006166CC">
        <w:rPr>
          <w:rFonts w:ascii="Times New Roman" w:hAnsi="Times New Roman" w:cs="Times New Roman"/>
          <w:sz w:val="24"/>
          <w:szCs w:val="24"/>
          <w:lang w:val="lv-LV"/>
        </w:rPr>
        <w:t xml:space="preserve">n </w:t>
      </w:r>
      <w:r w:rsidRPr="006166CC">
        <w:rPr>
          <w:rFonts w:ascii="Times New Roman" w:hAnsi="Times New Roman" w:cs="Times New Roman"/>
          <w:b/>
          <w:sz w:val="24"/>
          <w:szCs w:val="24"/>
          <w:lang w:val="lv-LV"/>
        </w:rPr>
        <w:t xml:space="preserve">SIA </w:t>
      </w:r>
      <w:r w:rsidRPr="006166CC">
        <w:rPr>
          <w:rFonts w:ascii="Times New Roman" w:hAnsi="Times New Roman" w:cs="Times New Roman"/>
          <w:sz w:val="24"/>
          <w:szCs w:val="24"/>
          <w:lang w:val="lv-LV"/>
        </w:rPr>
        <w:t>“</w:t>
      </w:r>
      <w:r w:rsidR="00C36F43" w:rsidRPr="006166CC">
        <w:rPr>
          <w:rFonts w:ascii="Times New Roman" w:hAnsi="Times New Roman" w:cs="Times New Roman"/>
          <w:b/>
          <w:sz w:val="24"/>
          <w:szCs w:val="24"/>
          <w:lang w:val="lv-LV"/>
        </w:rPr>
        <w:t>LMT</w:t>
      </w:r>
      <w:r w:rsidRPr="006166CC">
        <w:rPr>
          <w:rFonts w:ascii="Times New Roman" w:hAnsi="Times New Roman" w:cs="Times New Roman"/>
          <w:b/>
          <w:sz w:val="24"/>
          <w:szCs w:val="24"/>
          <w:lang w:val="lv-LV"/>
        </w:rPr>
        <w:t>”</w:t>
      </w:r>
      <w:r w:rsidR="00C36F43" w:rsidRPr="006166CC">
        <w:rPr>
          <w:rFonts w:ascii="Times New Roman" w:hAnsi="Times New Roman" w:cs="Times New Roman"/>
          <w:b/>
          <w:sz w:val="24"/>
          <w:szCs w:val="24"/>
          <w:lang w:val="lv-LV"/>
        </w:rPr>
        <w:t xml:space="preserve"> </w:t>
      </w:r>
      <w:r w:rsidR="00C36F43" w:rsidRPr="006166CC">
        <w:rPr>
          <w:rFonts w:ascii="Times New Roman" w:hAnsi="Times New Roman" w:cs="Times New Roman"/>
          <w:sz w:val="24"/>
          <w:szCs w:val="24"/>
          <w:lang w:val="lv-LV"/>
        </w:rPr>
        <w:t xml:space="preserve">ir </w:t>
      </w:r>
      <w:r w:rsidR="008C011B" w:rsidRPr="006166CC">
        <w:rPr>
          <w:rFonts w:ascii="Times New Roman" w:hAnsi="Times New Roman" w:cs="Times New Roman"/>
          <w:sz w:val="24"/>
          <w:szCs w:val="24"/>
          <w:lang w:val="lv-LV"/>
        </w:rPr>
        <w:t>kapitālsabiedrības</w:t>
      </w:r>
      <w:r w:rsidR="00C36F43" w:rsidRPr="006166CC">
        <w:rPr>
          <w:rFonts w:ascii="Times New Roman" w:hAnsi="Times New Roman" w:cs="Times New Roman"/>
          <w:sz w:val="24"/>
          <w:szCs w:val="24"/>
          <w:lang w:val="lv-LV"/>
        </w:rPr>
        <w:t>, kur</w:t>
      </w:r>
      <w:r w:rsidR="008C011B" w:rsidRPr="006166CC">
        <w:rPr>
          <w:rFonts w:ascii="Times New Roman" w:hAnsi="Times New Roman" w:cs="Times New Roman"/>
          <w:sz w:val="24"/>
          <w:szCs w:val="24"/>
          <w:lang w:val="lv-LV"/>
        </w:rPr>
        <w:t>as</w:t>
      </w:r>
      <w:r w:rsidR="00C36F43" w:rsidRPr="006166CC">
        <w:rPr>
          <w:rFonts w:ascii="Times New Roman" w:hAnsi="Times New Roman" w:cs="Times New Roman"/>
          <w:sz w:val="24"/>
          <w:szCs w:val="24"/>
          <w:lang w:val="lv-LV"/>
        </w:rPr>
        <w:t xml:space="preserve"> darboja</w:t>
      </w:r>
      <w:r w:rsidR="00D15A37" w:rsidRPr="006166CC">
        <w:rPr>
          <w:rFonts w:ascii="Times New Roman" w:hAnsi="Times New Roman" w:cs="Times New Roman"/>
          <w:sz w:val="24"/>
          <w:szCs w:val="24"/>
          <w:lang w:val="lv-LV"/>
        </w:rPr>
        <w:t>s brīvas, pieaugošas Eiropas konkurences apstākļos, kas pēdējo gadu</w:t>
      </w:r>
      <w:r w:rsidR="00B44935" w:rsidRPr="006166CC">
        <w:rPr>
          <w:rFonts w:ascii="Times New Roman" w:hAnsi="Times New Roman" w:cs="Times New Roman"/>
          <w:sz w:val="24"/>
          <w:szCs w:val="24"/>
          <w:lang w:val="lv-LV"/>
        </w:rPr>
        <w:t xml:space="preserve"> laikā ir augusi</w:t>
      </w:r>
      <w:r w:rsidR="00D15A37" w:rsidRPr="006166CC">
        <w:rPr>
          <w:rFonts w:ascii="Times New Roman" w:hAnsi="Times New Roman" w:cs="Times New Roman"/>
          <w:color w:val="333333"/>
          <w:sz w:val="24"/>
          <w:szCs w:val="24"/>
          <w:lang w:val="lv-LV"/>
        </w:rPr>
        <w:t xml:space="preserve">. </w:t>
      </w:r>
      <w:r w:rsidR="00D15A37" w:rsidRPr="006166CC">
        <w:rPr>
          <w:rFonts w:ascii="Times New Roman" w:hAnsi="Times New Roman" w:cs="Times New Roman"/>
          <w:sz w:val="24"/>
          <w:szCs w:val="24"/>
          <w:lang w:val="lv-LV"/>
        </w:rPr>
        <w:t>Vienlaikus raugoties no Latvijas valsts kā akcionāra ab</w:t>
      </w:r>
      <w:r w:rsidR="00C85666" w:rsidRPr="006166CC">
        <w:rPr>
          <w:rFonts w:ascii="Times New Roman" w:hAnsi="Times New Roman" w:cs="Times New Roman"/>
          <w:sz w:val="24"/>
          <w:szCs w:val="24"/>
          <w:lang w:val="lv-LV"/>
        </w:rPr>
        <w:t>u</w:t>
      </w:r>
      <w:r w:rsidR="00D15A37" w:rsidRPr="006166CC">
        <w:rPr>
          <w:rFonts w:ascii="Times New Roman" w:hAnsi="Times New Roman" w:cs="Times New Roman"/>
          <w:sz w:val="24"/>
          <w:szCs w:val="24"/>
          <w:lang w:val="lv-LV"/>
        </w:rPr>
        <w:t xml:space="preserve"> </w:t>
      </w:r>
      <w:r w:rsidR="00C85666" w:rsidRPr="006166CC">
        <w:rPr>
          <w:rFonts w:ascii="Times New Roman" w:hAnsi="Times New Roman" w:cs="Times New Roman"/>
          <w:sz w:val="24"/>
          <w:szCs w:val="24"/>
          <w:lang w:val="lv-LV"/>
        </w:rPr>
        <w:t xml:space="preserve">kapitālsabiedrību </w:t>
      </w:r>
      <w:r w:rsidR="00D15A37" w:rsidRPr="006166CC">
        <w:rPr>
          <w:rFonts w:ascii="Times New Roman" w:hAnsi="Times New Roman" w:cs="Times New Roman"/>
          <w:sz w:val="24"/>
          <w:szCs w:val="24"/>
          <w:lang w:val="lv-LV"/>
        </w:rPr>
        <w:t>perspektīvas,</w:t>
      </w:r>
      <w:r w:rsidR="00B44935" w:rsidRPr="006166CC">
        <w:rPr>
          <w:rFonts w:ascii="Times New Roman" w:hAnsi="Times New Roman" w:cs="Times New Roman"/>
          <w:sz w:val="24"/>
          <w:szCs w:val="24"/>
          <w:lang w:val="lv-LV"/>
        </w:rPr>
        <w:t xml:space="preserve"> ir vērojama</w:t>
      </w:r>
      <w:r w:rsidR="00D15A37" w:rsidRPr="006166CC">
        <w:rPr>
          <w:rFonts w:ascii="Times New Roman" w:hAnsi="Times New Roman" w:cs="Times New Roman"/>
          <w:sz w:val="24"/>
          <w:szCs w:val="24"/>
          <w:lang w:val="lv-LV"/>
        </w:rPr>
        <w:t xml:space="preserve"> abu </w:t>
      </w:r>
      <w:r w:rsidR="00B44935" w:rsidRPr="006166CC">
        <w:rPr>
          <w:rFonts w:ascii="Times New Roman" w:hAnsi="Times New Roman" w:cs="Times New Roman"/>
          <w:sz w:val="24"/>
          <w:szCs w:val="24"/>
          <w:lang w:val="lv-LV"/>
        </w:rPr>
        <w:t>kapitālsabiedrību</w:t>
      </w:r>
      <w:r w:rsidR="00D15A37" w:rsidRPr="006166CC">
        <w:rPr>
          <w:rFonts w:ascii="Times New Roman" w:hAnsi="Times New Roman" w:cs="Times New Roman"/>
          <w:sz w:val="24"/>
          <w:szCs w:val="24"/>
          <w:lang w:val="lv-LV"/>
        </w:rPr>
        <w:t xml:space="preserve"> vērtības samazināšanās. </w:t>
      </w:r>
      <w:r w:rsidR="000676EC" w:rsidRPr="006166CC">
        <w:rPr>
          <w:rFonts w:ascii="Times New Roman" w:hAnsi="Times New Roman" w:cs="Times New Roman"/>
          <w:sz w:val="24"/>
          <w:szCs w:val="24"/>
          <w:lang w:val="lv-LV"/>
        </w:rPr>
        <w:t>Piemēram,</w:t>
      </w:r>
      <w:r w:rsidR="00D15A37" w:rsidRPr="006166CC">
        <w:rPr>
          <w:rFonts w:ascii="Times New Roman" w:hAnsi="Times New Roman" w:cs="Times New Roman"/>
          <w:sz w:val="24"/>
          <w:szCs w:val="24"/>
          <w:lang w:val="lv-LV"/>
        </w:rPr>
        <w:t xml:space="preserve"> salīdzinot abu </w:t>
      </w:r>
      <w:r w:rsidR="00C85666" w:rsidRPr="006166CC">
        <w:rPr>
          <w:rFonts w:ascii="Times New Roman" w:hAnsi="Times New Roman" w:cs="Times New Roman"/>
          <w:sz w:val="24"/>
          <w:szCs w:val="24"/>
          <w:lang w:val="lv-LV"/>
        </w:rPr>
        <w:t>kapitālsabiedrību</w:t>
      </w:r>
      <w:r w:rsidR="00D15A37" w:rsidRPr="006166CC">
        <w:rPr>
          <w:rFonts w:ascii="Times New Roman" w:hAnsi="Times New Roman" w:cs="Times New Roman"/>
          <w:sz w:val="24"/>
          <w:szCs w:val="24"/>
          <w:lang w:val="lv-LV"/>
        </w:rPr>
        <w:t xml:space="preserve"> kopējo vērtību pēc Latvijas vērtīgāko uzņēmumu TOP 101 rādītājiem</w:t>
      </w:r>
      <w:r w:rsidR="00C559E5" w:rsidRPr="006166CC">
        <w:rPr>
          <w:rFonts w:ascii="Times New Roman" w:hAnsi="Times New Roman" w:cs="Times New Roman"/>
          <w:sz w:val="24"/>
          <w:szCs w:val="24"/>
          <w:lang w:val="lv-LV"/>
        </w:rPr>
        <w:t>,</w:t>
      </w:r>
      <w:r w:rsidR="00D15A37" w:rsidRPr="006166CC">
        <w:rPr>
          <w:rFonts w:ascii="Times New Roman" w:hAnsi="Times New Roman" w:cs="Times New Roman"/>
          <w:sz w:val="24"/>
          <w:szCs w:val="24"/>
          <w:lang w:val="lv-LV"/>
        </w:rPr>
        <w:t xml:space="preserve"> tā laikā no 2015</w:t>
      </w:r>
      <w:r w:rsidR="00C559E5" w:rsidRPr="006166CC">
        <w:rPr>
          <w:rFonts w:ascii="Times New Roman" w:hAnsi="Times New Roman" w:cs="Times New Roman"/>
          <w:sz w:val="24"/>
          <w:szCs w:val="24"/>
          <w:lang w:val="lv-LV"/>
        </w:rPr>
        <w:t>.</w:t>
      </w:r>
      <w:r w:rsidR="00D15A37" w:rsidRPr="006166CC">
        <w:rPr>
          <w:rFonts w:ascii="Times New Roman" w:hAnsi="Times New Roman" w:cs="Times New Roman"/>
          <w:sz w:val="24"/>
          <w:szCs w:val="24"/>
          <w:lang w:val="lv-LV"/>
        </w:rPr>
        <w:t xml:space="preserve"> līdz 2016</w:t>
      </w:r>
      <w:r w:rsidR="0050115A" w:rsidRPr="006166CC">
        <w:rPr>
          <w:rFonts w:ascii="Times New Roman" w:hAnsi="Times New Roman" w:cs="Times New Roman"/>
          <w:sz w:val="24"/>
          <w:szCs w:val="24"/>
          <w:lang w:val="lv-LV"/>
        </w:rPr>
        <w:t xml:space="preserve">. </w:t>
      </w:r>
      <w:r w:rsidR="00D15A37" w:rsidRPr="006166CC">
        <w:rPr>
          <w:rFonts w:ascii="Times New Roman" w:hAnsi="Times New Roman" w:cs="Times New Roman"/>
          <w:sz w:val="24"/>
          <w:szCs w:val="24"/>
          <w:lang w:val="lv-LV"/>
        </w:rPr>
        <w:t>gadam ir samazinājusies par 62 miljoniem eiro.</w:t>
      </w:r>
      <w:r w:rsidR="00C559E5" w:rsidRPr="006166CC">
        <w:rPr>
          <w:rStyle w:val="FootnoteReference"/>
          <w:rFonts w:ascii="Times New Roman" w:hAnsi="Times New Roman" w:cs="Times New Roman"/>
          <w:sz w:val="24"/>
          <w:szCs w:val="24"/>
          <w:lang w:val="lv-LV"/>
        </w:rPr>
        <w:t xml:space="preserve"> </w:t>
      </w:r>
      <w:r w:rsidR="00C559E5" w:rsidRPr="006166CC">
        <w:rPr>
          <w:rStyle w:val="FootnoteReference"/>
          <w:rFonts w:ascii="Times New Roman" w:hAnsi="Times New Roman" w:cs="Times New Roman"/>
          <w:sz w:val="24"/>
          <w:szCs w:val="24"/>
          <w:lang w:val="lv-LV"/>
        </w:rPr>
        <w:footnoteReference w:id="35"/>
      </w:r>
      <w:r w:rsidR="00D15A37" w:rsidRPr="006166CC">
        <w:rPr>
          <w:rFonts w:ascii="Times New Roman" w:hAnsi="Times New Roman" w:cs="Times New Roman"/>
          <w:sz w:val="24"/>
          <w:szCs w:val="24"/>
          <w:lang w:val="lv-LV"/>
        </w:rPr>
        <w:t xml:space="preserve"> </w:t>
      </w:r>
      <w:r w:rsidRPr="006166CC">
        <w:rPr>
          <w:rFonts w:ascii="Times New Roman" w:hAnsi="Times New Roman" w:cs="Times New Roman"/>
          <w:sz w:val="24"/>
          <w:szCs w:val="24"/>
          <w:lang w:val="lv-LV"/>
        </w:rPr>
        <w:t>Tāpat jāņem vērā kapitālsabiedrību juridiskās formas maiņas nepieciešamība</w:t>
      </w:r>
      <w:r w:rsidR="00B44935" w:rsidRPr="006166CC">
        <w:rPr>
          <w:rFonts w:ascii="Times New Roman" w:hAnsi="Times New Roman" w:cs="Times New Roman"/>
          <w:sz w:val="24"/>
          <w:szCs w:val="24"/>
          <w:lang w:val="lv-LV"/>
        </w:rPr>
        <w:t xml:space="preserve"> un vienošanās ar privātajiem akcionāriem</w:t>
      </w:r>
      <w:r w:rsidRPr="006166CC">
        <w:rPr>
          <w:rFonts w:ascii="Times New Roman" w:hAnsi="Times New Roman" w:cs="Times New Roman"/>
          <w:sz w:val="24"/>
          <w:szCs w:val="24"/>
          <w:lang w:val="lv-LV"/>
        </w:rPr>
        <w:t>.</w:t>
      </w:r>
    </w:p>
    <w:p w14:paraId="22542569" w14:textId="1E5FFEBA" w:rsidR="00D15A37" w:rsidRPr="006166CC" w:rsidRDefault="00D15A37" w:rsidP="00EA3BA7">
      <w:pPr>
        <w:jc w:val="both"/>
        <w:rPr>
          <w:rFonts w:ascii="Times New Roman" w:hAnsi="Times New Roman" w:cs="Times New Roman"/>
          <w:color w:val="333333"/>
          <w:sz w:val="24"/>
          <w:szCs w:val="24"/>
          <w:lang w:val="lv-LV"/>
        </w:rPr>
      </w:pPr>
      <w:r w:rsidRPr="006166CC">
        <w:rPr>
          <w:rFonts w:ascii="Times New Roman" w:hAnsi="Times New Roman" w:cs="Times New Roman"/>
          <w:sz w:val="24"/>
          <w:szCs w:val="24"/>
          <w:lang w:val="lv-LV"/>
        </w:rPr>
        <w:t xml:space="preserve">Pašlaik telekomunikāciju </w:t>
      </w:r>
      <w:r w:rsidR="00C85666" w:rsidRPr="006166CC">
        <w:rPr>
          <w:rFonts w:ascii="Times New Roman" w:hAnsi="Times New Roman" w:cs="Times New Roman"/>
          <w:sz w:val="24"/>
          <w:szCs w:val="24"/>
          <w:lang w:val="lv-LV"/>
        </w:rPr>
        <w:t>kapitālsabiedrībām</w:t>
      </w:r>
      <w:r w:rsidRPr="006166CC">
        <w:rPr>
          <w:rFonts w:ascii="Times New Roman" w:hAnsi="Times New Roman" w:cs="Times New Roman"/>
          <w:sz w:val="24"/>
          <w:szCs w:val="24"/>
          <w:lang w:val="lv-LV"/>
        </w:rPr>
        <w:t xml:space="preserve"> ir jāspēj sekot visām industrijas jaunākajām tendencēm</w:t>
      </w:r>
      <w:r w:rsidR="00C559E5" w:rsidRPr="006166CC">
        <w:rPr>
          <w:rFonts w:ascii="Times New Roman" w:hAnsi="Times New Roman" w:cs="Times New Roman"/>
          <w:sz w:val="24"/>
          <w:szCs w:val="24"/>
          <w:lang w:val="lv-LV"/>
        </w:rPr>
        <w:t>,</w:t>
      </w:r>
      <w:r w:rsidRPr="006166CC">
        <w:rPr>
          <w:rFonts w:ascii="Times New Roman" w:hAnsi="Times New Roman" w:cs="Times New Roman"/>
          <w:sz w:val="24"/>
          <w:szCs w:val="24"/>
          <w:lang w:val="lv-LV"/>
        </w:rPr>
        <w:t xml:space="preserve"> un tas prasa nozīmīgas </w:t>
      </w:r>
      <w:r w:rsidR="00E36C5B" w:rsidRPr="006166CC">
        <w:rPr>
          <w:rFonts w:ascii="Times New Roman" w:hAnsi="Times New Roman" w:cs="Times New Roman"/>
          <w:sz w:val="24"/>
          <w:szCs w:val="24"/>
          <w:lang w:val="lv-LV"/>
        </w:rPr>
        <w:t>investīcijas. R</w:t>
      </w:r>
      <w:r w:rsidRPr="006166CC">
        <w:rPr>
          <w:rFonts w:ascii="Times New Roman" w:hAnsi="Times New Roman" w:cs="Times New Roman"/>
          <w:sz w:val="24"/>
          <w:szCs w:val="24"/>
          <w:lang w:val="lv-LV"/>
        </w:rPr>
        <w:t>ezultātā jau ilgāku laiku Eiropā novērojama aktīva telekomunikāciju uzņēmumu konsolidācija. Starptautiskā pieredze liecina, ka telekomunikāciju uzņēmumi ir interesanti biržas investoriem un var spēlēt nozīmīgu lomu nacionālo kapitāla tirgu attīstībā.</w:t>
      </w:r>
      <w:r w:rsidR="00C559E5" w:rsidRPr="006166CC">
        <w:rPr>
          <w:rFonts w:ascii="Times New Roman" w:hAnsi="Times New Roman" w:cs="Times New Roman"/>
          <w:sz w:val="24"/>
          <w:szCs w:val="24"/>
          <w:lang w:val="lv-LV"/>
        </w:rPr>
        <w:t xml:space="preserve"> Detalizētu informāciju par dažiem telekomunikāciju nozares uzņēmumu piedā</w:t>
      </w:r>
      <w:r w:rsidR="00094FC3" w:rsidRPr="006166CC">
        <w:rPr>
          <w:rFonts w:ascii="Times New Roman" w:hAnsi="Times New Roman" w:cs="Times New Roman"/>
          <w:sz w:val="24"/>
          <w:szCs w:val="24"/>
          <w:lang w:val="lv-LV"/>
        </w:rPr>
        <w:t>vājumiem biržā skatīt pielikumā</w:t>
      </w:r>
      <w:r w:rsidR="00C559E5" w:rsidRPr="006166CC">
        <w:rPr>
          <w:rFonts w:ascii="Times New Roman" w:hAnsi="Times New Roman" w:cs="Times New Roman"/>
          <w:sz w:val="24"/>
          <w:szCs w:val="24"/>
          <w:lang w:val="lv-LV"/>
        </w:rPr>
        <w:t xml:space="preserve"> (Pielikums Nr. </w:t>
      </w:r>
      <w:r w:rsidR="00094FC3" w:rsidRPr="006166CC">
        <w:rPr>
          <w:rFonts w:ascii="Times New Roman" w:hAnsi="Times New Roman" w:cs="Times New Roman"/>
          <w:sz w:val="24"/>
          <w:szCs w:val="24"/>
          <w:lang w:val="lv-LV"/>
        </w:rPr>
        <w:t>6</w:t>
      </w:r>
      <w:r w:rsidR="00C559E5" w:rsidRPr="006166CC">
        <w:rPr>
          <w:rFonts w:ascii="Times New Roman" w:hAnsi="Times New Roman" w:cs="Times New Roman"/>
          <w:sz w:val="24"/>
          <w:szCs w:val="24"/>
          <w:lang w:val="lv-LV"/>
        </w:rPr>
        <w:t>)</w:t>
      </w:r>
      <w:r w:rsidR="00094FC3" w:rsidRPr="006166CC">
        <w:rPr>
          <w:rFonts w:ascii="Times New Roman" w:hAnsi="Times New Roman" w:cs="Times New Roman"/>
          <w:sz w:val="24"/>
          <w:szCs w:val="24"/>
          <w:lang w:val="lv-LV"/>
        </w:rPr>
        <w:t>.</w:t>
      </w:r>
    </w:p>
    <w:p w14:paraId="3C469994" w14:textId="79ECB21C" w:rsidR="008449D9" w:rsidRPr="006166CC" w:rsidRDefault="008449D9" w:rsidP="00EA3BA7">
      <w:pPr>
        <w:jc w:val="both"/>
        <w:rPr>
          <w:rFonts w:ascii="Times New Roman" w:hAnsi="Times New Roman" w:cs="Times New Roman"/>
          <w:sz w:val="24"/>
          <w:szCs w:val="24"/>
          <w:lang w:val="lv-LV"/>
        </w:rPr>
      </w:pPr>
      <w:r w:rsidRPr="006166CC">
        <w:rPr>
          <w:rFonts w:ascii="Times New Roman" w:hAnsi="Times New Roman" w:cs="Times New Roman"/>
          <w:sz w:val="24"/>
          <w:szCs w:val="24"/>
          <w:lang w:val="lv-LV"/>
        </w:rPr>
        <w:t>Jāteic, ka valst</w:t>
      </w:r>
      <w:r w:rsidR="00CD1596" w:rsidRPr="006166CC">
        <w:rPr>
          <w:rFonts w:ascii="Times New Roman" w:hAnsi="Times New Roman" w:cs="Times New Roman"/>
          <w:sz w:val="24"/>
          <w:szCs w:val="24"/>
          <w:lang w:val="lv-LV"/>
        </w:rPr>
        <w:t>ij piederošu vai daļēji piederošu</w:t>
      </w:r>
      <w:r w:rsidRPr="006166CC">
        <w:rPr>
          <w:rFonts w:ascii="Times New Roman" w:hAnsi="Times New Roman" w:cs="Times New Roman"/>
          <w:sz w:val="24"/>
          <w:szCs w:val="24"/>
          <w:lang w:val="lv-LV"/>
        </w:rPr>
        <w:t xml:space="preserve"> uzņēmumu kotācija </w:t>
      </w:r>
      <w:r w:rsidR="004C22E7" w:rsidRPr="006166CC">
        <w:rPr>
          <w:rFonts w:ascii="Times New Roman" w:hAnsi="Times New Roman" w:cs="Times New Roman"/>
          <w:sz w:val="24"/>
          <w:szCs w:val="24"/>
          <w:lang w:val="lv-LV"/>
        </w:rPr>
        <w:t>pasaules praksē</w:t>
      </w:r>
      <w:r w:rsidRPr="006166CC">
        <w:rPr>
          <w:rFonts w:ascii="Times New Roman" w:hAnsi="Times New Roman" w:cs="Times New Roman"/>
          <w:sz w:val="24"/>
          <w:szCs w:val="24"/>
          <w:lang w:val="lv-LV"/>
        </w:rPr>
        <w:t xml:space="preserve"> nav vienvirziena process. Piemēram, Somijā īpaši izveidota </w:t>
      </w:r>
      <w:r w:rsidR="00175619" w:rsidRPr="006166CC">
        <w:rPr>
          <w:rFonts w:ascii="Times New Roman" w:hAnsi="Times New Roman" w:cs="Times New Roman"/>
          <w:sz w:val="24"/>
          <w:szCs w:val="24"/>
          <w:lang w:val="lv-LV"/>
        </w:rPr>
        <w:t>valsts kapitālsabiedrība</w:t>
      </w:r>
      <w:r w:rsidRPr="006166CC">
        <w:rPr>
          <w:rFonts w:ascii="Times New Roman" w:hAnsi="Times New Roman" w:cs="Times New Roman"/>
          <w:sz w:val="24"/>
          <w:szCs w:val="24"/>
          <w:lang w:val="lv-LV"/>
        </w:rPr>
        <w:t xml:space="preserve"> analizē</w:t>
      </w:r>
      <w:r w:rsidR="00175619" w:rsidRPr="006166CC">
        <w:rPr>
          <w:rFonts w:ascii="Times New Roman" w:hAnsi="Times New Roman" w:cs="Times New Roman"/>
          <w:sz w:val="24"/>
          <w:szCs w:val="24"/>
          <w:lang w:val="lv-LV"/>
        </w:rPr>
        <w:t xml:space="preserve"> ne tikai</w:t>
      </w:r>
      <w:r w:rsidRPr="006166CC">
        <w:rPr>
          <w:rFonts w:ascii="Times New Roman" w:hAnsi="Times New Roman" w:cs="Times New Roman"/>
          <w:sz w:val="24"/>
          <w:szCs w:val="24"/>
          <w:lang w:val="lv-LV"/>
        </w:rPr>
        <w:t>, ku</w:t>
      </w:r>
      <w:r w:rsidR="003305D1" w:rsidRPr="006166CC">
        <w:rPr>
          <w:rFonts w:ascii="Times New Roman" w:hAnsi="Times New Roman" w:cs="Times New Roman"/>
          <w:sz w:val="24"/>
          <w:szCs w:val="24"/>
          <w:lang w:val="lv-LV"/>
        </w:rPr>
        <w:t xml:space="preserve">rus valsts uzņēmumus būtu nepieciešams </w:t>
      </w:r>
      <w:r w:rsidR="00175619" w:rsidRPr="006166CC">
        <w:rPr>
          <w:rFonts w:ascii="Times New Roman" w:hAnsi="Times New Roman" w:cs="Times New Roman"/>
          <w:sz w:val="24"/>
          <w:szCs w:val="24"/>
          <w:lang w:val="lv-LV"/>
        </w:rPr>
        <w:t xml:space="preserve">atsavināt, </w:t>
      </w:r>
      <w:r w:rsidR="003305D1" w:rsidRPr="006166CC">
        <w:rPr>
          <w:rFonts w:ascii="Times New Roman" w:hAnsi="Times New Roman" w:cs="Times New Roman"/>
          <w:sz w:val="24"/>
          <w:szCs w:val="24"/>
          <w:lang w:val="lv-LV"/>
        </w:rPr>
        <w:t>daļēji vai pilnībā kotēt biržā, bet arī kuros sektoros būtu nepieciešami jauni valsts uzņēmumi</w:t>
      </w:r>
      <w:r w:rsidR="00175619" w:rsidRPr="006166CC">
        <w:rPr>
          <w:rFonts w:ascii="Times New Roman" w:hAnsi="Times New Roman" w:cs="Times New Roman"/>
          <w:sz w:val="24"/>
          <w:szCs w:val="24"/>
          <w:lang w:val="lv-LV"/>
        </w:rPr>
        <w:t>, lai stimulētu valsts ekonomisko izaugsmi</w:t>
      </w:r>
      <w:r w:rsidR="00DF7E2C" w:rsidRPr="006166CC">
        <w:rPr>
          <w:rFonts w:ascii="Times New Roman" w:hAnsi="Times New Roman" w:cs="Times New Roman"/>
          <w:sz w:val="24"/>
          <w:szCs w:val="24"/>
          <w:lang w:val="lv-LV"/>
        </w:rPr>
        <w:t>.</w:t>
      </w:r>
      <w:r w:rsidR="003305D1" w:rsidRPr="006166CC">
        <w:rPr>
          <w:rStyle w:val="FootnoteReference"/>
          <w:rFonts w:ascii="Times New Roman" w:hAnsi="Times New Roman" w:cs="Times New Roman"/>
          <w:sz w:val="24"/>
          <w:szCs w:val="24"/>
          <w:lang w:val="lv-LV"/>
        </w:rPr>
        <w:footnoteReference w:id="36"/>
      </w:r>
      <w:r w:rsidR="003305D1" w:rsidRPr="006166CC">
        <w:rPr>
          <w:rFonts w:ascii="Times New Roman" w:hAnsi="Times New Roman" w:cs="Times New Roman"/>
          <w:sz w:val="24"/>
          <w:szCs w:val="24"/>
          <w:lang w:val="lv-LV"/>
        </w:rPr>
        <w:t xml:space="preserve"> </w:t>
      </w:r>
    </w:p>
    <w:p w14:paraId="7B7E876F" w14:textId="77777777" w:rsidR="000A67FB" w:rsidRPr="006166CC" w:rsidRDefault="000A67FB" w:rsidP="000A67FB">
      <w:pPr>
        <w:pStyle w:val="Heading2"/>
        <w:rPr>
          <w:rFonts w:ascii="Times New Roman" w:hAnsi="Times New Roman" w:cs="Times New Roman"/>
          <w:sz w:val="24"/>
          <w:szCs w:val="24"/>
          <w:lang w:val="lv-LV"/>
        </w:rPr>
      </w:pPr>
      <w:bookmarkStart w:id="22" w:name="_Toc511029109"/>
      <w:r w:rsidRPr="006166CC">
        <w:rPr>
          <w:rFonts w:ascii="Times New Roman" w:hAnsi="Times New Roman" w:cs="Times New Roman"/>
          <w:sz w:val="24"/>
          <w:szCs w:val="24"/>
          <w:lang w:val="lv-LV"/>
        </w:rPr>
        <w:t>Turpmākā parāda vērtspapīru tirgus attīstība</w:t>
      </w:r>
      <w:bookmarkEnd w:id="22"/>
    </w:p>
    <w:p w14:paraId="73CE878B" w14:textId="320A3FF8" w:rsidR="007A7BE0" w:rsidRPr="006166CC" w:rsidRDefault="00000CD1" w:rsidP="00EA3BA7">
      <w:pPr>
        <w:jc w:val="both"/>
        <w:rPr>
          <w:rFonts w:ascii="Times New Roman" w:hAnsi="Times New Roman" w:cs="Times New Roman"/>
          <w:sz w:val="24"/>
          <w:szCs w:val="24"/>
          <w:lang w:val="lv-LV"/>
        </w:rPr>
      </w:pPr>
      <w:r w:rsidRPr="006166CC">
        <w:rPr>
          <w:rFonts w:ascii="Times New Roman" w:hAnsi="Times New Roman" w:cs="Times New Roman"/>
          <w:b/>
          <w:sz w:val="24"/>
          <w:szCs w:val="24"/>
          <w:lang w:val="lv-LV"/>
        </w:rPr>
        <w:t>Valstij piederošo</w:t>
      </w:r>
      <w:r w:rsidR="000A67FB" w:rsidRPr="006166CC">
        <w:rPr>
          <w:rFonts w:ascii="Times New Roman" w:hAnsi="Times New Roman" w:cs="Times New Roman"/>
          <w:b/>
          <w:sz w:val="24"/>
          <w:szCs w:val="24"/>
          <w:lang w:val="lv-LV"/>
        </w:rPr>
        <w:t xml:space="preserve"> </w:t>
      </w:r>
      <w:r w:rsidR="003C3D28" w:rsidRPr="006166CC">
        <w:rPr>
          <w:rFonts w:ascii="Times New Roman" w:hAnsi="Times New Roman" w:cs="Times New Roman"/>
          <w:b/>
          <w:sz w:val="24"/>
          <w:szCs w:val="24"/>
          <w:lang w:val="lv-LV"/>
        </w:rPr>
        <w:t>kapitālsabiedrību</w:t>
      </w:r>
      <w:r w:rsidR="000A67FB" w:rsidRPr="006166CC">
        <w:rPr>
          <w:rFonts w:ascii="Times New Roman" w:hAnsi="Times New Roman" w:cs="Times New Roman"/>
          <w:b/>
          <w:sz w:val="24"/>
          <w:szCs w:val="24"/>
          <w:lang w:val="lv-LV"/>
        </w:rPr>
        <w:t xml:space="preserve"> obligāciju emitēšana.</w:t>
      </w:r>
      <w:r w:rsidR="000A67FB" w:rsidRPr="006166CC">
        <w:rPr>
          <w:rFonts w:ascii="Times New Roman" w:hAnsi="Times New Roman" w:cs="Times New Roman"/>
          <w:sz w:val="24"/>
          <w:szCs w:val="24"/>
          <w:lang w:val="lv-LV"/>
        </w:rPr>
        <w:t xml:space="preserve"> Balstoties</w:t>
      </w:r>
      <w:r w:rsidR="007A7BE0" w:rsidRPr="006166CC">
        <w:rPr>
          <w:rFonts w:ascii="Times New Roman" w:hAnsi="Times New Roman" w:cs="Times New Roman"/>
          <w:sz w:val="24"/>
          <w:szCs w:val="24"/>
          <w:lang w:val="lv-LV"/>
        </w:rPr>
        <w:t xml:space="preserve"> uz sekmīgo </w:t>
      </w:r>
      <w:r w:rsidR="00CD1596" w:rsidRPr="006166CC">
        <w:rPr>
          <w:rFonts w:ascii="Times New Roman" w:hAnsi="Times New Roman" w:cs="Times New Roman"/>
          <w:sz w:val="24"/>
          <w:szCs w:val="24"/>
          <w:lang w:val="lv-LV"/>
        </w:rPr>
        <w:t>AS “</w:t>
      </w:r>
      <w:r w:rsidR="007A7BE0" w:rsidRPr="006166CC">
        <w:rPr>
          <w:rFonts w:ascii="Times New Roman" w:hAnsi="Times New Roman" w:cs="Times New Roman"/>
          <w:sz w:val="24"/>
          <w:szCs w:val="24"/>
          <w:lang w:val="lv-LV"/>
        </w:rPr>
        <w:t>Latvenergo</w:t>
      </w:r>
      <w:r w:rsidR="00CD1596" w:rsidRPr="006166CC">
        <w:rPr>
          <w:rFonts w:ascii="Times New Roman" w:hAnsi="Times New Roman" w:cs="Times New Roman"/>
          <w:sz w:val="24"/>
          <w:szCs w:val="24"/>
          <w:lang w:val="lv-LV"/>
        </w:rPr>
        <w:t>” (Pielikums Nr. 3) un AS</w:t>
      </w:r>
      <w:r w:rsidR="007A7BE0" w:rsidRPr="006166CC">
        <w:rPr>
          <w:rFonts w:ascii="Times New Roman" w:hAnsi="Times New Roman" w:cs="Times New Roman"/>
          <w:sz w:val="24"/>
          <w:szCs w:val="24"/>
          <w:lang w:val="lv-LV"/>
        </w:rPr>
        <w:t xml:space="preserve"> </w:t>
      </w:r>
      <w:r w:rsidR="00CD1596" w:rsidRPr="006166CC">
        <w:rPr>
          <w:rFonts w:ascii="Times New Roman" w:hAnsi="Times New Roman" w:cs="Times New Roman"/>
          <w:sz w:val="24"/>
          <w:szCs w:val="24"/>
          <w:lang w:val="lv-LV"/>
        </w:rPr>
        <w:t xml:space="preserve">“Attīstības finanšu institūcija ALTUM </w:t>
      </w:r>
      <w:r w:rsidR="007A7BE0" w:rsidRPr="006166CC">
        <w:rPr>
          <w:rFonts w:ascii="Times New Roman" w:hAnsi="Times New Roman" w:cs="Times New Roman"/>
          <w:sz w:val="24"/>
          <w:szCs w:val="24"/>
          <w:lang w:val="lv-LV"/>
        </w:rPr>
        <w:t>piemēr</w:t>
      </w:r>
      <w:r w:rsidR="00097DC1" w:rsidRPr="006166CC">
        <w:rPr>
          <w:rFonts w:ascii="Times New Roman" w:hAnsi="Times New Roman" w:cs="Times New Roman"/>
          <w:sz w:val="24"/>
          <w:szCs w:val="24"/>
          <w:lang w:val="lv-LV"/>
        </w:rPr>
        <w:t>u</w:t>
      </w:r>
      <w:r w:rsidR="007A7BE0" w:rsidRPr="006166CC">
        <w:rPr>
          <w:rFonts w:ascii="Times New Roman" w:hAnsi="Times New Roman" w:cs="Times New Roman"/>
          <w:sz w:val="24"/>
          <w:szCs w:val="24"/>
          <w:lang w:val="lv-LV"/>
        </w:rPr>
        <w:t>, turpināt publisku obligāciju emisijas valstij piederošaj</w:t>
      </w:r>
      <w:r w:rsidR="003C3D28" w:rsidRPr="006166CC">
        <w:rPr>
          <w:rFonts w:ascii="Times New Roman" w:hAnsi="Times New Roman" w:cs="Times New Roman"/>
          <w:sz w:val="24"/>
          <w:szCs w:val="24"/>
          <w:lang w:val="lv-LV"/>
        </w:rPr>
        <w:t>ā</w:t>
      </w:r>
      <w:r w:rsidR="007A7BE0" w:rsidRPr="006166CC">
        <w:rPr>
          <w:rFonts w:ascii="Times New Roman" w:hAnsi="Times New Roman" w:cs="Times New Roman"/>
          <w:sz w:val="24"/>
          <w:szCs w:val="24"/>
          <w:lang w:val="lv-LV"/>
        </w:rPr>
        <w:t xml:space="preserve">s </w:t>
      </w:r>
      <w:r w:rsidR="003C3D28" w:rsidRPr="006166CC">
        <w:rPr>
          <w:rFonts w:ascii="Times New Roman" w:hAnsi="Times New Roman" w:cs="Times New Roman"/>
          <w:sz w:val="24"/>
          <w:szCs w:val="24"/>
          <w:lang w:val="lv-LV"/>
        </w:rPr>
        <w:t>kapitālsabiedrībās</w:t>
      </w:r>
      <w:r w:rsidR="007A7BE0" w:rsidRPr="006166CC">
        <w:rPr>
          <w:rFonts w:ascii="Times New Roman" w:hAnsi="Times New Roman" w:cs="Times New Roman"/>
          <w:sz w:val="24"/>
          <w:szCs w:val="24"/>
          <w:lang w:val="lv-LV"/>
        </w:rPr>
        <w:t>, tādā veidā stiprinot to konkurētspēju un izaugsmi, kā arī diversificējot kapitāla piesaistes avotus. Tas ļauj valstij saglabāt īpašumtiesības, vienlaikus dodot iespēju piesaistīt kapitālu, balstoties uz paša</w:t>
      </w:r>
      <w:r w:rsidR="003C3D28" w:rsidRPr="006166CC">
        <w:rPr>
          <w:rFonts w:ascii="Times New Roman" w:hAnsi="Times New Roman" w:cs="Times New Roman"/>
          <w:sz w:val="24"/>
          <w:szCs w:val="24"/>
          <w:lang w:val="lv-LV"/>
        </w:rPr>
        <w:t>s</w:t>
      </w:r>
      <w:r w:rsidR="007A7BE0" w:rsidRPr="006166CC">
        <w:rPr>
          <w:rFonts w:ascii="Times New Roman" w:hAnsi="Times New Roman" w:cs="Times New Roman"/>
          <w:sz w:val="24"/>
          <w:szCs w:val="24"/>
          <w:lang w:val="lv-LV"/>
        </w:rPr>
        <w:t xml:space="preserve"> </w:t>
      </w:r>
      <w:r w:rsidR="003C3D28" w:rsidRPr="006166CC">
        <w:rPr>
          <w:rFonts w:ascii="Times New Roman" w:hAnsi="Times New Roman" w:cs="Times New Roman"/>
          <w:sz w:val="24"/>
          <w:szCs w:val="24"/>
          <w:lang w:val="lv-LV"/>
        </w:rPr>
        <w:t>kapitālsabiedrības</w:t>
      </w:r>
      <w:r w:rsidR="007A7BE0" w:rsidRPr="006166CC">
        <w:rPr>
          <w:rFonts w:ascii="Times New Roman" w:hAnsi="Times New Roman" w:cs="Times New Roman"/>
          <w:sz w:val="24"/>
          <w:szCs w:val="24"/>
          <w:lang w:val="lv-LV"/>
        </w:rPr>
        <w:t xml:space="preserve"> definētiem nosacījumiem. </w:t>
      </w:r>
    </w:p>
    <w:p w14:paraId="1F9973D1" w14:textId="77777777" w:rsidR="009D5102" w:rsidRPr="006166CC" w:rsidRDefault="009D5102" w:rsidP="00423930">
      <w:pPr>
        <w:pStyle w:val="Heading2"/>
        <w:rPr>
          <w:rFonts w:ascii="Times New Roman" w:hAnsi="Times New Roman" w:cs="Times New Roman"/>
          <w:sz w:val="24"/>
          <w:szCs w:val="24"/>
          <w:lang w:val="lv-LV"/>
        </w:rPr>
      </w:pPr>
      <w:bookmarkStart w:id="23" w:name="_Toc511029110"/>
      <w:r w:rsidRPr="006166CC">
        <w:rPr>
          <w:rFonts w:ascii="Times New Roman" w:hAnsi="Times New Roman" w:cs="Times New Roman"/>
          <w:sz w:val="24"/>
          <w:szCs w:val="24"/>
          <w:lang w:val="lv-LV"/>
        </w:rPr>
        <w:t>Izmaks</w:t>
      </w:r>
      <w:r w:rsidR="00434B30" w:rsidRPr="006166CC">
        <w:rPr>
          <w:rFonts w:ascii="Times New Roman" w:hAnsi="Times New Roman" w:cs="Times New Roman"/>
          <w:sz w:val="24"/>
          <w:szCs w:val="24"/>
          <w:lang w:val="lv-LV"/>
        </w:rPr>
        <w:t>as</w:t>
      </w:r>
      <w:bookmarkEnd w:id="23"/>
    </w:p>
    <w:p w14:paraId="5CFCE98C" w14:textId="72DB23E4" w:rsidR="009D5102" w:rsidRPr="006166CC" w:rsidRDefault="00E75FFE" w:rsidP="00EA3BA7">
      <w:pPr>
        <w:jc w:val="both"/>
        <w:rPr>
          <w:rFonts w:ascii="Times New Roman" w:hAnsi="Times New Roman" w:cs="Times New Roman"/>
          <w:sz w:val="24"/>
          <w:szCs w:val="24"/>
          <w:lang w:val="lv-LV"/>
        </w:rPr>
      </w:pPr>
      <w:r w:rsidRPr="006166CC">
        <w:rPr>
          <w:rFonts w:ascii="Times New Roman" w:hAnsi="Times New Roman" w:cs="Times New Roman"/>
          <w:b/>
          <w:sz w:val="24"/>
          <w:szCs w:val="24"/>
          <w:lang w:val="lv-LV"/>
        </w:rPr>
        <w:t>Sagatavošanās k</w:t>
      </w:r>
      <w:r w:rsidR="00884BCC" w:rsidRPr="006166CC">
        <w:rPr>
          <w:rFonts w:ascii="Times New Roman" w:hAnsi="Times New Roman" w:cs="Times New Roman"/>
          <w:b/>
          <w:sz w:val="24"/>
          <w:szCs w:val="24"/>
          <w:lang w:val="lv-LV"/>
        </w:rPr>
        <w:t>otācija</w:t>
      </w:r>
      <w:r w:rsidRPr="006166CC">
        <w:rPr>
          <w:rFonts w:ascii="Times New Roman" w:hAnsi="Times New Roman" w:cs="Times New Roman"/>
          <w:b/>
          <w:sz w:val="24"/>
          <w:szCs w:val="24"/>
          <w:lang w:val="lv-LV"/>
        </w:rPr>
        <w:t>i biržā saistās ar lielām vienreizējām izmaksām</w:t>
      </w:r>
      <w:r w:rsidR="00884BCC" w:rsidRPr="006166CC">
        <w:rPr>
          <w:rFonts w:ascii="Times New Roman" w:hAnsi="Times New Roman" w:cs="Times New Roman"/>
          <w:b/>
          <w:sz w:val="24"/>
          <w:szCs w:val="24"/>
          <w:lang w:val="lv-LV"/>
        </w:rPr>
        <w:t xml:space="preserve">. </w:t>
      </w:r>
      <w:r w:rsidR="00BC4C64" w:rsidRPr="006166CC">
        <w:rPr>
          <w:rFonts w:ascii="Times New Roman" w:hAnsi="Times New Roman" w:cs="Times New Roman"/>
          <w:sz w:val="24"/>
          <w:szCs w:val="24"/>
          <w:lang w:val="lv-LV"/>
        </w:rPr>
        <w:t xml:space="preserve">Uzņēmuma sagatavošana biržai ir </w:t>
      </w:r>
      <w:r w:rsidRPr="006166CC">
        <w:rPr>
          <w:rFonts w:ascii="Times New Roman" w:hAnsi="Times New Roman" w:cs="Times New Roman"/>
          <w:sz w:val="24"/>
          <w:szCs w:val="24"/>
          <w:lang w:val="lv-LV"/>
        </w:rPr>
        <w:t xml:space="preserve">ne tikai laikietilpīgs process, </w:t>
      </w:r>
      <w:r w:rsidR="00C4105B" w:rsidRPr="006166CC">
        <w:rPr>
          <w:rFonts w:ascii="Times New Roman" w:hAnsi="Times New Roman" w:cs="Times New Roman"/>
          <w:sz w:val="24"/>
          <w:szCs w:val="24"/>
          <w:lang w:val="lv-LV"/>
        </w:rPr>
        <w:t xml:space="preserve">piemēram, </w:t>
      </w:r>
      <w:r w:rsidR="00BC4C64" w:rsidRPr="006166CC">
        <w:rPr>
          <w:rFonts w:ascii="Times New Roman" w:hAnsi="Times New Roman" w:cs="Times New Roman"/>
          <w:sz w:val="24"/>
          <w:szCs w:val="24"/>
          <w:lang w:val="lv-LV"/>
        </w:rPr>
        <w:t>restrukturizācija,</w:t>
      </w:r>
      <w:r w:rsidRPr="006166CC">
        <w:rPr>
          <w:rFonts w:ascii="Times New Roman" w:hAnsi="Times New Roman" w:cs="Times New Roman"/>
          <w:sz w:val="24"/>
          <w:szCs w:val="24"/>
          <w:lang w:val="lv-LV"/>
        </w:rPr>
        <w:t xml:space="preserve"> pārveidošanās par akciju sabiedrību,</w:t>
      </w:r>
      <w:r w:rsidR="00BC4C64" w:rsidRPr="006166CC">
        <w:rPr>
          <w:rFonts w:ascii="Times New Roman" w:hAnsi="Times New Roman" w:cs="Times New Roman"/>
          <w:sz w:val="24"/>
          <w:szCs w:val="24"/>
          <w:lang w:val="lv-LV"/>
        </w:rPr>
        <w:t xml:space="preserve"> </w:t>
      </w:r>
      <w:r w:rsidRPr="006166CC">
        <w:rPr>
          <w:rFonts w:ascii="Times New Roman" w:hAnsi="Times New Roman" w:cs="Times New Roman"/>
          <w:sz w:val="24"/>
          <w:szCs w:val="24"/>
          <w:lang w:val="lv-LV"/>
        </w:rPr>
        <w:t xml:space="preserve">Starptautisko </w:t>
      </w:r>
      <w:r w:rsidR="00513099" w:rsidRPr="006166CC">
        <w:rPr>
          <w:rFonts w:ascii="Times New Roman" w:hAnsi="Times New Roman" w:cs="Times New Roman"/>
          <w:sz w:val="24"/>
          <w:szCs w:val="24"/>
          <w:lang w:val="lv-LV"/>
        </w:rPr>
        <w:t>finanšu pārskatu</w:t>
      </w:r>
      <w:r w:rsidRPr="006166CC">
        <w:rPr>
          <w:rFonts w:ascii="Times New Roman" w:hAnsi="Times New Roman" w:cs="Times New Roman"/>
          <w:sz w:val="24"/>
          <w:szCs w:val="24"/>
          <w:lang w:val="lv-LV"/>
        </w:rPr>
        <w:t xml:space="preserve"> standartu ieviešana</w:t>
      </w:r>
      <w:r w:rsidR="00BC4C64" w:rsidRPr="006166CC">
        <w:rPr>
          <w:rFonts w:ascii="Times New Roman" w:hAnsi="Times New Roman" w:cs="Times New Roman"/>
          <w:sz w:val="24"/>
          <w:szCs w:val="24"/>
          <w:lang w:val="lv-LV"/>
        </w:rPr>
        <w:t xml:space="preserve">, </w:t>
      </w:r>
      <w:r w:rsidRPr="006166CC">
        <w:rPr>
          <w:rFonts w:ascii="Times New Roman" w:hAnsi="Times New Roman" w:cs="Times New Roman"/>
          <w:sz w:val="24"/>
          <w:szCs w:val="24"/>
          <w:lang w:val="lv-LV"/>
        </w:rPr>
        <w:t xml:space="preserve">emisijas prospekta </w:t>
      </w:r>
      <w:r w:rsidRPr="006166CC">
        <w:rPr>
          <w:rFonts w:ascii="Times New Roman" w:hAnsi="Times New Roman" w:cs="Times New Roman"/>
          <w:sz w:val="24"/>
          <w:szCs w:val="24"/>
          <w:lang w:val="lv-LV"/>
        </w:rPr>
        <w:lastRenderedPageBreak/>
        <w:t xml:space="preserve">sagatavošana, bet arī </w:t>
      </w:r>
      <w:r w:rsidR="00BC4C64" w:rsidRPr="006166CC">
        <w:rPr>
          <w:rFonts w:ascii="Times New Roman" w:hAnsi="Times New Roman" w:cs="Times New Roman"/>
          <w:sz w:val="24"/>
          <w:szCs w:val="24"/>
          <w:lang w:val="lv-LV"/>
        </w:rPr>
        <w:t>a</w:t>
      </w:r>
      <w:r w:rsidR="009D5102" w:rsidRPr="006166CC">
        <w:rPr>
          <w:rFonts w:ascii="Times New Roman" w:hAnsi="Times New Roman" w:cs="Times New Roman"/>
          <w:sz w:val="24"/>
          <w:szCs w:val="24"/>
          <w:lang w:val="lv-LV"/>
        </w:rPr>
        <w:t xml:space="preserve">r uzņēmuma </w:t>
      </w:r>
      <w:r w:rsidR="00F43B27" w:rsidRPr="006166CC">
        <w:rPr>
          <w:rFonts w:ascii="Times New Roman" w:hAnsi="Times New Roman" w:cs="Times New Roman"/>
          <w:sz w:val="24"/>
          <w:szCs w:val="24"/>
          <w:lang w:val="lv-LV"/>
        </w:rPr>
        <w:t xml:space="preserve">akciju </w:t>
      </w:r>
      <w:r w:rsidR="009D5102" w:rsidRPr="006166CC">
        <w:rPr>
          <w:rFonts w:ascii="Times New Roman" w:hAnsi="Times New Roman" w:cs="Times New Roman"/>
          <w:sz w:val="24"/>
          <w:szCs w:val="24"/>
          <w:lang w:val="lv-LV"/>
        </w:rPr>
        <w:t>kotāciju saistītās i</w:t>
      </w:r>
      <w:r w:rsidR="00BC4C64" w:rsidRPr="006166CC">
        <w:rPr>
          <w:rFonts w:ascii="Times New Roman" w:hAnsi="Times New Roman" w:cs="Times New Roman"/>
          <w:sz w:val="24"/>
          <w:szCs w:val="24"/>
          <w:lang w:val="lv-LV"/>
        </w:rPr>
        <w:t>zmaksas ir salīdzinoši augstas. P</w:t>
      </w:r>
      <w:r w:rsidR="009D5102" w:rsidRPr="006166CC">
        <w:rPr>
          <w:rFonts w:ascii="Times New Roman" w:hAnsi="Times New Roman" w:cs="Times New Roman"/>
          <w:sz w:val="24"/>
          <w:szCs w:val="24"/>
          <w:lang w:val="lv-LV"/>
        </w:rPr>
        <w:t xml:space="preserve">iemēram, </w:t>
      </w:r>
      <w:r w:rsidR="00F43B27" w:rsidRPr="006166CC">
        <w:rPr>
          <w:rFonts w:ascii="Times New Roman" w:hAnsi="Times New Roman" w:cs="Times New Roman"/>
          <w:sz w:val="24"/>
          <w:szCs w:val="24"/>
          <w:lang w:val="lv-LV"/>
        </w:rPr>
        <w:t>AS “</w:t>
      </w:r>
      <w:r w:rsidR="009D5102" w:rsidRPr="006166CC">
        <w:rPr>
          <w:rFonts w:ascii="Times New Roman" w:hAnsi="Times New Roman" w:cs="Times New Roman"/>
          <w:sz w:val="24"/>
          <w:szCs w:val="24"/>
          <w:lang w:val="lv-LV"/>
        </w:rPr>
        <w:t>HansaMatrix</w:t>
      </w:r>
      <w:r w:rsidR="00F43B27" w:rsidRPr="006166CC">
        <w:rPr>
          <w:rFonts w:ascii="Times New Roman" w:hAnsi="Times New Roman" w:cs="Times New Roman"/>
          <w:sz w:val="24"/>
          <w:szCs w:val="24"/>
          <w:lang w:val="lv-LV"/>
        </w:rPr>
        <w:t>”</w:t>
      </w:r>
      <w:r w:rsidR="009D5102" w:rsidRPr="006166CC">
        <w:rPr>
          <w:rFonts w:ascii="Times New Roman" w:hAnsi="Times New Roman" w:cs="Times New Roman"/>
          <w:sz w:val="24"/>
          <w:szCs w:val="24"/>
          <w:lang w:val="lv-LV"/>
        </w:rPr>
        <w:t xml:space="preserve"> gadījumā piesaistītais kapitāls bija 2.5 miljoni eiro, bet izmaksas sasniedza aptuveni 10% no tā. </w:t>
      </w:r>
      <w:r w:rsidR="00C4105B" w:rsidRPr="006166CC">
        <w:rPr>
          <w:rFonts w:ascii="Times New Roman" w:hAnsi="Times New Roman" w:cs="Times New Roman"/>
          <w:sz w:val="24"/>
          <w:szCs w:val="24"/>
          <w:lang w:val="lv-LV"/>
        </w:rPr>
        <w:t xml:space="preserve">Potenciāls risinājums būtu izmantot ES fondus kapitāla tirgus attīstībai. </w:t>
      </w:r>
      <w:r w:rsidR="003F7A95" w:rsidRPr="006166CC">
        <w:rPr>
          <w:rFonts w:ascii="Times New Roman" w:hAnsi="Times New Roman" w:cs="Times New Roman"/>
          <w:sz w:val="24"/>
          <w:szCs w:val="24"/>
          <w:lang w:val="lv-LV"/>
        </w:rPr>
        <w:t>Jau šobrīd Finanšu sektora attīstības plānā 2017. – 2019. gadam</w:t>
      </w:r>
      <w:r w:rsidR="003F7A95" w:rsidRPr="006166CC">
        <w:rPr>
          <w:rStyle w:val="FootnoteReference"/>
          <w:rFonts w:ascii="Times New Roman" w:hAnsi="Times New Roman" w:cs="Times New Roman"/>
          <w:sz w:val="24"/>
          <w:szCs w:val="24"/>
          <w:lang w:val="lv-LV"/>
        </w:rPr>
        <w:footnoteReference w:id="37"/>
      </w:r>
      <w:r w:rsidR="003F7A95" w:rsidRPr="006166CC">
        <w:rPr>
          <w:rFonts w:ascii="Times New Roman" w:hAnsi="Times New Roman" w:cs="Times New Roman"/>
          <w:sz w:val="24"/>
          <w:szCs w:val="24"/>
          <w:lang w:val="lv-LV"/>
        </w:rPr>
        <w:t xml:space="preserve"> ir paredzēts izveidot </w:t>
      </w:r>
      <w:r w:rsidR="00C44828" w:rsidRPr="006166CC">
        <w:rPr>
          <w:rFonts w:ascii="Times New Roman" w:hAnsi="Times New Roman" w:cs="Times New Roman"/>
          <w:sz w:val="24"/>
          <w:szCs w:val="24"/>
          <w:lang w:val="lv-LV"/>
        </w:rPr>
        <w:t xml:space="preserve">ilgtermiņa (vismaz 3-5 gadi) valsts atbalsta programmu, kas veicinātu un paplašinātu finansējuma pieejamību mazām un vidējām komercsabiedrībām </w:t>
      </w:r>
      <w:r w:rsidR="00B870BA" w:rsidRPr="006166CC">
        <w:rPr>
          <w:rFonts w:ascii="Times New Roman" w:hAnsi="Times New Roman" w:cs="Times New Roman"/>
          <w:sz w:val="24"/>
          <w:szCs w:val="24"/>
          <w:lang w:val="lv-LV"/>
        </w:rPr>
        <w:t>ar</w:t>
      </w:r>
      <w:r w:rsidR="00C44828" w:rsidRPr="006166CC">
        <w:rPr>
          <w:rFonts w:ascii="Times New Roman" w:hAnsi="Times New Roman" w:cs="Times New Roman"/>
          <w:sz w:val="24"/>
          <w:szCs w:val="24"/>
          <w:lang w:val="lv-LV"/>
        </w:rPr>
        <w:t xml:space="preserve"> akciju un/vai parāda vērtspapīru emisiju tālāku kotāciju biržā, izmantojot valsts vai ES fondu līdzekļus. Atbalsta programmai jāparedz līdzfinansējums akciju un/vai parāda vērtspapīru emisijas veikšanai, kotācijas uzsākšanai, pilnīgi vai daļēji sedzot saistītās izmaksas.</w:t>
      </w:r>
    </w:p>
    <w:p w14:paraId="1F4B3DFB" w14:textId="57C81171" w:rsidR="00536CEB" w:rsidRPr="006166CC" w:rsidRDefault="00536CEB" w:rsidP="00EA3BA7">
      <w:pPr>
        <w:jc w:val="both"/>
        <w:rPr>
          <w:rFonts w:ascii="Times New Roman" w:hAnsi="Times New Roman" w:cs="Times New Roman"/>
          <w:sz w:val="24"/>
          <w:szCs w:val="24"/>
          <w:lang w:val="lv-LV"/>
        </w:rPr>
      </w:pPr>
      <w:r w:rsidRPr="006166CC">
        <w:rPr>
          <w:rFonts w:ascii="Times New Roman" w:hAnsi="Times New Roman" w:cs="Times New Roman"/>
          <w:sz w:val="24"/>
          <w:szCs w:val="24"/>
          <w:lang w:val="lv-LV"/>
        </w:rPr>
        <w:t>Finanšu ministrija 2018. gada 20. februārī ir uzsākusi projektu sadarbībā ar Eiropas Komisijas Strukturālo reformu atbalsta programmu un Eiropas Rekonstrukcijas un attīstības banku “MVU kotācijas atbalsta instrumentu izstrāde”. Šī projekta ietvaros tiks izstrādāti praktiski risinājumi mazo un vidējo uzņēmumu kotācijas atbalstam.</w:t>
      </w:r>
    </w:p>
    <w:p w14:paraId="6D988AC8" w14:textId="23F34CA6" w:rsidR="000A49BB" w:rsidRPr="006166CC" w:rsidRDefault="007D1C01" w:rsidP="00EA3BA7">
      <w:pPr>
        <w:jc w:val="both"/>
        <w:rPr>
          <w:rFonts w:ascii="Times New Roman" w:hAnsi="Times New Roman" w:cs="Times New Roman"/>
          <w:sz w:val="24"/>
          <w:szCs w:val="24"/>
          <w:lang w:val="lv-LV"/>
        </w:rPr>
      </w:pPr>
      <w:r w:rsidRPr="006166CC">
        <w:rPr>
          <w:rFonts w:ascii="Times New Roman" w:hAnsi="Times New Roman" w:cs="Times New Roman"/>
          <w:sz w:val="24"/>
          <w:szCs w:val="24"/>
          <w:lang w:val="lv-LV"/>
        </w:rPr>
        <w:t>ES fondu līdzekļi</w:t>
      </w:r>
      <w:r w:rsidR="000A49BB" w:rsidRPr="006166CC">
        <w:rPr>
          <w:rFonts w:ascii="Times New Roman" w:hAnsi="Times New Roman" w:cs="Times New Roman"/>
          <w:sz w:val="24"/>
          <w:szCs w:val="24"/>
          <w:lang w:val="lv-LV"/>
        </w:rPr>
        <w:t xml:space="preserve"> tiek plaši </w:t>
      </w:r>
      <w:r w:rsidRPr="006166CC">
        <w:rPr>
          <w:rFonts w:ascii="Times New Roman" w:hAnsi="Times New Roman" w:cs="Times New Roman"/>
          <w:sz w:val="24"/>
          <w:szCs w:val="24"/>
          <w:lang w:val="lv-LV"/>
        </w:rPr>
        <w:t>izmantoti</w:t>
      </w:r>
      <w:r w:rsidR="000A49BB" w:rsidRPr="006166CC">
        <w:rPr>
          <w:rFonts w:ascii="Times New Roman" w:hAnsi="Times New Roman" w:cs="Times New Roman"/>
          <w:sz w:val="24"/>
          <w:szCs w:val="24"/>
          <w:lang w:val="lv-LV"/>
        </w:rPr>
        <w:t xml:space="preserve"> Polijā, kur </w:t>
      </w:r>
      <w:r w:rsidR="0050115A" w:rsidRPr="006166CC">
        <w:rPr>
          <w:rFonts w:ascii="Times New Roman" w:hAnsi="Times New Roman" w:cs="Times New Roman"/>
          <w:sz w:val="24"/>
          <w:szCs w:val="24"/>
          <w:lang w:val="lv-LV"/>
        </w:rPr>
        <w:t xml:space="preserve">šādi </w:t>
      </w:r>
      <w:r w:rsidR="000A49BB" w:rsidRPr="006166CC">
        <w:rPr>
          <w:rFonts w:ascii="Times New Roman" w:hAnsi="Times New Roman" w:cs="Times New Roman"/>
          <w:sz w:val="24"/>
          <w:szCs w:val="24"/>
          <w:lang w:val="lv-LV"/>
        </w:rPr>
        <w:t xml:space="preserve">tiek segti 50% ar </w:t>
      </w:r>
      <w:r w:rsidR="0050115A" w:rsidRPr="006166CC">
        <w:rPr>
          <w:rFonts w:ascii="Times New Roman" w:hAnsi="Times New Roman" w:cs="Times New Roman"/>
          <w:sz w:val="24"/>
          <w:szCs w:val="24"/>
          <w:lang w:val="lv-LV"/>
        </w:rPr>
        <w:t>kotāciju saistīto izmaksu</w:t>
      </w:r>
      <w:r w:rsidR="000A49BB" w:rsidRPr="006166CC">
        <w:rPr>
          <w:rFonts w:ascii="Times New Roman" w:hAnsi="Times New Roman" w:cs="Times New Roman"/>
          <w:sz w:val="24"/>
          <w:szCs w:val="24"/>
          <w:lang w:val="lv-LV"/>
        </w:rPr>
        <w:t>. No 2008.</w:t>
      </w:r>
      <w:r w:rsidR="002E3605" w:rsidRPr="006166CC">
        <w:rPr>
          <w:rFonts w:ascii="Times New Roman" w:hAnsi="Times New Roman" w:cs="Times New Roman"/>
          <w:sz w:val="24"/>
          <w:szCs w:val="24"/>
          <w:lang w:val="lv-LV"/>
        </w:rPr>
        <w:t xml:space="preserve"> </w:t>
      </w:r>
      <w:r w:rsidR="00B870BA" w:rsidRPr="006166CC">
        <w:rPr>
          <w:rFonts w:ascii="Times New Roman" w:hAnsi="Times New Roman" w:cs="Times New Roman"/>
          <w:sz w:val="24"/>
          <w:szCs w:val="24"/>
          <w:lang w:val="lv-LV"/>
        </w:rPr>
        <w:t>gada</w:t>
      </w:r>
      <w:r w:rsidR="000A49BB" w:rsidRPr="006166CC">
        <w:rPr>
          <w:rFonts w:ascii="Times New Roman" w:hAnsi="Times New Roman" w:cs="Times New Roman"/>
          <w:sz w:val="24"/>
          <w:szCs w:val="24"/>
          <w:lang w:val="lv-LV"/>
        </w:rPr>
        <w:t xml:space="preserve"> līdz 2011. gadam tika saņemts 661 pieteikums, 256 no tiem tika pieņemti, sasniedzot kopējo summu 8.5 miljoni eiro. Vēl viena šāda pieteikšanās programma beidzās </w:t>
      </w:r>
      <w:r w:rsidR="00555BBE" w:rsidRPr="006166CC">
        <w:rPr>
          <w:rFonts w:ascii="Times New Roman" w:hAnsi="Times New Roman" w:cs="Times New Roman"/>
          <w:sz w:val="24"/>
          <w:szCs w:val="24"/>
          <w:lang w:val="lv-LV"/>
        </w:rPr>
        <w:t>2016.gadā</w:t>
      </w:r>
      <w:r w:rsidR="000A49BB" w:rsidRPr="006166CC">
        <w:rPr>
          <w:rFonts w:ascii="Times New Roman" w:hAnsi="Times New Roman" w:cs="Times New Roman"/>
          <w:sz w:val="24"/>
          <w:szCs w:val="24"/>
          <w:lang w:val="lv-LV"/>
        </w:rPr>
        <w:t xml:space="preserve">, bet viena </w:t>
      </w:r>
      <w:r w:rsidR="00555BBE" w:rsidRPr="006166CC">
        <w:rPr>
          <w:rFonts w:ascii="Times New Roman" w:hAnsi="Times New Roman" w:cs="Times New Roman"/>
          <w:sz w:val="24"/>
          <w:szCs w:val="24"/>
          <w:lang w:val="lv-LV"/>
        </w:rPr>
        <w:t xml:space="preserve">bija </w:t>
      </w:r>
      <w:r w:rsidR="000A49BB" w:rsidRPr="006166CC">
        <w:rPr>
          <w:rFonts w:ascii="Times New Roman" w:hAnsi="Times New Roman" w:cs="Times New Roman"/>
          <w:sz w:val="24"/>
          <w:szCs w:val="24"/>
          <w:lang w:val="lv-LV"/>
        </w:rPr>
        <w:t xml:space="preserve">atvērta līdz </w:t>
      </w:r>
      <w:r w:rsidR="00555BBE" w:rsidRPr="006166CC">
        <w:rPr>
          <w:rFonts w:ascii="Times New Roman" w:hAnsi="Times New Roman" w:cs="Times New Roman"/>
          <w:sz w:val="24"/>
          <w:szCs w:val="24"/>
          <w:lang w:val="lv-LV"/>
        </w:rPr>
        <w:t>2017.gada</w:t>
      </w:r>
      <w:r w:rsidR="000A49BB" w:rsidRPr="006166CC">
        <w:rPr>
          <w:rFonts w:ascii="Times New Roman" w:hAnsi="Times New Roman" w:cs="Times New Roman"/>
          <w:sz w:val="24"/>
          <w:szCs w:val="24"/>
          <w:lang w:val="lv-LV"/>
        </w:rPr>
        <w:t xml:space="preserve"> novembrim, abām </w:t>
      </w:r>
      <w:r w:rsidR="0050115A" w:rsidRPr="006166CC">
        <w:rPr>
          <w:rFonts w:ascii="Times New Roman" w:hAnsi="Times New Roman" w:cs="Times New Roman"/>
          <w:sz w:val="24"/>
          <w:szCs w:val="24"/>
          <w:lang w:val="lv-LV"/>
        </w:rPr>
        <w:t>kopā veidojot</w:t>
      </w:r>
      <w:r w:rsidR="00B870BA" w:rsidRPr="006166CC">
        <w:rPr>
          <w:rFonts w:ascii="Times New Roman" w:hAnsi="Times New Roman" w:cs="Times New Roman"/>
          <w:sz w:val="24"/>
          <w:szCs w:val="24"/>
          <w:lang w:val="lv-LV"/>
        </w:rPr>
        <w:t xml:space="preserve"> teju 6 miljonus</w:t>
      </w:r>
      <w:r w:rsidR="000A49BB" w:rsidRPr="006166CC">
        <w:rPr>
          <w:rFonts w:ascii="Times New Roman" w:hAnsi="Times New Roman" w:cs="Times New Roman"/>
          <w:sz w:val="24"/>
          <w:szCs w:val="24"/>
          <w:lang w:val="lv-LV"/>
        </w:rPr>
        <w:t xml:space="preserve"> eiro</w:t>
      </w:r>
      <w:r w:rsidR="0050115A" w:rsidRPr="006166CC">
        <w:rPr>
          <w:rFonts w:ascii="Times New Roman" w:hAnsi="Times New Roman" w:cs="Times New Roman"/>
          <w:sz w:val="24"/>
          <w:szCs w:val="24"/>
          <w:lang w:val="lv-LV"/>
        </w:rPr>
        <w:t xml:space="preserve"> lielu finansējumu</w:t>
      </w:r>
      <w:r w:rsidR="000A49BB" w:rsidRPr="006166CC">
        <w:rPr>
          <w:rFonts w:ascii="Times New Roman" w:hAnsi="Times New Roman" w:cs="Times New Roman"/>
          <w:sz w:val="24"/>
          <w:szCs w:val="24"/>
          <w:lang w:val="lv-LV"/>
        </w:rPr>
        <w:t>.</w:t>
      </w:r>
      <w:r w:rsidR="007D7ACE" w:rsidRPr="006166CC">
        <w:rPr>
          <w:rStyle w:val="FootnoteReference"/>
          <w:rFonts w:ascii="Times New Roman" w:hAnsi="Times New Roman" w:cs="Times New Roman"/>
          <w:sz w:val="24"/>
          <w:szCs w:val="24"/>
          <w:lang w:val="lv-LV"/>
        </w:rPr>
        <w:footnoteReference w:id="38"/>
      </w:r>
      <w:r w:rsidR="000A49BB" w:rsidRPr="006166CC">
        <w:rPr>
          <w:rFonts w:ascii="Times New Roman" w:hAnsi="Times New Roman" w:cs="Times New Roman"/>
          <w:sz w:val="24"/>
          <w:szCs w:val="24"/>
          <w:lang w:val="lv-LV"/>
        </w:rPr>
        <w:t xml:space="preserve"> Šīs iniciatīvas rezultātā vairāki mazi un vidēji uzņēm</w:t>
      </w:r>
      <w:r w:rsidR="00031BE2" w:rsidRPr="006166CC">
        <w:rPr>
          <w:rFonts w:ascii="Times New Roman" w:hAnsi="Times New Roman" w:cs="Times New Roman"/>
          <w:sz w:val="24"/>
          <w:szCs w:val="24"/>
          <w:lang w:val="lv-LV"/>
        </w:rPr>
        <w:t xml:space="preserve">umi ir </w:t>
      </w:r>
      <w:r w:rsidR="0050115A" w:rsidRPr="006166CC">
        <w:rPr>
          <w:rFonts w:ascii="Times New Roman" w:hAnsi="Times New Roman" w:cs="Times New Roman"/>
          <w:sz w:val="24"/>
          <w:szCs w:val="24"/>
          <w:lang w:val="lv-LV"/>
        </w:rPr>
        <w:t>uzsākuši kotāciju</w:t>
      </w:r>
      <w:r w:rsidR="00031BE2" w:rsidRPr="006166CC">
        <w:rPr>
          <w:rFonts w:ascii="Times New Roman" w:hAnsi="Times New Roman" w:cs="Times New Roman"/>
          <w:sz w:val="24"/>
          <w:szCs w:val="24"/>
          <w:lang w:val="lv-LV"/>
        </w:rPr>
        <w:t xml:space="preserve"> Varšavas biržas alternatīvajā tirgū</w:t>
      </w:r>
      <w:r w:rsidR="000A49BB" w:rsidRPr="006166CC">
        <w:rPr>
          <w:rFonts w:ascii="Times New Roman" w:hAnsi="Times New Roman" w:cs="Times New Roman"/>
          <w:sz w:val="24"/>
          <w:szCs w:val="24"/>
          <w:lang w:val="lv-LV"/>
        </w:rPr>
        <w:t xml:space="preserve">, tādējādi veicinot </w:t>
      </w:r>
      <w:r w:rsidR="000609FD" w:rsidRPr="006166CC">
        <w:rPr>
          <w:rFonts w:ascii="Times New Roman" w:hAnsi="Times New Roman" w:cs="Times New Roman"/>
          <w:sz w:val="24"/>
          <w:szCs w:val="24"/>
          <w:lang w:val="lv-LV"/>
        </w:rPr>
        <w:t>Polijas kapit</w:t>
      </w:r>
      <w:r w:rsidR="0050115A" w:rsidRPr="006166CC">
        <w:rPr>
          <w:rFonts w:ascii="Times New Roman" w:hAnsi="Times New Roman" w:cs="Times New Roman"/>
          <w:sz w:val="24"/>
          <w:szCs w:val="24"/>
          <w:lang w:val="lv-LV"/>
        </w:rPr>
        <w:t>āla tirgus izaugsmi un tā nosti</w:t>
      </w:r>
      <w:r w:rsidR="000609FD" w:rsidRPr="006166CC">
        <w:rPr>
          <w:rFonts w:ascii="Times New Roman" w:hAnsi="Times New Roman" w:cs="Times New Roman"/>
          <w:sz w:val="24"/>
          <w:szCs w:val="24"/>
          <w:lang w:val="lv-LV"/>
        </w:rPr>
        <w:t>p</w:t>
      </w:r>
      <w:r w:rsidR="0050115A" w:rsidRPr="006166CC">
        <w:rPr>
          <w:rFonts w:ascii="Times New Roman" w:hAnsi="Times New Roman" w:cs="Times New Roman"/>
          <w:sz w:val="24"/>
          <w:szCs w:val="24"/>
          <w:lang w:val="lv-LV"/>
        </w:rPr>
        <w:t>r</w:t>
      </w:r>
      <w:r w:rsidR="000609FD" w:rsidRPr="006166CC">
        <w:rPr>
          <w:rFonts w:ascii="Times New Roman" w:hAnsi="Times New Roman" w:cs="Times New Roman"/>
          <w:sz w:val="24"/>
          <w:szCs w:val="24"/>
          <w:lang w:val="lv-LV"/>
        </w:rPr>
        <w:t xml:space="preserve">ināšanos </w:t>
      </w:r>
      <w:r w:rsidR="0050115A" w:rsidRPr="006166CC">
        <w:rPr>
          <w:rFonts w:ascii="Times New Roman" w:hAnsi="Times New Roman" w:cs="Times New Roman"/>
          <w:sz w:val="24"/>
          <w:szCs w:val="24"/>
          <w:lang w:val="lv-LV"/>
        </w:rPr>
        <w:t xml:space="preserve">par </w:t>
      </w:r>
      <w:r w:rsidR="000609FD" w:rsidRPr="006166CC">
        <w:rPr>
          <w:rFonts w:ascii="Times New Roman" w:hAnsi="Times New Roman" w:cs="Times New Roman"/>
          <w:sz w:val="24"/>
          <w:szCs w:val="24"/>
          <w:lang w:val="lv-LV"/>
        </w:rPr>
        <w:t xml:space="preserve">vienu no vadošajiem finanšu centriem Centrāleiropā. </w:t>
      </w:r>
    </w:p>
    <w:p w14:paraId="1010FC37" w14:textId="148D1167" w:rsidR="00031BE2" w:rsidRPr="006166CC" w:rsidRDefault="0050115A" w:rsidP="00EA3BA7">
      <w:pPr>
        <w:jc w:val="both"/>
        <w:rPr>
          <w:rFonts w:ascii="Times New Roman" w:hAnsi="Times New Roman" w:cs="Times New Roman"/>
          <w:sz w:val="24"/>
          <w:szCs w:val="24"/>
          <w:lang w:val="lv-LV"/>
        </w:rPr>
      </w:pPr>
      <w:r w:rsidRPr="006166CC">
        <w:rPr>
          <w:rFonts w:ascii="Times New Roman" w:hAnsi="Times New Roman" w:cs="Times New Roman"/>
          <w:sz w:val="24"/>
          <w:szCs w:val="24"/>
          <w:lang w:val="lv-LV"/>
        </w:rPr>
        <w:t>Šāds</w:t>
      </w:r>
      <w:r w:rsidR="00031BE2" w:rsidRPr="006166CC">
        <w:rPr>
          <w:rFonts w:ascii="Times New Roman" w:hAnsi="Times New Roman" w:cs="Times New Roman"/>
          <w:sz w:val="24"/>
          <w:szCs w:val="24"/>
          <w:lang w:val="lv-LV"/>
        </w:rPr>
        <w:t xml:space="preserve"> </w:t>
      </w:r>
      <w:r w:rsidRPr="006166CC">
        <w:rPr>
          <w:rFonts w:ascii="Times New Roman" w:hAnsi="Times New Roman" w:cs="Times New Roman"/>
          <w:sz w:val="24"/>
          <w:szCs w:val="24"/>
          <w:lang w:val="lv-LV"/>
        </w:rPr>
        <w:t>atbalsts ir nepieciešam</w:t>
      </w:r>
      <w:r w:rsidR="00031BE2" w:rsidRPr="006166CC">
        <w:rPr>
          <w:rFonts w:ascii="Times New Roman" w:hAnsi="Times New Roman" w:cs="Times New Roman"/>
          <w:sz w:val="24"/>
          <w:szCs w:val="24"/>
          <w:lang w:val="lv-LV"/>
        </w:rPr>
        <w:t xml:space="preserve">s privātā sektora uzņēmumiem, </w:t>
      </w:r>
      <w:r w:rsidRPr="006166CC">
        <w:rPr>
          <w:rFonts w:ascii="Times New Roman" w:hAnsi="Times New Roman" w:cs="Times New Roman"/>
          <w:sz w:val="24"/>
          <w:szCs w:val="24"/>
          <w:lang w:val="lv-LV"/>
        </w:rPr>
        <w:t xml:space="preserve">īpaši </w:t>
      </w:r>
      <w:r w:rsidR="00031BE2" w:rsidRPr="006166CC">
        <w:rPr>
          <w:rFonts w:ascii="Times New Roman" w:hAnsi="Times New Roman" w:cs="Times New Roman"/>
          <w:sz w:val="24"/>
          <w:szCs w:val="24"/>
          <w:lang w:val="lv-LV"/>
        </w:rPr>
        <w:t xml:space="preserve">MVU, jo </w:t>
      </w:r>
      <w:r w:rsidRPr="006166CC">
        <w:rPr>
          <w:rFonts w:ascii="Times New Roman" w:hAnsi="Times New Roman" w:cs="Times New Roman"/>
          <w:sz w:val="24"/>
          <w:szCs w:val="24"/>
          <w:lang w:val="lv-LV"/>
        </w:rPr>
        <w:t>tie ir vienreizēji izdevumi</w:t>
      </w:r>
      <w:r w:rsidR="00031BE2" w:rsidRPr="006166CC">
        <w:rPr>
          <w:rFonts w:ascii="Times New Roman" w:hAnsi="Times New Roman" w:cs="Times New Roman"/>
          <w:sz w:val="24"/>
          <w:szCs w:val="24"/>
          <w:lang w:val="lv-LV"/>
        </w:rPr>
        <w:t xml:space="preserve"> </w:t>
      </w:r>
      <w:r w:rsidRPr="006166CC">
        <w:rPr>
          <w:rFonts w:ascii="Times New Roman" w:hAnsi="Times New Roman" w:cs="Times New Roman"/>
          <w:sz w:val="24"/>
          <w:szCs w:val="24"/>
          <w:lang w:val="lv-LV"/>
        </w:rPr>
        <w:t xml:space="preserve">un ieiešanas izmaksas biržā ir lielas. </w:t>
      </w:r>
      <w:r w:rsidR="00031BE2" w:rsidRPr="006166CC">
        <w:rPr>
          <w:rFonts w:ascii="Times New Roman" w:hAnsi="Times New Roman" w:cs="Times New Roman"/>
          <w:sz w:val="24"/>
          <w:szCs w:val="24"/>
          <w:lang w:val="lv-LV"/>
        </w:rPr>
        <w:t xml:space="preserve">Lai MVU kotētos biržā, tiem nepieciešams inovatīvs elements to biznesā, </w:t>
      </w:r>
      <w:r w:rsidRPr="006166CC">
        <w:rPr>
          <w:rFonts w:ascii="Times New Roman" w:hAnsi="Times New Roman" w:cs="Times New Roman"/>
          <w:sz w:val="24"/>
          <w:szCs w:val="24"/>
          <w:lang w:val="lv-LV"/>
        </w:rPr>
        <w:t xml:space="preserve">gan </w:t>
      </w:r>
      <w:r w:rsidR="00031BE2" w:rsidRPr="006166CC">
        <w:rPr>
          <w:rFonts w:ascii="Times New Roman" w:hAnsi="Times New Roman" w:cs="Times New Roman"/>
          <w:sz w:val="24"/>
          <w:szCs w:val="24"/>
          <w:lang w:val="lv-LV"/>
        </w:rPr>
        <w:t xml:space="preserve">lai piesaistītu investorus, </w:t>
      </w:r>
      <w:r w:rsidRPr="006166CC">
        <w:rPr>
          <w:rFonts w:ascii="Times New Roman" w:hAnsi="Times New Roman" w:cs="Times New Roman"/>
          <w:sz w:val="24"/>
          <w:szCs w:val="24"/>
          <w:lang w:val="lv-LV"/>
        </w:rPr>
        <w:t xml:space="preserve">gan arī, lai </w:t>
      </w:r>
      <w:r w:rsidR="00031BE2" w:rsidRPr="006166CC">
        <w:rPr>
          <w:rFonts w:ascii="Times New Roman" w:hAnsi="Times New Roman" w:cs="Times New Roman"/>
          <w:sz w:val="24"/>
          <w:szCs w:val="24"/>
          <w:lang w:val="lv-LV"/>
        </w:rPr>
        <w:t xml:space="preserve">atbilstu ES fondu līdzekļu piesaistes </w:t>
      </w:r>
      <w:r w:rsidRPr="006166CC">
        <w:rPr>
          <w:rFonts w:ascii="Times New Roman" w:hAnsi="Times New Roman" w:cs="Times New Roman"/>
          <w:sz w:val="24"/>
          <w:szCs w:val="24"/>
          <w:lang w:val="lv-LV"/>
        </w:rPr>
        <w:t>mērķim</w:t>
      </w:r>
      <w:r w:rsidR="00031BE2" w:rsidRPr="006166CC">
        <w:rPr>
          <w:rFonts w:ascii="Times New Roman" w:hAnsi="Times New Roman" w:cs="Times New Roman"/>
          <w:sz w:val="24"/>
          <w:szCs w:val="24"/>
          <w:lang w:val="lv-LV"/>
        </w:rPr>
        <w:t xml:space="preserve">. Jāteic, ka tieši šādi uzņēmumi izvēlas kotēties biržā, </w:t>
      </w:r>
      <w:r w:rsidRPr="006166CC">
        <w:rPr>
          <w:rFonts w:ascii="Times New Roman" w:hAnsi="Times New Roman" w:cs="Times New Roman"/>
          <w:sz w:val="24"/>
          <w:szCs w:val="24"/>
          <w:lang w:val="lv-LV"/>
        </w:rPr>
        <w:t xml:space="preserve">Latvijā </w:t>
      </w:r>
      <w:r w:rsidR="00031BE2" w:rsidRPr="006166CC">
        <w:rPr>
          <w:rFonts w:ascii="Times New Roman" w:hAnsi="Times New Roman" w:cs="Times New Roman"/>
          <w:sz w:val="24"/>
          <w:szCs w:val="24"/>
          <w:lang w:val="lv-LV"/>
        </w:rPr>
        <w:t xml:space="preserve">piemērs tam ir </w:t>
      </w:r>
      <w:r w:rsidR="00555BBE" w:rsidRPr="006166CC">
        <w:rPr>
          <w:rFonts w:ascii="Times New Roman" w:hAnsi="Times New Roman" w:cs="Times New Roman"/>
          <w:sz w:val="24"/>
          <w:szCs w:val="24"/>
          <w:lang w:val="lv-LV"/>
        </w:rPr>
        <w:t xml:space="preserve">2016.gadā </w:t>
      </w:r>
      <w:r w:rsidR="00614345" w:rsidRPr="006166CC">
        <w:rPr>
          <w:rFonts w:ascii="Times New Roman" w:hAnsi="Times New Roman" w:cs="Times New Roman"/>
          <w:sz w:val="24"/>
          <w:szCs w:val="24"/>
          <w:lang w:val="lv-LV"/>
        </w:rPr>
        <w:t xml:space="preserve">kotētais augsto un intelektuālo tehnoloģiju ražotājs </w:t>
      </w:r>
      <w:r w:rsidR="00555BBE" w:rsidRPr="006166CC">
        <w:rPr>
          <w:rFonts w:ascii="Times New Roman" w:hAnsi="Times New Roman" w:cs="Times New Roman"/>
          <w:sz w:val="24"/>
          <w:szCs w:val="24"/>
          <w:lang w:val="lv-LV"/>
        </w:rPr>
        <w:t>AS “</w:t>
      </w:r>
      <w:r w:rsidR="00614345" w:rsidRPr="006166CC">
        <w:rPr>
          <w:rFonts w:ascii="Times New Roman" w:hAnsi="Times New Roman" w:cs="Times New Roman"/>
          <w:sz w:val="24"/>
          <w:szCs w:val="24"/>
          <w:lang w:val="lv-LV"/>
        </w:rPr>
        <w:t>HansaMatrix</w:t>
      </w:r>
      <w:r w:rsidR="00555BBE" w:rsidRPr="006166CC">
        <w:rPr>
          <w:rFonts w:ascii="Times New Roman" w:hAnsi="Times New Roman" w:cs="Times New Roman"/>
          <w:sz w:val="24"/>
          <w:szCs w:val="24"/>
          <w:lang w:val="lv-LV"/>
        </w:rPr>
        <w:t>”</w:t>
      </w:r>
      <w:r w:rsidR="00614345" w:rsidRPr="006166CC">
        <w:rPr>
          <w:rFonts w:ascii="Times New Roman" w:hAnsi="Times New Roman" w:cs="Times New Roman"/>
          <w:sz w:val="24"/>
          <w:szCs w:val="24"/>
          <w:lang w:val="lv-LV"/>
        </w:rPr>
        <w:t xml:space="preserve"> un </w:t>
      </w:r>
      <w:r w:rsidR="00555BBE" w:rsidRPr="006166CC">
        <w:rPr>
          <w:rFonts w:ascii="Times New Roman" w:hAnsi="Times New Roman" w:cs="Times New Roman"/>
          <w:sz w:val="24"/>
          <w:szCs w:val="24"/>
          <w:lang w:val="lv-LV"/>
        </w:rPr>
        <w:t>2017.</w:t>
      </w:r>
      <w:r w:rsidR="00614345" w:rsidRPr="006166CC">
        <w:rPr>
          <w:rFonts w:ascii="Times New Roman" w:hAnsi="Times New Roman" w:cs="Times New Roman"/>
          <w:sz w:val="24"/>
          <w:szCs w:val="24"/>
          <w:lang w:val="lv-LV"/>
        </w:rPr>
        <w:t xml:space="preserve"> gad</w:t>
      </w:r>
      <w:r w:rsidR="00555BBE" w:rsidRPr="006166CC">
        <w:rPr>
          <w:rFonts w:ascii="Times New Roman" w:hAnsi="Times New Roman" w:cs="Times New Roman"/>
          <w:sz w:val="24"/>
          <w:szCs w:val="24"/>
          <w:lang w:val="lv-LV"/>
        </w:rPr>
        <w:t>ā</w:t>
      </w:r>
      <w:r w:rsidR="00614345" w:rsidRPr="006166CC">
        <w:rPr>
          <w:rFonts w:ascii="Times New Roman" w:hAnsi="Times New Roman" w:cs="Times New Roman"/>
          <w:sz w:val="24"/>
          <w:szCs w:val="24"/>
          <w:lang w:val="lv-LV"/>
        </w:rPr>
        <w:t xml:space="preserve"> uzņēmums </w:t>
      </w:r>
      <w:r w:rsidR="00555BBE" w:rsidRPr="006166CC">
        <w:rPr>
          <w:rFonts w:ascii="Times New Roman" w:hAnsi="Times New Roman" w:cs="Times New Roman"/>
          <w:sz w:val="24"/>
          <w:szCs w:val="24"/>
          <w:lang w:val="lv-LV"/>
        </w:rPr>
        <w:t>AS “</w:t>
      </w:r>
      <w:r w:rsidR="00614345" w:rsidRPr="006166CC">
        <w:rPr>
          <w:rFonts w:ascii="Times New Roman" w:hAnsi="Times New Roman" w:cs="Times New Roman"/>
          <w:sz w:val="24"/>
          <w:szCs w:val="24"/>
          <w:lang w:val="lv-LV"/>
        </w:rPr>
        <w:t>Madara</w:t>
      </w:r>
      <w:r w:rsidR="00555BBE" w:rsidRPr="006166CC">
        <w:rPr>
          <w:rFonts w:ascii="Times New Roman" w:hAnsi="Times New Roman" w:cs="Times New Roman"/>
          <w:sz w:val="24"/>
          <w:szCs w:val="24"/>
          <w:lang w:val="lv-LV"/>
        </w:rPr>
        <w:t>”</w:t>
      </w:r>
      <w:r w:rsidR="00614345" w:rsidRPr="006166CC">
        <w:rPr>
          <w:rFonts w:ascii="Times New Roman" w:hAnsi="Times New Roman" w:cs="Times New Roman"/>
          <w:sz w:val="24"/>
          <w:szCs w:val="24"/>
          <w:lang w:val="lv-LV"/>
        </w:rPr>
        <w:t xml:space="preserve">, </w:t>
      </w:r>
      <w:r w:rsidRPr="006166CC">
        <w:rPr>
          <w:rFonts w:ascii="Times New Roman" w:hAnsi="Times New Roman" w:cs="Times New Roman"/>
          <w:sz w:val="24"/>
          <w:szCs w:val="24"/>
          <w:lang w:val="lv-LV"/>
        </w:rPr>
        <w:t xml:space="preserve">kas ir </w:t>
      </w:r>
      <w:r w:rsidR="00614345" w:rsidRPr="006166CC">
        <w:rPr>
          <w:rFonts w:ascii="Times New Roman" w:hAnsi="Times New Roman" w:cs="Times New Roman"/>
          <w:sz w:val="24"/>
          <w:szCs w:val="24"/>
          <w:lang w:val="lv-LV"/>
        </w:rPr>
        <w:t>ekoloģisk</w:t>
      </w:r>
      <w:r w:rsidR="004E479C" w:rsidRPr="006166CC">
        <w:rPr>
          <w:rFonts w:ascii="Times New Roman" w:hAnsi="Times New Roman" w:cs="Times New Roman"/>
          <w:sz w:val="24"/>
          <w:szCs w:val="24"/>
          <w:lang w:val="lv-LV"/>
        </w:rPr>
        <w:t>ā</w:t>
      </w:r>
      <w:r w:rsidR="00614345" w:rsidRPr="006166CC">
        <w:rPr>
          <w:rFonts w:ascii="Times New Roman" w:hAnsi="Times New Roman" w:cs="Times New Roman"/>
          <w:sz w:val="24"/>
          <w:szCs w:val="24"/>
          <w:lang w:val="lv-LV"/>
        </w:rPr>
        <w:t xml:space="preserve">s kosmētikas ražotājs. </w:t>
      </w:r>
    </w:p>
    <w:p w14:paraId="76A890A3" w14:textId="77777777" w:rsidR="003D4A2D" w:rsidRPr="006166CC" w:rsidRDefault="003D4A2D" w:rsidP="00F74F8C">
      <w:pPr>
        <w:pStyle w:val="Heading2"/>
        <w:rPr>
          <w:rFonts w:ascii="Times New Roman" w:hAnsi="Times New Roman" w:cs="Times New Roman"/>
          <w:sz w:val="24"/>
          <w:szCs w:val="24"/>
          <w:lang w:val="lv-LV"/>
        </w:rPr>
      </w:pPr>
      <w:bookmarkStart w:id="24" w:name="_Toc511029111"/>
      <w:r w:rsidRPr="006166CC">
        <w:rPr>
          <w:rFonts w:ascii="Times New Roman" w:hAnsi="Times New Roman" w:cs="Times New Roman"/>
          <w:sz w:val="24"/>
          <w:szCs w:val="24"/>
          <w:lang w:val="lv-LV"/>
        </w:rPr>
        <w:t>Indeksācijas izaicinājumi</w:t>
      </w:r>
      <w:bookmarkEnd w:id="24"/>
    </w:p>
    <w:p w14:paraId="3BC1A212" w14:textId="77777777" w:rsidR="00F74F8C" w:rsidRPr="006166CC" w:rsidRDefault="00E75FFE" w:rsidP="00EA3BA7">
      <w:pPr>
        <w:jc w:val="both"/>
        <w:rPr>
          <w:rFonts w:ascii="Times New Roman" w:hAnsi="Times New Roman" w:cs="Times New Roman"/>
          <w:sz w:val="24"/>
          <w:szCs w:val="24"/>
          <w:lang w:val="lv-LV"/>
        </w:rPr>
      </w:pPr>
      <w:r w:rsidRPr="006166CC">
        <w:rPr>
          <w:rFonts w:ascii="Times New Roman" w:hAnsi="Times New Roman" w:cs="Times New Roman"/>
          <w:sz w:val="24"/>
          <w:szCs w:val="24"/>
          <w:lang w:val="lv-LV"/>
        </w:rPr>
        <w:t>Viens no svarīgiem faktoriem kapitāla tirgus attīstībā</w:t>
      </w:r>
      <w:r w:rsidR="00F74143" w:rsidRPr="006166CC">
        <w:rPr>
          <w:rFonts w:ascii="Times New Roman" w:hAnsi="Times New Roman" w:cs="Times New Roman"/>
          <w:sz w:val="24"/>
          <w:szCs w:val="24"/>
          <w:lang w:val="lv-LV"/>
        </w:rPr>
        <w:t xml:space="preserve"> brīžos, kad valsts aktīvi lūkojās pēc investīcijām</w:t>
      </w:r>
      <w:r w:rsidR="00D60BE5" w:rsidRPr="006166CC">
        <w:rPr>
          <w:rFonts w:ascii="Times New Roman" w:hAnsi="Times New Roman" w:cs="Times New Roman"/>
          <w:sz w:val="24"/>
          <w:szCs w:val="24"/>
          <w:lang w:val="lv-LV"/>
        </w:rPr>
        <w:t>,</w:t>
      </w:r>
      <w:r w:rsidR="00F74143" w:rsidRPr="006166CC">
        <w:rPr>
          <w:rFonts w:ascii="Times New Roman" w:hAnsi="Times New Roman" w:cs="Times New Roman"/>
          <w:sz w:val="24"/>
          <w:szCs w:val="24"/>
          <w:lang w:val="lv-LV"/>
        </w:rPr>
        <w:t xml:space="preserve"> </w:t>
      </w:r>
      <w:r w:rsidR="0017545E" w:rsidRPr="006166CC">
        <w:rPr>
          <w:rFonts w:ascii="Times New Roman" w:hAnsi="Times New Roman" w:cs="Times New Roman"/>
          <w:sz w:val="24"/>
          <w:szCs w:val="24"/>
          <w:lang w:val="lv-LV"/>
        </w:rPr>
        <w:t xml:space="preserve">ir </w:t>
      </w:r>
      <w:r w:rsidRPr="006166CC">
        <w:rPr>
          <w:rFonts w:ascii="Times New Roman" w:hAnsi="Times New Roman" w:cs="Times New Roman"/>
          <w:sz w:val="24"/>
          <w:szCs w:val="24"/>
          <w:lang w:val="lv-LV"/>
        </w:rPr>
        <w:t>investoru specializācija.</w:t>
      </w:r>
      <w:r w:rsidR="00D60BE5" w:rsidRPr="006166CC">
        <w:rPr>
          <w:rFonts w:ascii="Times New Roman" w:hAnsi="Times New Roman" w:cs="Times New Roman"/>
          <w:sz w:val="24"/>
          <w:szCs w:val="24"/>
          <w:lang w:val="lv-LV"/>
        </w:rPr>
        <w:t xml:space="preserve"> Tie</w:t>
      </w:r>
      <w:r w:rsidR="0017545E" w:rsidRPr="006166CC">
        <w:rPr>
          <w:rFonts w:ascii="Times New Roman" w:hAnsi="Times New Roman" w:cs="Times New Roman"/>
          <w:sz w:val="24"/>
          <w:szCs w:val="24"/>
          <w:lang w:val="lv-LV"/>
        </w:rPr>
        <w:t xml:space="preserve"> </w:t>
      </w:r>
      <w:r w:rsidRPr="006166CC">
        <w:rPr>
          <w:rFonts w:ascii="Times New Roman" w:hAnsi="Times New Roman" w:cs="Times New Roman"/>
          <w:sz w:val="24"/>
          <w:szCs w:val="24"/>
          <w:lang w:val="lv-LV"/>
        </w:rPr>
        <w:t xml:space="preserve">investori, </w:t>
      </w:r>
      <w:r w:rsidR="0017545E" w:rsidRPr="006166CC">
        <w:rPr>
          <w:rFonts w:ascii="Times New Roman" w:hAnsi="Times New Roman" w:cs="Times New Roman"/>
          <w:sz w:val="24"/>
          <w:szCs w:val="24"/>
          <w:lang w:val="lv-LV"/>
        </w:rPr>
        <w:t>kuri pārvalda lielos</w:t>
      </w:r>
      <w:r w:rsidR="00F74143" w:rsidRPr="006166CC">
        <w:rPr>
          <w:rFonts w:ascii="Times New Roman" w:hAnsi="Times New Roman" w:cs="Times New Roman"/>
          <w:sz w:val="24"/>
          <w:szCs w:val="24"/>
          <w:lang w:val="lv-LV"/>
        </w:rPr>
        <w:t xml:space="preserve"> starptautiskos</w:t>
      </w:r>
      <w:r w:rsidR="0017545E" w:rsidRPr="006166CC">
        <w:rPr>
          <w:rFonts w:ascii="Times New Roman" w:hAnsi="Times New Roman" w:cs="Times New Roman"/>
          <w:sz w:val="24"/>
          <w:szCs w:val="24"/>
          <w:lang w:val="lv-LV"/>
        </w:rPr>
        <w:t xml:space="preserve"> akciju portfeļus, </w:t>
      </w:r>
      <w:r w:rsidR="00046BC5" w:rsidRPr="006166CC">
        <w:rPr>
          <w:rFonts w:ascii="Times New Roman" w:hAnsi="Times New Roman" w:cs="Times New Roman"/>
          <w:sz w:val="24"/>
          <w:szCs w:val="24"/>
          <w:lang w:val="lv-LV"/>
        </w:rPr>
        <w:t>nemēdz</w:t>
      </w:r>
      <w:r w:rsidR="0017545E" w:rsidRPr="006166CC">
        <w:rPr>
          <w:rFonts w:ascii="Times New Roman" w:hAnsi="Times New Roman" w:cs="Times New Roman"/>
          <w:sz w:val="24"/>
          <w:szCs w:val="24"/>
          <w:lang w:val="lv-LV"/>
        </w:rPr>
        <w:t xml:space="preserve"> </w:t>
      </w:r>
      <w:r w:rsidR="00046BC5" w:rsidRPr="006166CC">
        <w:rPr>
          <w:rFonts w:ascii="Times New Roman" w:hAnsi="Times New Roman" w:cs="Times New Roman"/>
          <w:sz w:val="24"/>
          <w:szCs w:val="24"/>
          <w:lang w:val="lv-LV"/>
        </w:rPr>
        <w:t>detalizēti sekot līdzi</w:t>
      </w:r>
      <w:r w:rsidR="0017545E" w:rsidRPr="006166CC">
        <w:rPr>
          <w:rFonts w:ascii="Times New Roman" w:hAnsi="Times New Roman" w:cs="Times New Roman"/>
          <w:sz w:val="24"/>
          <w:szCs w:val="24"/>
          <w:lang w:val="lv-LV"/>
        </w:rPr>
        <w:t xml:space="preserve"> parāda vērtspapīriem un citiem </w:t>
      </w:r>
      <w:r w:rsidR="00046BC5" w:rsidRPr="006166CC">
        <w:rPr>
          <w:rFonts w:ascii="Times New Roman" w:hAnsi="Times New Roman" w:cs="Times New Roman"/>
          <w:sz w:val="24"/>
          <w:szCs w:val="24"/>
          <w:lang w:val="lv-LV"/>
        </w:rPr>
        <w:t xml:space="preserve">finanšu </w:t>
      </w:r>
      <w:r w:rsidR="0017545E" w:rsidRPr="006166CC">
        <w:rPr>
          <w:rFonts w:ascii="Times New Roman" w:hAnsi="Times New Roman" w:cs="Times New Roman"/>
          <w:sz w:val="24"/>
          <w:szCs w:val="24"/>
          <w:lang w:val="lv-LV"/>
        </w:rPr>
        <w:t>instrumentiem. Tātad, neskatoties uz to, ka Latvija kā valsts ir sekmīgi emitējusi</w:t>
      </w:r>
      <w:r w:rsidR="00F74143" w:rsidRPr="006166CC">
        <w:rPr>
          <w:rFonts w:ascii="Times New Roman" w:hAnsi="Times New Roman" w:cs="Times New Roman"/>
          <w:sz w:val="24"/>
          <w:szCs w:val="24"/>
          <w:lang w:val="lv-LV"/>
        </w:rPr>
        <w:t xml:space="preserve"> obligācijas simtos miljonu eiro</w:t>
      </w:r>
      <w:r w:rsidR="0017545E" w:rsidRPr="006166CC">
        <w:rPr>
          <w:rFonts w:ascii="Times New Roman" w:hAnsi="Times New Roman" w:cs="Times New Roman"/>
          <w:sz w:val="24"/>
          <w:szCs w:val="24"/>
          <w:lang w:val="lv-LV"/>
        </w:rPr>
        <w:t xml:space="preserve">, tie fondu pārvaldnieki, kuri piedalījās šajās emisijās, gandrīz vienmēr atšķirsies no tiem, kuri iegulda līdzekļus akciju tirgos. Citiem vārdiem sakot, </w:t>
      </w:r>
      <w:r w:rsidRPr="006166CC">
        <w:rPr>
          <w:rFonts w:ascii="Times New Roman" w:hAnsi="Times New Roman" w:cs="Times New Roman"/>
          <w:sz w:val="24"/>
          <w:szCs w:val="24"/>
          <w:lang w:val="lv-LV"/>
        </w:rPr>
        <w:t>investīciju bankas</w:t>
      </w:r>
      <w:r w:rsidR="0017545E" w:rsidRPr="006166CC">
        <w:rPr>
          <w:rFonts w:ascii="Times New Roman" w:hAnsi="Times New Roman" w:cs="Times New Roman"/>
          <w:sz w:val="24"/>
          <w:szCs w:val="24"/>
          <w:lang w:val="lv-LV"/>
        </w:rPr>
        <w:t xml:space="preserve"> nosaukums varētu būt tas pats, bet attiecīgie invest</w:t>
      </w:r>
      <w:r w:rsidR="00046BC5" w:rsidRPr="006166CC">
        <w:rPr>
          <w:rFonts w:ascii="Times New Roman" w:hAnsi="Times New Roman" w:cs="Times New Roman"/>
          <w:sz w:val="24"/>
          <w:szCs w:val="24"/>
          <w:lang w:val="lv-LV"/>
        </w:rPr>
        <w:t>ori ikdienā reti uztur ciešu sadarbību</w:t>
      </w:r>
      <w:r w:rsidR="0017545E" w:rsidRPr="006166CC">
        <w:rPr>
          <w:rFonts w:ascii="Times New Roman" w:hAnsi="Times New Roman" w:cs="Times New Roman"/>
          <w:sz w:val="24"/>
          <w:szCs w:val="24"/>
          <w:lang w:val="lv-LV"/>
        </w:rPr>
        <w:t>, ja runa i</w:t>
      </w:r>
      <w:r w:rsidRPr="006166CC">
        <w:rPr>
          <w:rFonts w:ascii="Times New Roman" w:hAnsi="Times New Roman" w:cs="Times New Roman"/>
          <w:sz w:val="24"/>
          <w:szCs w:val="24"/>
          <w:lang w:val="lv-LV"/>
        </w:rPr>
        <w:t xml:space="preserve">r par dažādiem aktīviem, </w:t>
      </w:r>
      <w:r w:rsidR="0017545E" w:rsidRPr="006166CC">
        <w:rPr>
          <w:rFonts w:ascii="Times New Roman" w:hAnsi="Times New Roman" w:cs="Times New Roman"/>
          <w:sz w:val="24"/>
          <w:szCs w:val="24"/>
          <w:lang w:val="lv-LV"/>
        </w:rPr>
        <w:t xml:space="preserve">izņemot </w:t>
      </w:r>
      <w:r w:rsidRPr="006166CC">
        <w:rPr>
          <w:rFonts w:ascii="Times New Roman" w:hAnsi="Times New Roman" w:cs="Times New Roman"/>
          <w:sz w:val="24"/>
          <w:szCs w:val="24"/>
          <w:lang w:val="lv-LV"/>
        </w:rPr>
        <w:t>krīzes laikus</w:t>
      </w:r>
      <w:r w:rsidR="0017545E" w:rsidRPr="006166CC">
        <w:rPr>
          <w:rFonts w:ascii="Times New Roman" w:hAnsi="Times New Roman" w:cs="Times New Roman"/>
          <w:sz w:val="24"/>
          <w:szCs w:val="24"/>
          <w:lang w:val="lv-LV"/>
        </w:rPr>
        <w:t>.</w:t>
      </w:r>
      <w:r w:rsidRPr="006166CC">
        <w:rPr>
          <w:rFonts w:ascii="Times New Roman" w:hAnsi="Times New Roman" w:cs="Times New Roman"/>
          <w:sz w:val="24"/>
          <w:szCs w:val="24"/>
          <w:lang w:val="lv-LV"/>
        </w:rPr>
        <w:t xml:space="preserve"> Līdz ar to ir svarīgi </w:t>
      </w:r>
      <w:r w:rsidR="00F74143" w:rsidRPr="006166CC">
        <w:rPr>
          <w:rFonts w:ascii="Times New Roman" w:hAnsi="Times New Roman" w:cs="Times New Roman"/>
          <w:sz w:val="24"/>
          <w:szCs w:val="24"/>
          <w:lang w:val="lv-LV"/>
        </w:rPr>
        <w:t xml:space="preserve">mērķtiecīgi </w:t>
      </w:r>
      <w:r w:rsidRPr="006166CC">
        <w:rPr>
          <w:rFonts w:ascii="Times New Roman" w:hAnsi="Times New Roman" w:cs="Times New Roman"/>
          <w:sz w:val="24"/>
          <w:szCs w:val="24"/>
          <w:lang w:val="lv-LV"/>
        </w:rPr>
        <w:t xml:space="preserve">veidot attiecības </w:t>
      </w:r>
      <w:r w:rsidR="00F74143" w:rsidRPr="006166CC">
        <w:rPr>
          <w:rFonts w:ascii="Times New Roman" w:hAnsi="Times New Roman" w:cs="Times New Roman"/>
          <w:sz w:val="24"/>
          <w:szCs w:val="24"/>
          <w:lang w:val="lv-LV"/>
        </w:rPr>
        <w:t xml:space="preserve">arī </w:t>
      </w:r>
      <w:r w:rsidRPr="006166CC">
        <w:rPr>
          <w:rFonts w:ascii="Times New Roman" w:hAnsi="Times New Roman" w:cs="Times New Roman"/>
          <w:sz w:val="24"/>
          <w:szCs w:val="24"/>
          <w:lang w:val="lv-LV"/>
        </w:rPr>
        <w:t xml:space="preserve">ar akciju </w:t>
      </w:r>
      <w:r w:rsidRPr="006166CC">
        <w:rPr>
          <w:rFonts w:ascii="Times New Roman" w:hAnsi="Times New Roman" w:cs="Times New Roman"/>
          <w:sz w:val="24"/>
          <w:szCs w:val="24"/>
          <w:lang w:val="lv-LV"/>
        </w:rPr>
        <w:lastRenderedPageBreak/>
        <w:t>investoriem un analītiķiem, ne tikai tiem investoriem, kas sp</w:t>
      </w:r>
      <w:r w:rsidR="00F74143" w:rsidRPr="006166CC">
        <w:rPr>
          <w:rFonts w:ascii="Times New Roman" w:hAnsi="Times New Roman" w:cs="Times New Roman"/>
          <w:sz w:val="24"/>
          <w:szCs w:val="24"/>
          <w:lang w:val="lv-LV"/>
        </w:rPr>
        <w:t>ecializējās parāda instrumentos un jau ir iepazinuši Latviju.</w:t>
      </w:r>
    </w:p>
    <w:p w14:paraId="0E7352E6" w14:textId="1BB3F3FB" w:rsidR="00603587" w:rsidRPr="006166CC" w:rsidRDefault="00851A79" w:rsidP="00EA3BA7">
      <w:pPr>
        <w:jc w:val="both"/>
        <w:rPr>
          <w:rFonts w:ascii="Times New Roman" w:hAnsi="Times New Roman" w:cs="Times New Roman"/>
          <w:sz w:val="24"/>
          <w:szCs w:val="24"/>
          <w:lang w:val="lv-LV"/>
        </w:rPr>
      </w:pPr>
      <w:r w:rsidRPr="006166CC">
        <w:rPr>
          <w:rFonts w:ascii="Times New Roman" w:hAnsi="Times New Roman" w:cs="Times New Roman"/>
          <w:sz w:val="24"/>
          <w:szCs w:val="24"/>
          <w:lang w:val="lv-LV"/>
        </w:rPr>
        <w:t>Pirms tiek apsvērtas investīcijas konkrētos uzņēmumos, investori primāri izvēlas reģionus vai valstis, balstot</w:t>
      </w:r>
      <w:r w:rsidR="00D60BE5" w:rsidRPr="006166CC">
        <w:rPr>
          <w:rFonts w:ascii="Times New Roman" w:hAnsi="Times New Roman" w:cs="Times New Roman"/>
          <w:sz w:val="24"/>
          <w:szCs w:val="24"/>
          <w:lang w:val="lv-LV"/>
        </w:rPr>
        <w:t>ies uz indeksiem, kas kalpo kā atskaites punkti</w:t>
      </w:r>
      <w:r w:rsidR="00F74143" w:rsidRPr="006166CC">
        <w:rPr>
          <w:rFonts w:ascii="Times New Roman" w:hAnsi="Times New Roman" w:cs="Times New Roman"/>
          <w:sz w:val="24"/>
          <w:szCs w:val="24"/>
          <w:lang w:val="lv-LV"/>
        </w:rPr>
        <w:t>. Tā piemēram</w:t>
      </w:r>
      <w:r w:rsidRPr="006166CC">
        <w:rPr>
          <w:rFonts w:ascii="Times New Roman" w:hAnsi="Times New Roman" w:cs="Times New Roman"/>
          <w:sz w:val="24"/>
          <w:szCs w:val="24"/>
          <w:lang w:val="lv-LV"/>
        </w:rPr>
        <w:t xml:space="preserve"> </w:t>
      </w:r>
      <w:r w:rsidR="00603587" w:rsidRPr="006166CC">
        <w:rPr>
          <w:rFonts w:ascii="Times New Roman" w:hAnsi="Times New Roman" w:cs="Times New Roman"/>
          <w:sz w:val="24"/>
          <w:szCs w:val="24"/>
          <w:lang w:val="lv-LV"/>
        </w:rPr>
        <w:t xml:space="preserve">MSCI ir </w:t>
      </w:r>
      <w:r w:rsidR="00F74143" w:rsidRPr="006166CC">
        <w:rPr>
          <w:rFonts w:ascii="Times New Roman" w:hAnsi="Times New Roman" w:cs="Times New Roman"/>
          <w:sz w:val="24"/>
          <w:szCs w:val="24"/>
          <w:lang w:val="lv-LV"/>
        </w:rPr>
        <w:t>vieni no pasaules vadošajiem indek</w:t>
      </w:r>
      <w:r w:rsidR="00D96DAF" w:rsidRPr="006166CC">
        <w:rPr>
          <w:rFonts w:ascii="Times New Roman" w:hAnsi="Times New Roman" w:cs="Times New Roman"/>
          <w:sz w:val="24"/>
          <w:szCs w:val="24"/>
          <w:lang w:val="lv-LV"/>
        </w:rPr>
        <w:t>sie</w:t>
      </w:r>
      <w:r w:rsidR="00F74143" w:rsidRPr="006166CC">
        <w:rPr>
          <w:rFonts w:ascii="Times New Roman" w:hAnsi="Times New Roman" w:cs="Times New Roman"/>
          <w:sz w:val="24"/>
          <w:szCs w:val="24"/>
          <w:lang w:val="lv-LV"/>
        </w:rPr>
        <w:t>m</w:t>
      </w:r>
      <w:r w:rsidR="00603587" w:rsidRPr="006166CC">
        <w:rPr>
          <w:rFonts w:ascii="Times New Roman" w:hAnsi="Times New Roman" w:cs="Times New Roman"/>
          <w:sz w:val="24"/>
          <w:szCs w:val="24"/>
          <w:lang w:val="lv-LV"/>
        </w:rPr>
        <w:t>, t</w:t>
      </w:r>
      <w:r w:rsidR="003754BF" w:rsidRPr="006166CC">
        <w:rPr>
          <w:rFonts w:ascii="Times New Roman" w:hAnsi="Times New Roman" w:cs="Times New Roman"/>
          <w:sz w:val="24"/>
          <w:szCs w:val="24"/>
          <w:lang w:val="lv-LV"/>
        </w:rPr>
        <w:t xml:space="preserve">ādēļ </w:t>
      </w:r>
      <w:r w:rsidR="00110569" w:rsidRPr="006166CC">
        <w:rPr>
          <w:rFonts w:ascii="Times New Roman" w:hAnsi="Times New Roman" w:cs="Times New Roman"/>
          <w:sz w:val="24"/>
          <w:szCs w:val="24"/>
          <w:lang w:val="lv-LV"/>
        </w:rPr>
        <w:t xml:space="preserve">lielāka uzmanība </w:t>
      </w:r>
      <w:r w:rsidR="003754BF" w:rsidRPr="006166CC">
        <w:rPr>
          <w:rFonts w:ascii="Times New Roman" w:hAnsi="Times New Roman" w:cs="Times New Roman"/>
          <w:sz w:val="24"/>
          <w:szCs w:val="24"/>
          <w:lang w:val="lv-LV"/>
        </w:rPr>
        <w:t>ir jāvelta</w:t>
      </w:r>
      <w:r w:rsidR="00603587" w:rsidRPr="006166CC">
        <w:rPr>
          <w:rFonts w:ascii="Times New Roman" w:hAnsi="Times New Roman" w:cs="Times New Roman"/>
          <w:sz w:val="24"/>
          <w:szCs w:val="24"/>
          <w:lang w:val="lv-LV"/>
        </w:rPr>
        <w:t xml:space="preserve"> tieši tiem. Ir svarīgi uzsvērt, k</w:t>
      </w:r>
      <w:r w:rsidR="00F74143" w:rsidRPr="006166CC">
        <w:rPr>
          <w:rFonts w:ascii="Times New Roman" w:hAnsi="Times New Roman" w:cs="Times New Roman"/>
          <w:sz w:val="24"/>
          <w:szCs w:val="24"/>
          <w:lang w:val="lv-LV"/>
        </w:rPr>
        <w:t xml:space="preserve">a Latvija šobrīd pat neparādās “MSCI frontier” tirgus indeksos, kas </w:t>
      </w:r>
      <w:r w:rsidR="003754BF" w:rsidRPr="006166CC">
        <w:rPr>
          <w:rFonts w:ascii="Times New Roman" w:hAnsi="Times New Roman" w:cs="Times New Roman"/>
          <w:sz w:val="24"/>
          <w:szCs w:val="24"/>
          <w:lang w:val="lv-LV"/>
        </w:rPr>
        <w:t>ir pat</w:t>
      </w:r>
      <w:r w:rsidR="00F74143" w:rsidRPr="006166CC">
        <w:rPr>
          <w:rFonts w:ascii="Times New Roman" w:hAnsi="Times New Roman" w:cs="Times New Roman"/>
          <w:sz w:val="24"/>
          <w:szCs w:val="24"/>
          <w:lang w:val="lv-LV"/>
        </w:rPr>
        <w:t xml:space="preserve"> aiz “jaunattīstības”</w:t>
      </w:r>
      <w:r w:rsidR="003754BF" w:rsidRPr="006166CC">
        <w:rPr>
          <w:rFonts w:ascii="Times New Roman" w:hAnsi="Times New Roman" w:cs="Times New Roman"/>
          <w:sz w:val="24"/>
          <w:szCs w:val="24"/>
          <w:lang w:val="lv-LV"/>
        </w:rPr>
        <w:t xml:space="preserve"> </w:t>
      </w:r>
      <w:r w:rsidR="00F74143" w:rsidRPr="006166CC">
        <w:rPr>
          <w:rFonts w:ascii="Times New Roman" w:hAnsi="Times New Roman" w:cs="Times New Roman"/>
          <w:sz w:val="24"/>
          <w:szCs w:val="24"/>
          <w:lang w:val="lv-LV"/>
        </w:rPr>
        <w:t>grupas valstīm</w:t>
      </w:r>
      <w:r w:rsidR="00603587" w:rsidRPr="006166CC">
        <w:rPr>
          <w:rFonts w:ascii="Times New Roman" w:hAnsi="Times New Roman" w:cs="Times New Roman"/>
          <w:sz w:val="24"/>
          <w:szCs w:val="24"/>
          <w:lang w:val="lv-LV"/>
        </w:rPr>
        <w:t>, toties Igaunija un Lietuva tur ir pārstāvēta ar</w:t>
      </w:r>
      <w:r w:rsidRPr="006166CC">
        <w:rPr>
          <w:rFonts w:ascii="Times New Roman" w:hAnsi="Times New Roman" w:cs="Times New Roman"/>
          <w:sz w:val="24"/>
          <w:szCs w:val="24"/>
          <w:lang w:val="lv-LV"/>
        </w:rPr>
        <w:t xml:space="preserve"> dažiem uzņēmumiem</w:t>
      </w:r>
      <w:r w:rsidR="00046BC5" w:rsidRPr="006166CC">
        <w:rPr>
          <w:rFonts w:ascii="Times New Roman" w:hAnsi="Times New Roman" w:cs="Times New Roman"/>
          <w:sz w:val="24"/>
          <w:szCs w:val="24"/>
          <w:lang w:val="lv-LV"/>
        </w:rPr>
        <w:t>. Piemēram, Lietuvas indeksā ir iekļauts telekomunikāciju uzņēmums Telia Lietuva.</w:t>
      </w:r>
      <w:r w:rsidR="00046BC5" w:rsidRPr="006166CC">
        <w:rPr>
          <w:rStyle w:val="FootnoteReference"/>
          <w:rFonts w:ascii="Times New Roman" w:hAnsi="Times New Roman" w:cs="Times New Roman"/>
          <w:sz w:val="24"/>
          <w:szCs w:val="24"/>
          <w:lang w:val="lv-LV"/>
        </w:rPr>
        <w:footnoteReference w:id="39"/>
      </w:r>
      <w:r w:rsidR="00046BC5" w:rsidRPr="006166CC">
        <w:rPr>
          <w:rFonts w:ascii="Times New Roman" w:hAnsi="Times New Roman" w:cs="Times New Roman"/>
          <w:sz w:val="24"/>
          <w:szCs w:val="24"/>
          <w:lang w:val="lv-LV"/>
        </w:rPr>
        <w:t xml:space="preserve"> </w:t>
      </w:r>
      <w:r w:rsidR="003754BF" w:rsidRPr="006166CC">
        <w:rPr>
          <w:rFonts w:ascii="Times New Roman" w:hAnsi="Times New Roman" w:cs="Times New Roman"/>
          <w:sz w:val="24"/>
          <w:szCs w:val="24"/>
          <w:lang w:val="lv-LV"/>
        </w:rPr>
        <w:t>Galven</w:t>
      </w:r>
      <w:r w:rsidR="00046BC5" w:rsidRPr="006166CC">
        <w:rPr>
          <w:rFonts w:ascii="Times New Roman" w:hAnsi="Times New Roman" w:cs="Times New Roman"/>
          <w:sz w:val="24"/>
          <w:szCs w:val="24"/>
          <w:lang w:val="lv-LV"/>
        </w:rPr>
        <w:t>ie faktori, kāpēc Latvija nav šajos indeksos</w:t>
      </w:r>
      <w:r w:rsidR="003E11BE" w:rsidRPr="006166CC">
        <w:rPr>
          <w:rFonts w:ascii="Times New Roman" w:hAnsi="Times New Roman" w:cs="Times New Roman"/>
          <w:sz w:val="24"/>
          <w:szCs w:val="24"/>
          <w:lang w:val="lv-LV"/>
        </w:rPr>
        <w:t>,</w:t>
      </w:r>
      <w:r w:rsidR="00603587" w:rsidRPr="006166CC">
        <w:rPr>
          <w:rFonts w:ascii="Times New Roman" w:hAnsi="Times New Roman" w:cs="Times New Roman"/>
          <w:sz w:val="24"/>
          <w:szCs w:val="24"/>
          <w:lang w:val="lv-LV"/>
        </w:rPr>
        <w:t xml:space="preserve"> ir esošo kotēto uzņēmumu</w:t>
      </w:r>
      <w:r w:rsidR="003754BF" w:rsidRPr="006166CC">
        <w:rPr>
          <w:rFonts w:ascii="Times New Roman" w:hAnsi="Times New Roman" w:cs="Times New Roman"/>
          <w:sz w:val="24"/>
          <w:szCs w:val="24"/>
          <w:lang w:val="lv-LV"/>
        </w:rPr>
        <w:t xml:space="preserve"> </w:t>
      </w:r>
      <w:r w:rsidR="00046BC5" w:rsidRPr="006166CC">
        <w:rPr>
          <w:rFonts w:ascii="Times New Roman" w:hAnsi="Times New Roman" w:cs="Times New Roman"/>
          <w:sz w:val="24"/>
          <w:szCs w:val="24"/>
          <w:lang w:val="lv-LV"/>
        </w:rPr>
        <w:t xml:space="preserve">nelielā </w:t>
      </w:r>
      <w:r w:rsidR="003754BF" w:rsidRPr="006166CC">
        <w:rPr>
          <w:rFonts w:ascii="Times New Roman" w:hAnsi="Times New Roman" w:cs="Times New Roman"/>
          <w:sz w:val="24"/>
          <w:szCs w:val="24"/>
          <w:lang w:val="lv-LV"/>
        </w:rPr>
        <w:t>tirgus</w:t>
      </w:r>
      <w:r w:rsidR="00046BC5" w:rsidRPr="006166CC">
        <w:rPr>
          <w:rFonts w:ascii="Times New Roman" w:hAnsi="Times New Roman" w:cs="Times New Roman"/>
          <w:sz w:val="24"/>
          <w:szCs w:val="24"/>
          <w:lang w:val="lv-LV"/>
        </w:rPr>
        <w:t xml:space="preserve"> kapitalizācija</w:t>
      </w:r>
      <w:r w:rsidR="003E11BE" w:rsidRPr="006166CC">
        <w:rPr>
          <w:rFonts w:ascii="Times New Roman" w:hAnsi="Times New Roman" w:cs="Times New Roman"/>
          <w:sz w:val="24"/>
          <w:szCs w:val="24"/>
          <w:lang w:val="lv-LV"/>
        </w:rPr>
        <w:t xml:space="preserve"> un likviditātes trūkums</w:t>
      </w:r>
      <w:r w:rsidR="00603587" w:rsidRPr="006166CC">
        <w:rPr>
          <w:rFonts w:ascii="Times New Roman" w:hAnsi="Times New Roman" w:cs="Times New Roman"/>
          <w:sz w:val="24"/>
          <w:szCs w:val="24"/>
          <w:lang w:val="lv-LV"/>
        </w:rPr>
        <w:t xml:space="preserve">. </w:t>
      </w:r>
      <w:r w:rsidR="00046BC5" w:rsidRPr="006166CC">
        <w:rPr>
          <w:rFonts w:ascii="Times New Roman" w:hAnsi="Times New Roman" w:cs="Times New Roman"/>
          <w:sz w:val="24"/>
          <w:szCs w:val="24"/>
          <w:lang w:val="lv-LV"/>
        </w:rPr>
        <w:t>MSCI indeksu sadal</w:t>
      </w:r>
      <w:r w:rsidR="0095168D" w:rsidRPr="006166CC">
        <w:rPr>
          <w:rFonts w:ascii="Times New Roman" w:hAnsi="Times New Roman" w:cs="Times New Roman"/>
          <w:sz w:val="24"/>
          <w:szCs w:val="24"/>
          <w:lang w:val="lv-LV"/>
        </w:rPr>
        <w:t xml:space="preserve">ījums ir skatāms pielikumā Nr. </w:t>
      </w:r>
      <w:r w:rsidR="00AE0F06" w:rsidRPr="006166CC">
        <w:rPr>
          <w:rFonts w:ascii="Times New Roman" w:hAnsi="Times New Roman" w:cs="Times New Roman"/>
          <w:sz w:val="24"/>
          <w:szCs w:val="24"/>
          <w:lang w:val="lv-LV"/>
        </w:rPr>
        <w:t>7</w:t>
      </w:r>
      <w:r w:rsidR="00046BC5" w:rsidRPr="006166CC">
        <w:rPr>
          <w:rFonts w:ascii="Times New Roman" w:hAnsi="Times New Roman" w:cs="Times New Roman"/>
          <w:sz w:val="24"/>
          <w:szCs w:val="24"/>
          <w:lang w:val="lv-LV"/>
        </w:rPr>
        <w:t>.</w:t>
      </w:r>
    </w:p>
    <w:p w14:paraId="79400A88" w14:textId="23369D37" w:rsidR="00A720CA" w:rsidRPr="006166CC" w:rsidRDefault="007E7D53" w:rsidP="00EA3BA7">
      <w:pPr>
        <w:jc w:val="both"/>
        <w:rPr>
          <w:rFonts w:ascii="Times New Roman" w:hAnsi="Times New Roman" w:cs="Times New Roman"/>
          <w:sz w:val="24"/>
          <w:szCs w:val="24"/>
          <w:lang w:val="lv-LV"/>
        </w:rPr>
      </w:pPr>
      <w:r w:rsidRPr="006166CC">
        <w:rPr>
          <w:rFonts w:ascii="Times New Roman" w:hAnsi="Times New Roman" w:cs="Times New Roman"/>
          <w:sz w:val="24"/>
          <w:szCs w:val="24"/>
          <w:lang w:val="lv-LV"/>
        </w:rPr>
        <w:t>Ņemot vērā</w:t>
      </w:r>
      <w:r w:rsidR="00A720CA" w:rsidRPr="006166CC">
        <w:rPr>
          <w:rFonts w:ascii="Times New Roman" w:hAnsi="Times New Roman" w:cs="Times New Roman"/>
          <w:sz w:val="24"/>
          <w:szCs w:val="24"/>
          <w:lang w:val="lv-LV"/>
        </w:rPr>
        <w:t xml:space="preserve"> au</w:t>
      </w:r>
      <w:r w:rsidRPr="006166CC">
        <w:rPr>
          <w:rFonts w:ascii="Times New Roman" w:hAnsi="Times New Roman" w:cs="Times New Roman"/>
          <w:sz w:val="24"/>
          <w:szCs w:val="24"/>
          <w:lang w:val="lv-LV"/>
        </w:rPr>
        <w:t xml:space="preserve">gstāk minēto, </w:t>
      </w:r>
      <w:r w:rsidR="00A720CA" w:rsidRPr="006166CC">
        <w:rPr>
          <w:rFonts w:ascii="Times New Roman" w:hAnsi="Times New Roman" w:cs="Times New Roman"/>
          <w:sz w:val="24"/>
          <w:szCs w:val="24"/>
          <w:lang w:val="lv-LV"/>
        </w:rPr>
        <w:t xml:space="preserve">Latvijai ir </w:t>
      </w:r>
      <w:r w:rsidRPr="006166CC">
        <w:rPr>
          <w:rFonts w:ascii="Times New Roman" w:hAnsi="Times New Roman" w:cs="Times New Roman"/>
          <w:sz w:val="24"/>
          <w:szCs w:val="24"/>
          <w:lang w:val="lv-LV"/>
        </w:rPr>
        <w:t>jāpiesaista investoru līdzdalība</w:t>
      </w:r>
      <w:r w:rsidR="00A720CA" w:rsidRPr="006166CC">
        <w:rPr>
          <w:rFonts w:ascii="Times New Roman" w:hAnsi="Times New Roman" w:cs="Times New Roman"/>
          <w:sz w:val="24"/>
          <w:szCs w:val="24"/>
          <w:lang w:val="lv-LV"/>
        </w:rPr>
        <w:t xml:space="preserve"> </w:t>
      </w:r>
      <w:r w:rsidR="00331193" w:rsidRPr="006166CC">
        <w:rPr>
          <w:rFonts w:ascii="Times New Roman" w:hAnsi="Times New Roman" w:cs="Times New Roman"/>
          <w:sz w:val="24"/>
          <w:szCs w:val="24"/>
          <w:lang w:val="lv-LV"/>
        </w:rPr>
        <w:t>kapitālsabiedrībās</w:t>
      </w:r>
      <w:r w:rsidRPr="006166CC">
        <w:rPr>
          <w:rFonts w:ascii="Times New Roman" w:hAnsi="Times New Roman" w:cs="Times New Roman"/>
          <w:sz w:val="24"/>
          <w:szCs w:val="24"/>
          <w:lang w:val="lv-LV"/>
        </w:rPr>
        <w:t>, kuriem</w:t>
      </w:r>
      <w:r w:rsidR="00A720CA" w:rsidRPr="006166CC">
        <w:rPr>
          <w:rFonts w:ascii="Times New Roman" w:hAnsi="Times New Roman" w:cs="Times New Roman"/>
          <w:sz w:val="24"/>
          <w:szCs w:val="24"/>
          <w:lang w:val="lv-LV"/>
        </w:rPr>
        <w:t xml:space="preserve"> būtu vislielākās iespējas iekļūt šādos indeksos</w:t>
      </w:r>
      <w:r w:rsidR="00375638" w:rsidRPr="006166CC">
        <w:rPr>
          <w:rFonts w:ascii="Times New Roman" w:hAnsi="Times New Roman" w:cs="Times New Roman"/>
          <w:sz w:val="24"/>
          <w:szCs w:val="24"/>
          <w:lang w:val="lv-LV"/>
        </w:rPr>
        <w:t xml:space="preserve">, piemēram, augstāk minētie: </w:t>
      </w:r>
      <w:r w:rsidR="00017995" w:rsidRPr="006166CC">
        <w:rPr>
          <w:rFonts w:ascii="Times New Roman" w:hAnsi="Times New Roman" w:cs="Times New Roman"/>
          <w:sz w:val="24"/>
          <w:szCs w:val="24"/>
          <w:lang w:val="lv-LV"/>
        </w:rPr>
        <w:t>SIA “</w:t>
      </w:r>
      <w:r w:rsidR="00375638" w:rsidRPr="006166CC">
        <w:rPr>
          <w:rFonts w:ascii="Times New Roman" w:hAnsi="Times New Roman" w:cs="Times New Roman"/>
          <w:sz w:val="24"/>
          <w:szCs w:val="24"/>
          <w:lang w:val="lv-LV"/>
        </w:rPr>
        <w:t>Lattelecom</w:t>
      </w:r>
      <w:r w:rsidR="00017995" w:rsidRPr="006166CC">
        <w:rPr>
          <w:rFonts w:ascii="Times New Roman" w:hAnsi="Times New Roman" w:cs="Times New Roman"/>
          <w:sz w:val="24"/>
          <w:szCs w:val="24"/>
          <w:lang w:val="lv-LV"/>
        </w:rPr>
        <w:t>”</w:t>
      </w:r>
      <w:r w:rsidR="00375638" w:rsidRPr="006166CC">
        <w:rPr>
          <w:rFonts w:ascii="Times New Roman" w:hAnsi="Times New Roman" w:cs="Times New Roman"/>
          <w:sz w:val="24"/>
          <w:szCs w:val="24"/>
          <w:lang w:val="lv-LV"/>
        </w:rPr>
        <w:t>/</w:t>
      </w:r>
      <w:r w:rsidR="00017995" w:rsidRPr="006166CC">
        <w:rPr>
          <w:rFonts w:ascii="Times New Roman" w:hAnsi="Times New Roman" w:cs="Times New Roman"/>
          <w:sz w:val="24"/>
          <w:szCs w:val="24"/>
          <w:lang w:val="lv-LV"/>
        </w:rPr>
        <w:t xml:space="preserve"> SIA “</w:t>
      </w:r>
      <w:r w:rsidR="00375638" w:rsidRPr="006166CC">
        <w:rPr>
          <w:rFonts w:ascii="Times New Roman" w:hAnsi="Times New Roman" w:cs="Times New Roman"/>
          <w:sz w:val="24"/>
          <w:szCs w:val="24"/>
          <w:lang w:val="lv-LV"/>
        </w:rPr>
        <w:t>LMT</w:t>
      </w:r>
      <w:r w:rsidR="00017995" w:rsidRPr="006166CC">
        <w:rPr>
          <w:rFonts w:ascii="Times New Roman" w:hAnsi="Times New Roman" w:cs="Times New Roman"/>
          <w:sz w:val="24"/>
          <w:szCs w:val="24"/>
          <w:lang w:val="lv-LV"/>
        </w:rPr>
        <w:t>”</w:t>
      </w:r>
      <w:r w:rsidR="00375638" w:rsidRPr="006166CC">
        <w:rPr>
          <w:rFonts w:ascii="Times New Roman" w:hAnsi="Times New Roman" w:cs="Times New Roman"/>
          <w:sz w:val="24"/>
          <w:szCs w:val="24"/>
          <w:lang w:val="lv-LV"/>
        </w:rPr>
        <w:t xml:space="preserve">, </w:t>
      </w:r>
      <w:r w:rsidR="00017995" w:rsidRPr="006166CC">
        <w:rPr>
          <w:rFonts w:ascii="Times New Roman" w:hAnsi="Times New Roman" w:cs="Times New Roman"/>
          <w:sz w:val="24"/>
          <w:szCs w:val="24"/>
          <w:lang w:val="lv-LV"/>
        </w:rPr>
        <w:t>VAS “Starptautiskā l</w:t>
      </w:r>
      <w:r w:rsidR="00375638" w:rsidRPr="006166CC">
        <w:rPr>
          <w:rFonts w:ascii="Times New Roman" w:hAnsi="Times New Roman" w:cs="Times New Roman"/>
          <w:sz w:val="24"/>
          <w:szCs w:val="24"/>
          <w:lang w:val="lv-LV"/>
        </w:rPr>
        <w:t>idosta “Rīga”</w:t>
      </w:r>
      <w:r w:rsidR="00017995" w:rsidRPr="006166CC">
        <w:rPr>
          <w:rFonts w:ascii="Times New Roman" w:hAnsi="Times New Roman" w:cs="Times New Roman"/>
          <w:sz w:val="24"/>
          <w:szCs w:val="24"/>
          <w:lang w:val="lv-LV"/>
        </w:rPr>
        <w:t>”</w:t>
      </w:r>
      <w:r w:rsidR="00375638" w:rsidRPr="006166CC">
        <w:rPr>
          <w:rFonts w:ascii="Times New Roman" w:hAnsi="Times New Roman" w:cs="Times New Roman"/>
          <w:sz w:val="24"/>
          <w:szCs w:val="24"/>
          <w:lang w:val="lv-LV"/>
        </w:rPr>
        <w:t xml:space="preserve"> un </w:t>
      </w:r>
      <w:r w:rsidR="00017995" w:rsidRPr="006166CC">
        <w:rPr>
          <w:rFonts w:ascii="Times New Roman" w:hAnsi="Times New Roman" w:cs="Times New Roman"/>
          <w:sz w:val="24"/>
          <w:szCs w:val="24"/>
          <w:lang w:val="lv-LV"/>
        </w:rPr>
        <w:t>AS “</w:t>
      </w:r>
      <w:r w:rsidR="00375638" w:rsidRPr="006166CC">
        <w:rPr>
          <w:rFonts w:ascii="Times New Roman" w:hAnsi="Times New Roman" w:cs="Times New Roman"/>
          <w:sz w:val="24"/>
          <w:szCs w:val="24"/>
          <w:lang w:val="lv-LV"/>
        </w:rPr>
        <w:t>Latvenergo</w:t>
      </w:r>
      <w:r w:rsidR="00017995" w:rsidRPr="006166CC">
        <w:rPr>
          <w:rFonts w:ascii="Times New Roman" w:hAnsi="Times New Roman" w:cs="Times New Roman"/>
          <w:sz w:val="24"/>
          <w:szCs w:val="24"/>
          <w:lang w:val="lv-LV"/>
        </w:rPr>
        <w:t>”</w:t>
      </w:r>
      <w:r w:rsidR="00A720CA" w:rsidRPr="006166CC">
        <w:rPr>
          <w:rFonts w:ascii="Times New Roman" w:hAnsi="Times New Roman" w:cs="Times New Roman"/>
          <w:sz w:val="24"/>
          <w:szCs w:val="24"/>
          <w:lang w:val="lv-LV"/>
        </w:rPr>
        <w:t xml:space="preserve">. Pretējā gadījumā pastāv risks, ka </w:t>
      </w:r>
      <w:r w:rsidRPr="006166CC">
        <w:rPr>
          <w:rFonts w:ascii="Times New Roman" w:hAnsi="Times New Roman" w:cs="Times New Roman"/>
          <w:sz w:val="24"/>
          <w:szCs w:val="24"/>
          <w:lang w:val="lv-LV"/>
        </w:rPr>
        <w:t xml:space="preserve">investori </w:t>
      </w:r>
      <w:r w:rsidR="00A720CA" w:rsidRPr="006166CC">
        <w:rPr>
          <w:rFonts w:ascii="Times New Roman" w:hAnsi="Times New Roman" w:cs="Times New Roman"/>
          <w:sz w:val="24"/>
          <w:szCs w:val="24"/>
          <w:lang w:val="lv-LV"/>
        </w:rPr>
        <w:t xml:space="preserve">vispār neieguldīs </w:t>
      </w:r>
      <w:r w:rsidRPr="006166CC">
        <w:rPr>
          <w:rFonts w:ascii="Times New Roman" w:hAnsi="Times New Roman" w:cs="Times New Roman"/>
          <w:sz w:val="24"/>
          <w:szCs w:val="24"/>
          <w:lang w:val="lv-LV"/>
        </w:rPr>
        <w:t>resursus,</w:t>
      </w:r>
      <w:r w:rsidR="00A720CA" w:rsidRPr="006166CC">
        <w:rPr>
          <w:rFonts w:ascii="Times New Roman" w:hAnsi="Times New Roman" w:cs="Times New Roman"/>
          <w:sz w:val="24"/>
          <w:szCs w:val="24"/>
          <w:lang w:val="lv-LV"/>
        </w:rPr>
        <w:t xml:space="preserve"> lai izpētītu piedāvājumu laika un likviditātes ierobežojum</w:t>
      </w:r>
      <w:r w:rsidRPr="006166CC">
        <w:rPr>
          <w:rFonts w:ascii="Times New Roman" w:hAnsi="Times New Roman" w:cs="Times New Roman"/>
          <w:sz w:val="24"/>
          <w:szCs w:val="24"/>
          <w:lang w:val="lv-LV"/>
        </w:rPr>
        <w:t>u dēļ</w:t>
      </w:r>
      <w:r w:rsidR="00F74143" w:rsidRPr="006166CC">
        <w:rPr>
          <w:rFonts w:ascii="Times New Roman" w:hAnsi="Times New Roman" w:cs="Times New Roman"/>
          <w:sz w:val="24"/>
          <w:szCs w:val="24"/>
          <w:lang w:val="lv-LV"/>
        </w:rPr>
        <w:t xml:space="preserve">, jo Latvija kā valsts nav </w:t>
      </w:r>
      <w:r w:rsidR="00A22AD4" w:rsidRPr="006166CC">
        <w:rPr>
          <w:rFonts w:ascii="Times New Roman" w:hAnsi="Times New Roman" w:cs="Times New Roman"/>
          <w:sz w:val="24"/>
          <w:szCs w:val="24"/>
          <w:lang w:val="lv-LV"/>
        </w:rPr>
        <w:t>iekļauta</w:t>
      </w:r>
      <w:r w:rsidR="00A720CA" w:rsidRPr="006166CC">
        <w:rPr>
          <w:rFonts w:ascii="Times New Roman" w:hAnsi="Times New Roman" w:cs="Times New Roman"/>
          <w:sz w:val="24"/>
          <w:szCs w:val="24"/>
          <w:lang w:val="lv-LV"/>
        </w:rPr>
        <w:t xml:space="preserve"> viņu esošajā portfeļu atskaites sistēmā. Līdzīga filozofija ir pieņemta Rumānijā, k</w:t>
      </w:r>
      <w:r w:rsidRPr="006166CC">
        <w:rPr>
          <w:rFonts w:ascii="Times New Roman" w:hAnsi="Times New Roman" w:cs="Times New Roman"/>
          <w:sz w:val="24"/>
          <w:szCs w:val="24"/>
          <w:lang w:val="lv-LV"/>
        </w:rPr>
        <w:t>as</w:t>
      </w:r>
      <w:r w:rsidR="00F74143" w:rsidRPr="006166CC">
        <w:rPr>
          <w:rFonts w:ascii="Times New Roman" w:hAnsi="Times New Roman" w:cs="Times New Roman"/>
          <w:sz w:val="24"/>
          <w:szCs w:val="24"/>
          <w:lang w:val="lv-LV"/>
        </w:rPr>
        <w:t xml:space="preserve"> cenšas nokļūt no “frontier” uz “jaunattīstības”</w:t>
      </w:r>
      <w:r w:rsidR="00A720CA" w:rsidRPr="006166CC">
        <w:rPr>
          <w:rFonts w:ascii="Times New Roman" w:hAnsi="Times New Roman" w:cs="Times New Roman"/>
          <w:sz w:val="24"/>
          <w:szCs w:val="24"/>
          <w:lang w:val="lv-LV"/>
        </w:rPr>
        <w:t xml:space="preserve"> valsts statusu.</w:t>
      </w:r>
    </w:p>
    <w:p w14:paraId="28E10077" w14:textId="549A8EA1" w:rsidR="00603587" w:rsidRPr="006166CC" w:rsidRDefault="00F74143" w:rsidP="00EA3BA7">
      <w:pPr>
        <w:jc w:val="both"/>
        <w:rPr>
          <w:rFonts w:ascii="Times New Roman" w:hAnsi="Times New Roman" w:cs="Times New Roman"/>
          <w:sz w:val="24"/>
          <w:szCs w:val="24"/>
          <w:lang w:val="lv-LV"/>
        </w:rPr>
      </w:pPr>
      <w:r w:rsidRPr="006166CC">
        <w:rPr>
          <w:rFonts w:ascii="Times New Roman" w:hAnsi="Times New Roman" w:cs="Times New Roman"/>
          <w:sz w:val="24"/>
          <w:szCs w:val="24"/>
          <w:lang w:val="lv-LV"/>
        </w:rPr>
        <w:t>Līdz ar to ir svarīgi apzināties</w:t>
      </w:r>
      <w:r w:rsidR="00A720CA" w:rsidRPr="006166CC">
        <w:rPr>
          <w:rFonts w:ascii="Times New Roman" w:hAnsi="Times New Roman" w:cs="Times New Roman"/>
          <w:sz w:val="24"/>
          <w:szCs w:val="24"/>
          <w:lang w:val="lv-LV"/>
        </w:rPr>
        <w:t xml:space="preserve">, ka daudzi starptautiskie institucionālie investori </w:t>
      </w:r>
      <w:r w:rsidRPr="006166CC">
        <w:rPr>
          <w:rFonts w:ascii="Times New Roman" w:hAnsi="Times New Roman" w:cs="Times New Roman"/>
          <w:sz w:val="24"/>
          <w:szCs w:val="24"/>
          <w:lang w:val="lv-LV"/>
        </w:rPr>
        <w:t xml:space="preserve">akciju tirgus investīciju </w:t>
      </w:r>
      <w:r w:rsidR="007E7D53" w:rsidRPr="006166CC">
        <w:rPr>
          <w:rFonts w:ascii="Times New Roman" w:hAnsi="Times New Roman" w:cs="Times New Roman"/>
          <w:sz w:val="24"/>
          <w:szCs w:val="24"/>
          <w:lang w:val="lv-LV"/>
        </w:rPr>
        <w:t xml:space="preserve">kontekstā </w:t>
      </w:r>
      <w:r w:rsidR="00A720CA" w:rsidRPr="006166CC">
        <w:rPr>
          <w:rFonts w:ascii="Times New Roman" w:hAnsi="Times New Roman" w:cs="Times New Roman"/>
          <w:sz w:val="24"/>
          <w:szCs w:val="24"/>
          <w:lang w:val="lv-LV"/>
        </w:rPr>
        <w:t xml:space="preserve">padziļināti skatīsies uz </w:t>
      </w:r>
      <w:r w:rsidRPr="006166CC">
        <w:rPr>
          <w:rFonts w:ascii="Times New Roman" w:hAnsi="Times New Roman" w:cs="Times New Roman"/>
          <w:sz w:val="24"/>
          <w:szCs w:val="24"/>
          <w:lang w:val="lv-LV"/>
        </w:rPr>
        <w:t xml:space="preserve">Latvija kā valsti, kur ieguldīt un iespēju investēt savus līdzekļus </w:t>
      </w:r>
      <w:r w:rsidR="00A720CA" w:rsidRPr="006166CC">
        <w:rPr>
          <w:rFonts w:ascii="Times New Roman" w:hAnsi="Times New Roman" w:cs="Times New Roman"/>
          <w:sz w:val="24"/>
          <w:szCs w:val="24"/>
          <w:lang w:val="lv-LV"/>
        </w:rPr>
        <w:t>pirmo reizi.</w:t>
      </w:r>
    </w:p>
    <w:p w14:paraId="7CAB0687" w14:textId="73D3236B" w:rsidR="00402242" w:rsidRPr="006166CC" w:rsidRDefault="00402242" w:rsidP="00EA3BA7">
      <w:pPr>
        <w:jc w:val="both"/>
        <w:rPr>
          <w:rFonts w:ascii="Times New Roman" w:hAnsi="Times New Roman" w:cs="Times New Roman"/>
          <w:sz w:val="24"/>
          <w:szCs w:val="24"/>
          <w:lang w:val="lv-LV"/>
        </w:rPr>
      </w:pPr>
      <w:r w:rsidRPr="006166CC">
        <w:rPr>
          <w:rFonts w:ascii="Times New Roman" w:hAnsi="Times New Roman" w:cs="Times New Roman"/>
          <w:sz w:val="24"/>
          <w:szCs w:val="24"/>
          <w:lang w:val="lv-LV"/>
        </w:rPr>
        <w:t>Finanšu ministrija 2018. gada 19. februārī ir uzsākusi projektu sadarbībā ar Eiropas Komisijas Strukturālo reformu atbalsta programmu un Eiropas Rekonstrukcijas un attīstības banku “Par rīcības plānu tirgus indeksa paaugstināšanai līdz attīstības tirgu (</w:t>
      </w:r>
      <w:r w:rsidRPr="006166CC">
        <w:rPr>
          <w:rFonts w:ascii="Times New Roman" w:hAnsi="Times New Roman" w:cs="Times New Roman"/>
          <w:i/>
          <w:sz w:val="24"/>
          <w:szCs w:val="24"/>
          <w:lang w:val="lv-LV"/>
        </w:rPr>
        <w:t>emerging markets</w:t>
      </w:r>
      <w:r w:rsidRPr="006166CC">
        <w:rPr>
          <w:rFonts w:ascii="Times New Roman" w:hAnsi="Times New Roman" w:cs="Times New Roman"/>
          <w:sz w:val="24"/>
          <w:szCs w:val="24"/>
          <w:lang w:val="lv-LV"/>
        </w:rPr>
        <w:t xml:space="preserve">) kategorijai”. </w:t>
      </w:r>
      <w:r w:rsidR="007558BC" w:rsidRPr="006166CC">
        <w:rPr>
          <w:rFonts w:ascii="Times New Roman" w:hAnsi="Times New Roman" w:cs="Times New Roman"/>
          <w:sz w:val="24"/>
          <w:szCs w:val="24"/>
          <w:lang w:val="lv-LV"/>
        </w:rPr>
        <w:t xml:space="preserve">Šī projekta ietvaros 2018. gada laikā tiks izstrādāti praktiski ieteikumi indeksācijas jautājuma risināšanai. </w:t>
      </w:r>
    </w:p>
    <w:p w14:paraId="5ADB8ED9" w14:textId="77777777" w:rsidR="0050008B" w:rsidRPr="006166CC" w:rsidRDefault="0050008B" w:rsidP="0050008B">
      <w:pPr>
        <w:pStyle w:val="Heading2"/>
        <w:rPr>
          <w:rFonts w:ascii="Times New Roman" w:hAnsi="Times New Roman" w:cs="Times New Roman"/>
          <w:sz w:val="24"/>
          <w:szCs w:val="24"/>
          <w:lang w:val="lv-LV"/>
        </w:rPr>
      </w:pPr>
      <w:bookmarkStart w:id="25" w:name="_Toc511029112"/>
      <w:r w:rsidRPr="006166CC">
        <w:rPr>
          <w:rFonts w:ascii="Times New Roman" w:hAnsi="Times New Roman" w:cs="Times New Roman"/>
          <w:sz w:val="24"/>
          <w:szCs w:val="24"/>
          <w:lang w:val="lv-LV"/>
        </w:rPr>
        <w:t>Investoru piesaistīšana</w:t>
      </w:r>
      <w:bookmarkEnd w:id="25"/>
    </w:p>
    <w:p w14:paraId="34040ED2" w14:textId="485E8DEE" w:rsidR="00325657" w:rsidRPr="006166CC" w:rsidRDefault="001A5C08" w:rsidP="00AE0F06">
      <w:pPr>
        <w:jc w:val="both"/>
        <w:rPr>
          <w:rFonts w:ascii="Times New Roman" w:hAnsi="Times New Roman" w:cs="Times New Roman"/>
          <w:sz w:val="24"/>
          <w:szCs w:val="24"/>
          <w:lang w:val="lv-LV"/>
        </w:rPr>
      </w:pPr>
      <w:r w:rsidRPr="006166CC">
        <w:rPr>
          <w:rFonts w:ascii="Times New Roman" w:hAnsi="Times New Roman" w:cs="Times New Roman"/>
          <w:sz w:val="24"/>
          <w:szCs w:val="24"/>
          <w:lang w:val="lv-LV"/>
        </w:rPr>
        <w:t>Iepriekš minētie</w:t>
      </w:r>
      <w:r w:rsidR="00325657" w:rsidRPr="006166CC">
        <w:rPr>
          <w:rFonts w:ascii="Times New Roman" w:hAnsi="Times New Roman" w:cs="Times New Roman"/>
          <w:sz w:val="24"/>
          <w:szCs w:val="24"/>
          <w:lang w:val="lv-LV"/>
        </w:rPr>
        <w:t xml:space="preserve"> pasākumi tiešā vai net</w:t>
      </w:r>
      <w:r w:rsidR="001D0305" w:rsidRPr="006166CC">
        <w:rPr>
          <w:rFonts w:ascii="Times New Roman" w:hAnsi="Times New Roman" w:cs="Times New Roman"/>
          <w:sz w:val="24"/>
          <w:szCs w:val="24"/>
          <w:lang w:val="lv-LV"/>
        </w:rPr>
        <w:t>iešā veidā veicinātu gan privāto i</w:t>
      </w:r>
      <w:r w:rsidR="00325657" w:rsidRPr="006166CC">
        <w:rPr>
          <w:rFonts w:ascii="Times New Roman" w:hAnsi="Times New Roman" w:cs="Times New Roman"/>
          <w:sz w:val="24"/>
          <w:szCs w:val="24"/>
          <w:lang w:val="lv-LV"/>
        </w:rPr>
        <w:t xml:space="preserve">nvestoru, gan institucionālo investoru piesaisti. </w:t>
      </w:r>
      <w:r w:rsidR="00EC5658" w:rsidRPr="006166CC">
        <w:rPr>
          <w:rFonts w:ascii="Times New Roman" w:hAnsi="Times New Roman" w:cs="Times New Roman"/>
          <w:sz w:val="24"/>
          <w:szCs w:val="24"/>
          <w:lang w:val="lv-LV"/>
        </w:rPr>
        <w:t xml:space="preserve">Saskaņā ar SKDS veikto aptauju 2017.gadā puse iedzīvotāju (49%) vēlētos ieguldīt savus brīvos naudas līdzekļus labi pārvaldītu Latvijas valsts </w:t>
      </w:r>
      <w:r w:rsidR="00331193" w:rsidRPr="006166CC">
        <w:rPr>
          <w:rFonts w:ascii="Times New Roman" w:hAnsi="Times New Roman" w:cs="Times New Roman"/>
          <w:sz w:val="24"/>
          <w:szCs w:val="24"/>
          <w:lang w:val="lv-LV"/>
        </w:rPr>
        <w:t xml:space="preserve">kapitālsabiedrību </w:t>
      </w:r>
      <w:r w:rsidR="00EC5658" w:rsidRPr="006166CC">
        <w:rPr>
          <w:rFonts w:ascii="Times New Roman" w:hAnsi="Times New Roman" w:cs="Times New Roman"/>
          <w:sz w:val="24"/>
          <w:szCs w:val="24"/>
          <w:lang w:val="lv-LV"/>
        </w:rPr>
        <w:t>akcijās biržā, kamēr trešdaļa (34%) to nevēlētos</w:t>
      </w:r>
      <w:r w:rsidR="00FA3882" w:rsidRPr="006166CC">
        <w:rPr>
          <w:rFonts w:ascii="Times New Roman" w:hAnsi="Times New Roman" w:cs="Times New Roman"/>
          <w:sz w:val="24"/>
          <w:szCs w:val="24"/>
          <w:vertAlign w:val="superscript"/>
        </w:rPr>
        <w:footnoteReference w:id="40"/>
      </w:r>
      <w:r w:rsidR="00EC5658" w:rsidRPr="006166CC">
        <w:rPr>
          <w:rFonts w:ascii="Times New Roman" w:hAnsi="Times New Roman" w:cs="Times New Roman"/>
          <w:sz w:val="24"/>
          <w:szCs w:val="24"/>
          <w:lang w:val="lv-LV"/>
        </w:rPr>
        <w:t>.</w:t>
      </w:r>
      <w:r w:rsidR="001D0305" w:rsidRPr="006166CC">
        <w:rPr>
          <w:rFonts w:ascii="Times New Roman" w:hAnsi="Times New Roman" w:cs="Times New Roman"/>
          <w:sz w:val="24"/>
          <w:szCs w:val="24"/>
          <w:lang w:val="lv-LV"/>
        </w:rPr>
        <w:t xml:space="preserve"> </w:t>
      </w:r>
      <w:r w:rsidR="00325657" w:rsidRPr="006166CC">
        <w:rPr>
          <w:rFonts w:ascii="Times New Roman" w:hAnsi="Times New Roman" w:cs="Times New Roman"/>
          <w:sz w:val="24"/>
          <w:szCs w:val="24"/>
          <w:lang w:val="lv-LV"/>
        </w:rPr>
        <w:t>Citi konkrētas rīcības priekšlikumi aprakstīti zemāk.</w:t>
      </w:r>
    </w:p>
    <w:p w14:paraId="1AB96F06" w14:textId="50AB7BA3" w:rsidR="00325657" w:rsidRPr="006166CC" w:rsidRDefault="00EC0C3F" w:rsidP="001D0305">
      <w:pPr>
        <w:jc w:val="both"/>
        <w:rPr>
          <w:rFonts w:ascii="Times New Roman" w:hAnsi="Times New Roman" w:cs="Times New Roman"/>
          <w:sz w:val="24"/>
          <w:szCs w:val="24"/>
          <w:lang w:val="lv-LV"/>
        </w:rPr>
      </w:pPr>
      <w:r w:rsidRPr="006166CC">
        <w:rPr>
          <w:rFonts w:ascii="Times New Roman" w:hAnsi="Times New Roman" w:cs="Times New Roman"/>
          <w:b/>
          <w:sz w:val="24"/>
          <w:szCs w:val="24"/>
          <w:lang w:val="lv-LV"/>
        </w:rPr>
        <w:t xml:space="preserve">Finanšu izglītība. </w:t>
      </w:r>
      <w:r w:rsidRPr="006166CC">
        <w:rPr>
          <w:rFonts w:ascii="Times New Roman" w:hAnsi="Times New Roman" w:cs="Times New Roman"/>
          <w:sz w:val="24"/>
          <w:szCs w:val="24"/>
          <w:lang w:val="lv-LV"/>
        </w:rPr>
        <w:t xml:space="preserve">Sniegt atbalstu investoru tālākā finanšu izglītībā, tajā skaitā, lai izglītotu Latvijas iedzīvotājus par riskiem starp dažādām investīcijām, piemēram, </w:t>
      </w:r>
      <w:r w:rsidRPr="006166CC">
        <w:rPr>
          <w:rFonts w:ascii="Times New Roman" w:hAnsi="Times New Roman" w:cs="Times New Roman"/>
          <w:i/>
          <w:sz w:val="24"/>
          <w:szCs w:val="24"/>
          <w:lang w:val="lv-LV"/>
        </w:rPr>
        <w:t>start-up</w:t>
      </w:r>
      <w:r w:rsidRPr="006166CC">
        <w:rPr>
          <w:rFonts w:ascii="Times New Roman" w:hAnsi="Times New Roman" w:cs="Times New Roman"/>
          <w:sz w:val="24"/>
          <w:szCs w:val="24"/>
          <w:lang w:val="lv-LV"/>
        </w:rPr>
        <w:t xml:space="preserve">, </w:t>
      </w:r>
      <w:r w:rsidRPr="006166CC">
        <w:rPr>
          <w:rFonts w:ascii="Times New Roman" w:hAnsi="Times New Roman" w:cs="Times New Roman"/>
          <w:i/>
          <w:sz w:val="24"/>
          <w:szCs w:val="24"/>
          <w:lang w:val="lv-LV"/>
        </w:rPr>
        <w:t>crowdfunding</w:t>
      </w:r>
      <w:r w:rsidRPr="006166CC">
        <w:rPr>
          <w:rFonts w:ascii="Times New Roman" w:hAnsi="Times New Roman" w:cs="Times New Roman"/>
          <w:sz w:val="24"/>
          <w:szCs w:val="24"/>
          <w:lang w:val="lv-LV"/>
        </w:rPr>
        <w:t xml:space="preserve"> </w:t>
      </w:r>
      <w:r w:rsidRPr="006166CC">
        <w:rPr>
          <w:rFonts w:ascii="Times New Roman" w:hAnsi="Times New Roman" w:cs="Times New Roman"/>
          <w:sz w:val="24"/>
          <w:szCs w:val="24"/>
          <w:lang w:val="lv-LV"/>
        </w:rPr>
        <w:lastRenderedPageBreak/>
        <w:t>un citiem ieguldījumu veidiem</w:t>
      </w:r>
      <w:r w:rsidR="003A532F" w:rsidRPr="006166CC">
        <w:rPr>
          <w:rFonts w:ascii="Times New Roman" w:hAnsi="Times New Roman" w:cs="Times New Roman"/>
          <w:sz w:val="24"/>
          <w:szCs w:val="24"/>
          <w:lang w:val="lv-LV"/>
        </w:rPr>
        <w:t>, šādā veidā sekmējot attiecīgo Finanšu sektora attīstības plānā 2017.-2019. gadam minēto uzdevumu izpildi</w:t>
      </w:r>
      <w:r w:rsidRPr="006166CC">
        <w:rPr>
          <w:rFonts w:ascii="Times New Roman" w:hAnsi="Times New Roman" w:cs="Times New Roman"/>
          <w:sz w:val="24"/>
          <w:szCs w:val="24"/>
          <w:lang w:val="lv-LV"/>
        </w:rPr>
        <w:t>.</w:t>
      </w:r>
    </w:p>
    <w:p w14:paraId="56E4FFC3" w14:textId="0280A654" w:rsidR="00E03254" w:rsidRPr="006166CC" w:rsidRDefault="00E03254" w:rsidP="001A5C08">
      <w:pPr>
        <w:jc w:val="both"/>
        <w:rPr>
          <w:rFonts w:ascii="Times New Roman" w:hAnsi="Times New Roman" w:cs="Times New Roman"/>
          <w:sz w:val="24"/>
          <w:szCs w:val="24"/>
          <w:lang w:val="lv-LV"/>
        </w:rPr>
      </w:pPr>
      <w:r w:rsidRPr="006166CC">
        <w:rPr>
          <w:rFonts w:ascii="Times New Roman" w:hAnsi="Times New Roman" w:cs="Times New Roman"/>
          <w:b/>
          <w:sz w:val="24"/>
          <w:szCs w:val="24"/>
          <w:lang w:val="lv-LV"/>
        </w:rPr>
        <w:t>Piesaistīt lielus institucionālos investorus investīcijām publisk</w:t>
      </w:r>
      <w:r w:rsidR="00331193" w:rsidRPr="006166CC">
        <w:rPr>
          <w:rFonts w:ascii="Times New Roman" w:hAnsi="Times New Roman" w:cs="Times New Roman"/>
          <w:b/>
          <w:sz w:val="24"/>
          <w:szCs w:val="24"/>
          <w:lang w:val="lv-LV"/>
        </w:rPr>
        <w:t>ā</w:t>
      </w:r>
      <w:r w:rsidRPr="006166CC">
        <w:rPr>
          <w:rFonts w:ascii="Times New Roman" w:hAnsi="Times New Roman" w:cs="Times New Roman"/>
          <w:b/>
          <w:sz w:val="24"/>
          <w:szCs w:val="24"/>
          <w:lang w:val="lv-LV"/>
        </w:rPr>
        <w:t xml:space="preserve">s </w:t>
      </w:r>
      <w:r w:rsidR="00331193" w:rsidRPr="006166CC">
        <w:rPr>
          <w:rFonts w:ascii="Times New Roman" w:hAnsi="Times New Roman" w:cs="Times New Roman"/>
          <w:b/>
          <w:sz w:val="24"/>
          <w:szCs w:val="24"/>
          <w:lang w:val="lv-LV"/>
        </w:rPr>
        <w:t>kapitālsabiedrībās</w:t>
      </w:r>
      <w:r w:rsidRPr="006166CC">
        <w:rPr>
          <w:rFonts w:ascii="Times New Roman" w:hAnsi="Times New Roman" w:cs="Times New Roman"/>
          <w:b/>
          <w:sz w:val="24"/>
          <w:szCs w:val="24"/>
          <w:lang w:val="lv-LV"/>
        </w:rPr>
        <w:t>.</w:t>
      </w:r>
      <w:r w:rsidRPr="006166CC">
        <w:rPr>
          <w:rFonts w:ascii="Times New Roman" w:hAnsi="Times New Roman" w:cs="Times New Roman"/>
          <w:sz w:val="24"/>
          <w:szCs w:val="24"/>
          <w:lang w:val="lv-LV"/>
        </w:rPr>
        <w:t xml:space="preserve"> Piemēram, tādu kā </w:t>
      </w:r>
      <w:r w:rsidR="00017995" w:rsidRPr="006166CC">
        <w:rPr>
          <w:rFonts w:ascii="Times New Roman" w:hAnsi="Times New Roman" w:cs="Times New Roman"/>
          <w:color w:val="222222"/>
          <w:sz w:val="24"/>
          <w:szCs w:val="24"/>
          <w:shd w:val="clear" w:color="auto" w:fill="FFFFFF"/>
          <w:lang w:val="lv-LV"/>
        </w:rPr>
        <w:t>Eiropas Rekonstrukcijas un attīstības banka</w:t>
      </w:r>
      <w:r w:rsidR="00017995" w:rsidRPr="006166CC">
        <w:rPr>
          <w:rFonts w:ascii="Times New Roman" w:hAnsi="Times New Roman" w:cs="Times New Roman"/>
          <w:sz w:val="24"/>
          <w:szCs w:val="24"/>
          <w:lang w:val="lv-LV"/>
        </w:rPr>
        <w:t xml:space="preserve"> (</w:t>
      </w:r>
      <w:r w:rsidRPr="006166CC">
        <w:rPr>
          <w:rFonts w:ascii="Times New Roman" w:hAnsi="Times New Roman" w:cs="Times New Roman"/>
          <w:sz w:val="24"/>
          <w:szCs w:val="24"/>
          <w:lang w:val="lv-LV"/>
        </w:rPr>
        <w:t>EBRD</w:t>
      </w:r>
      <w:r w:rsidR="00017995" w:rsidRPr="006166CC">
        <w:rPr>
          <w:rFonts w:ascii="Times New Roman" w:hAnsi="Times New Roman" w:cs="Times New Roman"/>
          <w:sz w:val="24"/>
          <w:szCs w:val="24"/>
          <w:lang w:val="lv-LV"/>
        </w:rPr>
        <w:t>)</w:t>
      </w:r>
      <w:r w:rsidRPr="006166CC">
        <w:rPr>
          <w:rFonts w:ascii="Times New Roman" w:hAnsi="Times New Roman" w:cs="Times New Roman"/>
          <w:sz w:val="24"/>
          <w:szCs w:val="24"/>
          <w:lang w:val="lv-LV"/>
        </w:rPr>
        <w:t>.</w:t>
      </w:r>
      <w:r w:rsidR="002B517A" w:rsidRPr="006166CC">
        <w:rPr>
          <w:rFonts w:ascii="Times New Roman" w:hAnsi="Times New Roman" w:cs="Times New Roman"/>
          <w:sz w:val="24"/>
          <w:szCs w:val="24"/>
          <w:lang w:val="lv-LV"/>
        </w:rPr>
        <w:t xml:space="preserve"> To iespējams panākt</w:t>
      </w:r>
      <w:r w:rsidR="00D60BE5" w:rsidRPr="006166CC">
        <w:rPr>
          <w:rFonts w:ascii="Times New Roman" w:hAnsi="Times New Roman" w:cs="Times New Roman"/>
          <w:sz w:val="24"/>
          <w:szCs w:val="24"/>
          <w:lang w:val="lv-LV"/>
        </w:rPr>
        <w:t>,</w:t>
      </w:r>
      <w:r w:rsidR="002B517A" w:rsidRPr="006166CC">
        <w:rPr>
          <w:rFonts w:ascii="Times New Roman" w:hAnsi="Times New Roman" w:cs="Times New Roman"/>
          <w:sz w:val="24"/>
          <w:szCs w:val="24"/>
          <w:lang w:val="lv-LV"/>
        </w:rPr>
        <w:t xml:space="preserve"> valdības pārstāvjiem tiekoties ar šiem investoriem un aktīvi demonstrējot valsts attīstības redzējumu, tajā skaitā, apliecinot interesi par nacionālā kapitāla tirgus attīstību un tā būtisko lomu kopējā Latvijas ekonomiskās izaugsmes stāstā.</w:t>
      </w:r>
    </w:p>
    <w:p w14:paraId="156A0C1E" w14:textId="0486950E" w:rsidR="00FA3882" w:rsidRPr="006166CC" w:rsidRDefault="00FA3882" w:rsidP="005A4227">
      <w:pPr>
        <w:pStyle w:val="Heading2"/>
        <w:rPr>
          <w:rFonts w:ascii="Times New Roman" w:hAnsi="Times New Roman" w:cs="Times New Roman"/>
          <w:color w:val="365F91" w:themeColor="accent1" w:themeShade="BF"/>
          <w:sz w:val="24"/>
          <w:szCs w:val="24"/>
          <w:lang w:val="lv-LV"/>
        </w:rPr>
      </w:pPr>
      <w:bookmarkStart w:id="26" w:name="_Toc511029113"/>
      <w:r w:rsidRPr="006166CC">
        <w:rPr>
          <w:rFonts w:ascii="Times New Roman" w:hAnsi="Times New Roman" w:cs="Times New Roman"/>
          <w:color w:val="365F91" w:themeColor="accent1" w:themeShade="BF"/>
          <w:sz w:val="24"/>
          <w:szCs w:val="24"/>
          <w:lang w:val="lv-LV"/>
        </w:rPr>
        <w:t>Juridiskais ietvars</w:t>
      </w:r>
      <w:r w:rsidR="000E3953" w:rsidRPr="006166CC">
        <w:rPr>
          <w:rFonts w:ascii="Times New Roman" w:hAnsi="Times New Roman" w:cs="Times New Roman"/>
          <w:color w:val="365F91" w:themeColor="accent1" w:themeShade="BF"/>
          <w:sz w:val="24"/>
          <w:szCs w:val="24"/>
          <w:lang w:val="lv-LV"/>
        </w:rPr>
        <w:t xml:space="preserve"> valst</w:t>
      </w:r>
      <w:r w:rsidR="00281B98" w:rsidRPr="006166CC">
        <w:rPr>
          <w:rFonts w:ascii="Times New Roman" w:hAnsi="Times New Roman" w:cs="Times New Roman"/>
          <w:color w:val="365F91" w:themeColor="accent1" w:themeShade="BF"/>
          <w:sz w:val="24"/>
          <w:szCs w:val="24"/>
          <w:lang w:val="lv-LV"/>
        </w:rPr>
        <w:t>ij piederošo</w:t>
      </w:r>
      <w:r w:rsidRPr="006166CC">
        <w:rPr>
          <w:rFonts w:ascii="Times New Roman" w:hAnsi="Times New Roman" w:cs="Times New Roman"/>
          <w:color w:val="365F91" w:themeColor="accent1" w:themeShade="BF"/>
          <w:sz w:val="24"/>
          <w:szCs w:val="24"/>
          <w:lang w:val="lv-LV"/>
        </w:rPr>
        <w:t xml:space="preserve"> </w:t>
      </w:r>
      <w:r w:rsidR="00703C74" w:rsidRPr="006166CC">
        <w:rPr>
          <w:rFonts w:ascii="Times New Roman" w:hAnsi="Times New Roman" w:cs="Times New Roman"/>
          <w:color w:val="365F91" w:themeColor="accent1" w:themeShade="BF"/>
          <w:sz w:val="24"/>
          <w:szCs w:val="24"/>
          <w:lang w:val="lv-LV"/>
        </w:rPr>
        <w:t xml:space="preserve">akciju </w:t>
      </w:r>
      <w:r w:rsidRPr="006166CC">
        <w:rPr>
          <w:rFonts w:ascii="Times New Roman" w:hAnsi="Times New Roman" w:cs="Times New Roman"/>
          <w:color w:val="365F91" w:themeColor="accent1" w:themeShade="BF"/>
          <w:sz w:val="24"/>
          <w:szCs w:val="24"/>
          <w:lang w:val="lv-LV"/>
        </w:rPr>
        <w:t>atsavināšanai</w:t>
      </w:r>
      <w:bookmarkEnd w:id="26"/>
      <w:r w:rsidR="00703C74" w:rsidRPr="006166CC">
        <w:rPr>
          <w:rFonts w:ascii="Times New Roman" w:hAnsi="Times New Roman" w:cs="Times New Roman"/>
          <w:color w:val="365F91" w:themeColor="accent1" w:themeShade="BF"/>
          <w:sz w:val="24"/>
          <w:szCs w:val="24"/>
          <w:lang w:val="lv-LV"/>
        </w:rPr>
        <w:t xml:space="preserve"> </w:t>
      </w:r>
    </w:p>
    <w:p w14:paraId="205F8E74" w14:textId="77777777" w:rsidR="009B75E3" w:rsidRPr="006166CC" w:rsidRDefault="009B75E3" w:rsidP="00830666">
      <w:pPr>
        <w:tabs>
          <w:tab w:val="right" w:pos="9071"/>
        </w:tabs>
        <w:jc w:val="both"/>
        <w:rPr>
          <w:rFonts w:ascii="Times New Roman" w:hAnsi="Times New Roman" w:cs="Times New Roman"/>
          <w:color w:val="000000" w:themeColor="text1"/>
          <w:sz w:val="24"/>
          <w:szCs w:val="24"/>
          <w:lang w:val="lv-LV"/>
        </w:rPr>
      </w:pPr>
      <w:r w:rsidRPr="006166CC">
        <w:rPr>
          <w:rFonts w:ascii="Times New Roman" w:hAnsi="Times New Roman" w:cs="Times New Roman"/>
          <w:color w:val="000000" w:themeColor="text1"/>
          <w:sz w:val="24"/>
          <w:szCs w:val="24"/>
          <w:lang w:val="lv-LV"/>
        </w:rPr>
        <w:t>Publiskas personas kapitāla daļu un kapitālsabiedrību pārvaldības likuma (</w:t>
      </w:r>
      <w:r w:rsidR="00830666" w:rsidRPr="006166CC">
        <w:rPr>
          <w:rFonts w:ascii="Times New Roman" w:hAnsi="Times New Roman" w:cs="Times New Roman"/>
          <w:color w:val="000000" w:themeColor="text1"/>
          <w:sz w:val="24"/>
          <w:szCs w:val="24"/>
          <w:lang w:val="lv-LV"/>
        </w:rPr>
        <w:t>“</w:t>
      </w:r>
      <w:r w:rsidRPr="006166CC">
        <w:rPr>
          <w:rFonts w:ascii="Times New Roman" w:hAnsi="Times New Roman" w:cs="Times New Roman"/>
          <w:color w:val="000000" w:themeColor="text1"/>
          <w:sz w:val="24"/>
          <w:szCs w:val="24"/>
          <w:lang w:val="lv-LV"/>
        </w:rPr>
        <w:t>Pārvaldības likums</w:t>
      </w:r>
      <w:r w:rsidR="00830666" w:rsidRPr="006166CC">
        <w:rPr>
          <w:rFonts w:ascii="Times New Roman" w:hAnsi="Times New Roman" w:cs="Times New Roman"/>
          <w:color w:val="000000" w:themeColor="text1"/>
          <w:sz w:val="24"/>
          <w:szCs w:val="24"/>
          <w:lang w:val="lv-LV"/>
        </w:rPr>
        <w:t>”</w:t>
      </w:r>
      <w:r w:rsidRPr="006166CC">
        <w:rPr>
          <w:rFonts w:ascii="Times New Roman" w:hAnsi="Times New Roman" w:cs="Times New Roman"/>
          <w:color w:val="000000" w:themeColor="text1"/>
          <w:sz w:val="24"/>
          <w:szCs w:val="24"/>
          <w:lang w:val="lv-LV"/>
        </w:rPr>
        <w:t>) 3.panta pirmās daļas 6.punkts noteic, ka minētais likums cita starpā arī nosaka kārtību, kādā atsavināmas publiskas personas kapitāla daļas.</w:t>
      </w:r>
    </w:p>
    <w:p w14:paraId="0CE8AA6C" w14:textId="77777777" w:rsidR="009B75E3" w:rsidRPr="006166CC" w:rsidRDefault="009B75E3" w:rsidP="00830666">
      <w:pPr>
        <w:tabs>
          <w:tab w:val="right" w:pos="9071"/>
        </w:tabs>
        <w:jc w:val="both"/>
        <w:rPr>
          <w:rFonts w:ascii="Times New Roman" w:eastAsia="Times New Roman" w:hAnsi="Times New Roman" w:cs="Times New Roman"/>
          <w:b/>
          <w:color w:val="000000" w:themeColor="text1"/>
          <w:sz w:val="24"/>
          <w:szCs w:val="24"/>
          <w:lang w:val="lv-LV" w:eastAsia="lv-LV"/>
        </w:rPr>
      </w:pPr>
      <w:r w:rsidRPr="006166CC">
        <w:rPr>
          <w:rFonts w:ascii="Times New Roman" w:hAnsi="Times New Roman" w:cs="Times New Roman"/>
          <w:color w:val="000000" w:themeColor="text1"/>
          <w:sz w:val="24"/>
          <w:szCs w:val="24"/>
          <w:lang w:val="lv-LV"/>
        </w:rPr>
        <w:t xml:space="preserve">Atbilstoši Pārvaldības likumā lietotajai terminoloģijai publiskas personas kapitālsabiedrības ir visas tās kapitālsabiedrības, kurās visas kapitāla daļas vai balsstiesīgās akcijas pieder </w:t>
      </w:r>
      <w:r w:rsidRPr="006166CC">
        <w:rPr>
          <w:rFonts w:ascii="Times New Roman" w:hAnsi="Times New Roman" w:cs="Times New Roman"/>
          <w:color w:val="000000" w:themeColor="text1"/>
          <w:sz w:val="24"/>
          <w:szCs w:val="24"/>
          <w:u w:val="single"/>
          <w:lang w:val="lv-LV"/>
        </w:rPr>
        <w:t>vienai publiskai personai</w:t>
      </w:r>
      <w:r w:rsidRPr="006166CC">
        <w:rPr>
          <w:rFonts w:ascii="Times New Roman" w:hAnsi="Times New Roman" w:cs="Times New Roman"/>
          <w:color w:val="000000" w:themeColor="text1"/>
          <w:sz w:val="24"/>
          <w:szCs w:val="24"/>
          <w:lang w:val="lv-LV"/>
        </w:rPr>
        <w:t xml:space="preserve">, savukārt publiski privātā kapitālsabiedrība ir kapitālsabiedrība, kurā visas kapitāla daļas vai balsstiesīgās akcijas pieder </w:t>
      </w:r>
      <w:r w:rsidRPr="006166CC">
        <w:rPr>
          <w:rFonts w:ascii="Times New Roman" w:hAnsi="Times New Roman" w:cs="Times New Roman"/>
          <w:color w:val="000000" w:themeColor="text1"/>
          <w:sz w:val="24"/>
          <w:szCs w:val="24"/>
          <w:u w:val="single"/>
          <w:lang w:val="lv-LV"/>
        </w:rPr>
        <w:t>vairākām publiskām personām</w:t>
      </w:r>
      <w:r w:rsidRPr="006166CC">
        <w:rPr>
          <w:rFonts w:ascii="Times New Roman" w:hAnsi="Times New Roman" w:cs="Times New Roman"/>
          <w:color w:val="000000" w:themeColor="text1"/>
          <w:sz w:val="24"/>
          <w:szCs w:val="24"/>
          <w:lang w:val="lv-LV"/>
        </w:rPr>
        <w:t xml:space="preserve">. </w:t>
      </w:r>
      <w:r w:rsidRPr="006166CC">
        <w:rPr>
          <w:rFonts w:ascii="Times New Roman" w:hAnsi="Times New Roman" w:cs="Times New Roman"/>
          <w:bCs/>
          <w:color w:val="000000" w:themeColor="text1"/>
          <w:sz w:val="24"/>
          <w:szCs w:val="24"/>
          <w:lang w:val="lv-LV"/>
        </w:rPr>
        <w:t>Attiecībā uz jautājumu par publisku personu akciju sabiedrību akciju kotēšanu biržā, jāņem vērā, ka Pārvaldības likuma 38.pants noteic, ka p</w:t>
      </w:r>
      <w:r w:rsidRPr="006166CC">
        <w:rPr>
          <w:rFonts w:ascii="Times New Roman" w:hAnsi="Times New Roman" w:cs="Times New Roman"/>
          <w:color w:val="000000" w:themeColor="text1"/>
          <w:sz w:val="24"/>
          <w:szCs w:val="24"/>
          <w:lang w:val="lv-LV"/>
        </w:rPr>
        <w:t xml:space="preserve">ubliskas personas akciju sabiedrības un publiski privātās akciju sabiedrības akcijas nevar būt publiskās apgrozības objekts, izņemot gadījumus, kad attiecīgās </w:t>
      </w:r>
      <w:r w:rsidRPr="006166CC">
        <w:rPr>
          <w:rFonts w:ascii="Times New Roman" w:hAnsi="Times New Roman" w:cs="Times New Roman"/>
          <w:b/>
          <w:color w:val="000000" w:themeColor="text1"/>
          <w:sz w:val="24"/>
          <w:szCs w:val="24"/>
          <w:lang w:val="lv-LV"/>
        </w:rPr>
        <w:t xml:space="preserve">publiskās personas augstākā lēmējinstitūcija pieņem lēmumu par akciju atsavināšanu, kotējot tās biržā atbilstoši šā likuma H sadaļai. </w:t>
      </w:r>
      <w:r w:rsidRPr="006166CC">
        <w:rPr>
          <w:rFonts w:ascii="Times New Roman" w:hAnsi="Times New Roman" w:cs="Times New Roman"/>
          <w:color w:val="000000" w:themeColor="text1"/>
          <w:sz w:val="24"/>
          <w:szCs w:val="24"/>
          <w:lang w:val="lv-LV"/>
        </w:rPr>
        <w:t xml:space="preserve">Pārvaldības likuma 138.panta pirmajai daļā noteikts, ka lēmumu </w:t>
      </w:r>
      <w:r w:rsidRPr="006166CC">
        <w:rPr>
          <w:rFonts w:ascii="Times New Roman" w:eastAsia="Times New Roman" w:hAnsi="Times New Roman" w:cs="Times New Roman"/>
          <w:color w:val="000000" w:themeColor="text1"/>
          <w:sz w:val="24"/>
          <w:szCs w:val="24"/>
          <w:lang w:val="lv-LV" w:eastAsia="lv-LV"/>
        </w:rPr>
        <w:t xml:space="preserve">par kapitāla daļu pārdošanu pieņem attiecīgās publiskās personas augstākā lēmējinstitūcija, tātad Ministru kabinets. Atbilstoši Pārvaldības likuma 85.panta pirmajā daļā noteiktajam visas publiskas personas akciju sabiedrības akcijas </w:t>
      </w:r>
      <w:r w:rsidRPr="006166CC">
        <w:rPr>
          <w:rFonts w:ascii="Times New Roman" w:eastAsia="Times New Roman" w:hAnsi="Times New Roman" w:cs="Times New Roman"/>
          <w:color w:val="000000" w:themeColor="text1"/>
          <w:sz w:val="24"/>
          <w:szCs w:val="24"/>
          <w:u w:val="single"/>
          <w:lang w:val="lv-LV" w:eastAsia="lv-LV"/>
        </w:rPr>
        <w:t xml:space="preserve">ir </w:t>
      </w:r>
      <w:r w:rsidRPr="006166CC">
        <w:rPr>
          <w:rFonts w:ascii="Times New Roman" w:hAnsi="Times New Roman" w:cs="Times New Roman"/>
          <w:color w:val="000000" w:themeColor="text1"/>
          <w:sz w:val="24"/>
          <w:szCs w:val="24"/>
          <w:u w:val="single"/>
          <w:lang w:val="lv-LV"/>
        </w:rPr>
        <w:t>vienas kategorijas akcijas</w:t>
      </w:r>
      <w:r w:rsidRPr="006166CC">
        <w:rPr>
          <w:rFonts w:ascii="Times New Roman" w:hAnsi="Times New Roman" w:cs="Times New Roman"/>
          <w:color w:val="000000" w:themeColor="text1"/>
          <w:sz w:val="24"/>
          <w:szCs w:val="24"/>
          <w:lang w:val="lv-LV"/>
        </w:rPr>
        <w:t>, izņemot gadījumus, kad sabiedrībā ir personāla akcijas.</w:t>
      </w:r>
      <w:r w:rsidRPr="006166CC">
        <w:rPr>
          <w:rFonts w:ascii="Times New Roman" w:eastAsia="Times New Roman" w:hAnsi="Times New Roman" w:cs="Times New Roman"/>
          <w:color w:val="000000" w:themeColor="text1"/>
          <w:sz w:val="24"/>
          <w:szCs w:val="24"/>
          <w:lang w:val="lv-LV" w:eastAsia="lv-LV"/>
        </w:rPr>
        <w:t xml:space="preserve"> Tomēr jāņem vērā, ka esošais regulējums Pārvaldības likuma 90.pantā noteic, ka </w:t>
      </w:r>
      <w:r w:rsidRPr="006166CC">
        <w:rPr>
          <w:rFonts w:ascii="Times New Roman" w:eastAsia="Times New Roman" w:hAnsi="Times New Roman" w:cs="Times New Roman"/>
          <w:b/>
          <w:color w:val="000000" w:themeColor="text1"/>
          <w:sz w:val="24"/>
          <w:szCs w:val="24"/>
          <w:lang w:val="lv-LV" w:eastAsia="lv-LV"/>
        </w:rPr>
        <w:t>publiskas personas akciju sabiedrība nav tiesīga emitēt konvertējamās obligācijas.</w:t>
      </w:r>
    </w:p>
    <w:p w14:paraId="7BB253AD" w14:textId="77777777" w:rsidR="009B75E3" w:rsidRPr="006166CC" w:rsidRDefault="009B75E3" w:rsidP="00830666">
      <w:pPr>
        <w:tabs>
          <w:tab w:val="right" w:pos="9071"/>
        </w:tabs>
        <w:jc w:val="both"/>
        <w:rPr>
          <w:rFonts w:ascii="Times New Roman" w:eastAsia="Times New Roman" w:hAnsi="Times New Roman" w:cs="Times New Roman"/>
          <w:color w:val="000000" w:themeColor="text1"/>
          <w:sz w:val="24"/>
          <w:szCs w:val="24"/>
          <w:u w:val="single"/>
          <w:lang w:val="lv-LV" w:eastAsia="lv-LV"/>
        </w:rPr>
      </w:pPr>
      <w:r w:rsidRPr="006166CC">
        <w:rPr>
          <w:rFonts w:ascii="Times New Roman" w:eastAsia="Times New Roman" w:hAnsi="Times New Roman" w:cs="Times New Roman"/>
          <w:color w:val="000000" w:themeColor="text1"/>
          <w:sz w:val="24"/>
          <w:szCs w:val="24"/>
          <w:lang w:val="lv-LV" w:eastAsia="lv-LV"/>
        </w:rPr>
        <w:t>Vienlaikus</w:t>
      </w:r>
      <w:r w:rsidR="00830666" w:rsidRPr="006166CC">
        <w:rPr>
          <w:rFonts w:ascii="Times New Roman" w:eastAsia="Times New Roman" w:hAnsi="Times New Roman" w:cs="Times New Roman"/>
          <w:color w:val="000000" w:themeColor="text1"/>
          <w:sz w:val="24"/>
          <w:szCs w:val="24"/>
          <w:lang w:val="lv-LV" w:eastAsia="lv-LV"/>
        </w:rPr>
        <w:t>,</w:t>
      </w:r>
      <w:r w:rsidRPr="006166CC">
        <w:rPr>
          <w:rFonts w:ascii="Times New Roman" w:eastAsia="Times New Roman" w:hAnsi="Times New Roman" w:cs="Times New Roman"/>
          <w:color w:val="000000" w:themeColor="text1"/>
          <w:sz w:val="24"/>
          <w:szCs w:val="24"/>
          <w:lang w:val="lv-LV" w:eastAsia="lv-LV"/>
        </w:rPr>
        <w:t xml:space="preserve"> vērtējot iespējas par publisku personu kapitālsabiedrību akciju kotēšanu biržā</w:t>
      </w:r>
      <w:r w:rsidR="00830666" w:rsidRPr="006166CC">
        <w:rPr>
          <w:rFonts w:ascii="Times New Roman" w:eastAsia="Times New Roman" w:hAnsi="Times New Roman" w:cs="Times New Roman"/>
          <w:color w:val="000000" w:themeColor="text1"/>
          <w:sz w:val="24"/>
          <w:szCs w:val="24"/>
          <w:lang w:val="lv-LV" w:eastAsia="lv-LV"/>
        </w:rPr>
        <w:t>,</w:t>
      </w:r>
      <w:r w:rsidRPr="006166CC">
        <w:rPr>
          <w:rFonts w:ascii="Times New Roman" w:eastAsia="Times New Roman" w:hAnsi="Times New Roman" w:cs="Times New Roman"/>
          <w:color w:val="000000" w:themeColor="text1"/>
          <w:sz w:val="24"/>
          <w:szCs w:val="24"/>
          <w:lang w:val="lv-LV" w:eastAsia="lv-LV"/>
        </w:rPr>
        <w:t xml:space="preserve"> ir jāņem vērā, ka pamatojoties uz Valsts un pašvaldību īpašuma privatizācijas un privatizācijas sertifikātu izmantošanas pabeigšanas likuma 17.panta pirmo daļu nedrīkst privatizēt un </w:t>
      </w:r>
      <w:r w:rsidRPr="006166CC">
        <w:rPr>
          <w:rFonts w:ascii="Times New Roman" w:eastAsia="Times New Roman" w:hAnsi="Times New Roman" w:cs="Times New Roman"/>
          <w:color w:val="000000" w:themeColor="text1"/>
          <w:sz w:val="24"/>
          <w:szCs w:val="24"/>
          <w:u w:val="single"/>
          <w:lang w:val="lv-LV" w:eastAsia="lv-LV"/>
        </w:rPr>
        <w:t>atsavināt šādas valsts kapitālsabiedrību akcijas:</w:t>
      </w:r>
    </w:p>
    <w:p w14:paraId="03410272" w14:textId="77777777" w:rsidR="009B75E3" w:rsidRPr="006166CC" w:rsidRDefault="009B75E3" w:rsidP="00830666">
      <w:pPr>
        <w:pStyle w:val="ListParagraph"/>
        <w:numPr>
          <w:ilvl w:val="0"/>
          <w:numId w:val="29"/>
        </w:numPr>
        <w:tabs>
          <w:tab w:val="right" w:pos="9071"/>
        </w:tabs>
        <w:jc w:val="both"/>
        <w:rPr>
          <w:rFonts w:ascii="Times New Roman" w:eastAsia="Times New Roman" w:hAnsi="Times New Roman" w:cs="Times New Roman"/>
          <w:color w:val="000000" w:themeColor="text1"/>
          <w:sz w:val="24"/>
          <w:szCs w:val="24"/>
          <w:lang w:val="lv-LV" w:eastAsia="lv-LV"/>
        </w:rPr>
      </w:pPr>
      <w:r w:rsidRPr="006166CC">
        <w:rPr>
          <w:rFonts w:ascii="Times New Roman" w:eastAsia="Times New Roman" w:hAnsi="Times New Roman" w:cs="Times New Roman"/>
          <w:color w:val="000000" w:themeColor="text1"/>
          <w:sz w:val="24"/>
          <w:szCs w:val="24"/>
          <w:lang w:val="lv-LV" w:eastAsia="lv-LV"/>
        </w:rPr>
        <w:t xml:space="preserve">VAS “Latvenergo”; </w:t>
      </w:r>
    </w:p>
    <w:p w14:paraId="700786C9" w14:textId="3A10EFE3" w:rsidR="009B75E3" w:rsidRPr="006166CC" w:rsidRDefault="009B75E3" w:rsidP="00830666">
      <w:pPr>
        <w:pStyle w:val="ListParagraph"/>
        <w:numPr>
          <w:ilvl w:val="0"/>
          <w:numId w:val="29"/>
        </w:numPr>
        <w:tabs>
          <w:tab w:val="right" w:pos="9071"/>
        </w:tabs>
        <w:jc w:val="both"/>
        <w:rPr>
          <w:rFonts w:ascii="Times New Roman" w:eastAsia="Times New Roman" w:hAnsi="Times New Roman" w:cs="Times New Roman"/>
          <w:color w:val="000000" w:themeColor="text1"/>
          <w:sz w:val="24"/>
          <w:szCs w:val="24"/>
          <w:lang w:val="lv-LV" w:eastAsia="lv-LV"/>
        </w:rPr>
      </w:pPr>
      <w:r w:rsidRPr="006166CC">
        <w:rPr>
          <w:rFonts w:ascii="Times New Roman" w:eastAsia="Times New Roman" w:hAnsi="Times New Roman" w:cs="Times New Roman"/>
          <w:color w:val="000000" w:themeColor="text1"/>
          <w:sz w:val="24"/>
          <w:szCs w:val="24"/>
          <w:lang w:val="lv-LV" w:eastAsia="lv-LV"/>
        </w:rPr>
        <w:t>VAS “</w:t>
      </w:r>
      <w:r w:rsidR="000676EC" w:rsidRPr="006166CC">
        <w:rPr>
          <w:rFonts w:ascii="Times New Roman" w:eastAsia="Times New Roman" w:hAnsi="Times New Roman" w:cs="Times New Roman"/>
          <w:color w:val="000000" w:themeColor="text1"/>
          <w:sz w:val="24"/>
          <w:szCs w:val="24"/>
          <w:lang w:val="lv-LV" w:eastAsia="lv-LV"/>
        </w:rPr>
        <w:t>Latvijas Pasts</w:t>
      </w:r>
      <w:r w:rsidRPr="006166CC">
        <w:rPr>
          <w:rFonts w:ascii="Times New Roman" w:eastAsia="Times New Roman" w:hAnsi="Times New Roman" w:cs="Times New Roman"/>
          <w:color w:val="000000" w:themeColor="text1"/>
          <w:sz w:val="24"/>
          <w:szCs w:val="24"/>
          <w:lang w:val="lv-LV" w:eastAsia="lv-LV"/>
        </w:rPr>
        <w:t>”;</w:t>
      </w:r>
    </w:p>
    <w:p w14:paraId="6BCAAFC6" w14:textId="77777777" w:rsidR="009B75E3" w:rsidRPr="006166CC" w:rsidRDefault="009B75E3" w:rsidP="00830666">
      <w:pPr>
        <w:pStyle w:val="ListParagraph"/>
        <w:numPr>
          <w:ilvl w:val="0"/>
          <w:numId w:val="29"/>
        </w:numPr>
        <w:tabs>
          <w:tab w:val="right" w:pos="9071"/>
        </w:tabs>
        <w:jc w:val="both"/>
        <w:rPr>
          <w:rFonts w:ascii="Times New Roman" w:eastAsia="Times New Roman" w:hAnsi="Times New Roman" w:cs="Times New Roman"/>
          <w:color w:val="000000" w:themeColor="text1"/>
          <w:sz w:val="24"/>
          <w:szCs w:val="24"/>
          <w:lang w:val="lv-LV" w:eastAsia="lv-LV"/>
        </w:rPr>
      </w:pPr>
      <w:r w:rsidRPr="006166CC">
        <w:rPr>
          <w:rFonts w:ascii="Times New Roman" w:eastAsia="Times New Roman" w:hAnsi="Times New Roman" w:cs="Times New Roman"/>
          <w:color w:val="000000" w:themeColor="text1"/>
          <w:sz w:val="24"/>
          <w:szCs w:val="24"/>
          <w:lang w:val="lv-LV" w:eastAsia="lv-LV"/>
        </w:rPr>
        <w:t>VAS “Starptautiskā lidosta “Rīga””;</w:t>
      </w:r>
    </w:p>
    <w:p w14:paraId="59C63F48" w14:textId="77777777" w:rsidR="009B75E3" w:rsidRPr="006166CC" w:rsidRDefault="009B75E3" w:rsidP="00830666">
      <w:pPr>
        <w:pStyle w:val="ListParagraph"/>
        <w:numPr>
          <w:ilvl w:val="0"/>
          <w:numId w:val="29"/>
        </w:numPr>
        <w:tabs>
          <w:tab w:val="right" w:pos="9071"/>
        </w:tabs>
        <w:jc w:val="both"/>
        <w:rPr>
          <w:rFonts w:ascii="Times New Roman" w:eastAsia="Times New Roman" w:hAnsi="Times New Roman" w:cs="Times New Roman"/>
          <w:color w:val="000000" w:themeColor="text1"/>
          <w:sz w:val="24"/>
          <w:szCs w:val="24"/>
          <w:lang w:val="lv-LV" w:eastAsia="lv-LV"/>
        </w:rPr>
      </w:pPr>
      <w:r w:rsidRPr="006166CC">
        <w:rPr>
          <w:rFonts w:ascii="Times New Roman" w:eastAsia="Times New Roman" w:hAnsi="Times New Roman" w:cs="Times New Roman"/>
          <w:color w:val="000000" w:themeColor="text1"/>
          <w:sz w:val="24"/>
          <w:szCs w:val="24"/>
          <w:lang w:val="lv-LV" w:eastAsia="lv-LV"/>
        </w:rPr>
        <w:t>VAS “Latvijas dzelzceļš”;</w:t>
      </w:r>
    </w:p>
    <w:p w14:paraId="25768CD7" w14:textId="77777777" w:rsidR="009B75E3" w:rsidRPr="006166CC" w:rsidRDefault="009B75E3" w:rsidP="00830666">
      <w:pPr>
        <w:pStyle w:val="ListParagraph"/>
        <w:numPr>
          <w:ilvl w:val="0"/>
          <w:numId w:val="29"/>
        </w:numPr>
        <w:tabs>
          <w:tab w:val="right" w:pos="9071"/>
        </w:tabs>
        <w:jc w:val="both"/>
        <w:rPr>
          <w:rFonts w:ascii="Times New Roman" w:eastAsia="Times New Roman" w:hAnsi="Times New Roman" w:cs="Times New Roman"/>
          <w:color w:val="000000" w:themeColor="text1"/>
          <w:sz w:val="24"/>
          <w:szCs w:val="24"/>
          <w:lang w:val="lv-LV" w:eastAsia="lv-LV"/>
        </w:rPr>
      </w:pPr>
      <w:r w:rsidRPr="006166CC">
        <w:rPr>
          <w:rFonts w:ascii="Times New Roman" w:eastAsia="Times New Roman" w:hAnsi="Times New Roman" w:cs="Times New Roman"/>
          <w:color w:val="000000" w:themeColor="text1"/>
          <w:sz w:val="24"/>
          <w:szCs w:val="24"/>
          <w:lang w:val="lv-LV" w:eastAsia="lv-LV"/>
        </w:rPr>
        <w:t>VAS “Latvijas gaisa satiksme”;</w:t>
      </w:r>
    </w:p>
    <w:p w14:paraId="5005EC38" w14:textId="77777777" w:rsidR="009B75E3" w:rsidRPr="006166CC" w:rsidRDefault="009B75E3" w:rsidP="00830666">
      <w:pPr>
        <w:pStyle w:val="ListParagraph"/>
        <w:numPr>
          <w:ilvl w:val="0"/>
          <w:numId w:val="29"/>
        </w:numPr>
        <w:tabs>
          <w:tab w:val="right" w:pos="9071"/>
        </w:tabs>
        <w:jc w:val="both"/>
        <w:rPr>
          <w:rFonts w:ascii="Times New Roman" w:eastAsia="Times New Roman" w:hAnsi="Times New Roman" w:cs="Times New Roman"/>
          <w:color w:val="000000" w:themeColor="text1"/>
          <w:sz w:val="24"/>
          <w:szCs w:val="24"/>
          <w:lang w:val="lv-LV" w:eastAsia="lv-LV"/>
        </w:rPr>
      </w:pPr>
      <w:r w:rsidRPr="006166CC">
        <w:rPr>
          <w:rFonts w:ascii="Times New Roman" w:eastAsia="Times New Roman" w:hAnsi="Times New Roman" w:cs="Times New Roman"/>
          <w:color w:val="000000" w:themeColor="text1"/>
          <w:sz w:val="24"/>
          <w:szCs w:val="24"/>
          <w:lang w:val="lv-LV" w:eastAsia="lv-LV"/>
        </w:rPr>
        <w:t>VAS “Latvijas Valsts meži”.</w:t>
      </w:r>
    </w:p>
    <w:p w14:paraId="49D7AB84" w14:textId="7F2F78B9" w:rsidR="00182450" w:rsidRPr="006166CC" w:rsidRDefault="00182450" w:rsidP="00830666">
      <w:pPr>
        <w:tabs>
          <w:tab w:val="right" w:pos="9071"/>
        </w:tabs>
        <w:jc w:val="both"/>
        <w:rPr>
          <w:rFonts w:ascii="Times New Roman" w:eastAsia="Times New Roman" w:hAnsi="Times New Roman" w:cs="Times New Roman"/>
          <w:color w:val="000000" w:themeColor="text1"/>
          <w:sz w:val="24"/>
          <w:szCs w:val="24"/>
          <w:lang w:val="lv-LV" w:eastAsia="lv-LV"/>
        </w:rPr>
      </w:pPr>
      <w:r w:rsidRPr="006166CC">
        <w:rPr>
          <w:rFonts w:ascii="Times New Roman" w:eastAsia="Times New Roman" w:hAnsi="Times New Roman" w:cs="Times New Roman"/>
          <w:color w:val="000000" w:themeColor="text1"/>
          <w:sz w:val="24"/>
          <w:szCs w:val="24"/>
          <w:lang w:val="lv-LV" w:eastAsia="lv-LV"/>
        </w:rPr>
        <w:lastRenderedPageBreak/>
        <w:t xml:space="preserve">Tāpat saskaņā ar likumā “Par valsts budžetu 2018. gadam” noteikto AS “Augstsprieguma tīkls” kapitāla daļas nav atsavināmas un ir pilnībā saglabājamas valsts īpašumā. </w:t>
      </w:r>
    </w:p>
    <w:p w14:paraId="0E441190" w14:textId="31167D55" w:rsidR="009B75E3" w:rsidRPr="006166CC" w:rsidRDefault="009B75E3" w:rsidP="00830666">
      <w:pPr>
        <w:tabs>
          <w:tab w:val="right" w:pos="9071"/>
        </w:tabs>
        <w:jc w:val="both"/>
        <w:rPr>
          <w:rFonts w:ascii="Times New Roman" w:eastAsia="Times New Roman" w:hAnsi="Times New Roman" w:cs="Times New Roman"/>
          <w:color w:val="000000" w:themeColor="text1"/>
          <w:sz w:val="24"/>
          <w:szCs w:val="24"/>
          <w:lang w:val="lv-LV" w:eastAsia="lv-LV"/>
        </w:rPr>
      </w:pPr>
      <w:r w:rsidRPr="006166CC">
        <w:rPr>
          <w:rFonts w:ascii="Times New Roman" w:eastAsia="Times New Roman" w:hAnsi="Times New Roman" w:cs="Times New Roman"/>
          <w:color w:val="000000" w:themeColor="text1"/>
          <w:sz w:val="24"/>
          <w:szCs w:val="24"/>
          <w:lang w:val="lv-LV" w:eastAsia="lv-LV"/>
        </w:rPr>
        <w:t xml:space="preserve">Līdz ar publisko personu un publiski privāto personu kapitālsabiedrību, kā arī to meitas sabiedrību, akciju emitēšanu biržā, un to iegādi mainīsies arī akcionāru struktūra. Neatkarīgi no tā, ka valsts kā akcionārs saglabās kontrolpaketi vismaz 51 % apmērā, tomēr šādas publisko personu un publiski privāto personu akciju sabiedrības kļūs par privātajām kapitālsabiedrībām. Līdz ar to, atbilstoši Pārvaldības likumā noteiktajam jārēķinās, ka valsts kā akciju kontrolpaketes turētājs šādās privātajās akciju sabiedrībās </w:t>
      </w:r>
      <w:r w:rsidR="009C29BF" w:rsidRPr="006166CC">
        <w:rPr>
          <w:rFonts w:ascii="Times New Roman" w:eastAsia="Times New Roman" w:hAnsi="Times New Roman" w:cs="Times New Roman"/>
          <w:color w:val="000000" w:themeColor="text1"/>
          <w:sz w:val="24"/>
          <w:szCs w:val="24"/>
          <w:lang w:val="lv-LV" w:eastAsia="lv-LV"/>
        </w:rPr>
        <w:t>tikai ar savas izšķirošās ietekmes palīdzību un attiecīgu balsošanu akcionāru sapulcē</w:t>
      </w:r>
      <w:r w:rsidR="00041785" w:rsidRPr="006166CC">
        <w:rPr>
          <w:rFonts w:ascii="Times New Roman" w:eastAsia="Times New Roman" w:hAnsi="Times New Roman" w:cs="Times New Roman"/>
          <w:color w:val="000000" w:themeColor="text1"/>
          <w:sz w:val="24"/>
          <w:szCs w:val="24"/>
          <w:lang w:val="lv-LV" w:eastAsia="lv-LV"/>
        </w:rPr>
        <w:t xml:space="preserve"> (turklāt, ja akcionāru līgums noteiktos jautājumos neparedzēs lēmumu pieņemšanas saskaņošanas pienākumu)</w:t>
      </w:r>
      <w:r w:rsidR="00110569" w:rsidRPr="006166CC">
        <w:rPr>
          <w:rFonts w:ascii="Times New Roman" w:eastAsia="Times New Roman" w:hAnsi="Times New Roman" w:cs="Times New Roman"/>
          <w:color w:val="000000" w:themeColor="text1"/>
          <w:sz w:val="24"/>
          <w:szCs w:val="24"/>
          <w:lang w:val="lv-LV" w:eastAsia="lv-LV"/>
        </w:rPr>
        <w:t xml:space="preserve"> </w:t>
      </w:r>
      <w:r w:rsidR="009C29BF" w:rsidRPr="006166CC">
        <w:rPr>
          <w:rFonts w:ascii="Times New Roman" w:eastAsia="Times New Roman" w:hAnsi="Times New Roman" w:cs="Times New Roman"/>
          <w:color w:val="000000" w:themeColor="text1"/>
          <w:sz w:val="24"/>
          <w:szCs w:val="24"/>
          <w:lang w:val="lv-LV" w:eastAsia="lv-LV"/>
        </w:rPr>
        <w:t>varēs ietekmēt būtiskus jautājumus</w:t>
      </w:r>
      <w:r w:rsidR="00A22AD4" w:rsidRPr="006166CC">
        <w:rPr>
          <w:rFonts w:ascii="Times New Roman" w:eastAsia="Times New Roman" w:hAnsi="Times New Roman" w:cs="Times New Roman"/>
          <w:color w:val="000000" w:themeColor="text1"/>
          <w:sz w:val="24"/>
          <w:szCs w:val="24"/>
          <w:lang w:val="lv-LV" w:eastAsia="lv-LV"/>
        </w:rPr>
        <w:t>. Jāņem vērā, ka</w:t>
      </w:r>
      <w:r w:rsidR="007E6592" w:rsidRPr="006166CC">
        <w:rPr>
          <w:rFonts w:ascii="Times New Roman" w:eastAsia="Times New Roman" w:hAnsi="Times New Roman" w:cs="Times New Roman"/>
          <w:color w:val="000000" w:themeColor="text1"/>
          <w:sz w:val="24"/>
          <w:szCs w:val="24"/>
          <w:lang w:val="lv-LV" w:eastAsia="lv-LV"/>
        </w:rPr>
        <w:t xml:space="preserve"> Pārvaldības likumā ir noteikta</w:t>
      </w:r>
      <w:r w:rsidR="00A22AD4" w:rsidRPr="006166CC">
        <w:rPr>
          <w:rFonts w:ascii="Times New Roman" w:eastAsia="Times New Roman" w:hAnsi="Times New Roman" w:cs="Times New Roman"/>
          <w:color w:val="000000" w:themeColor="text1"/>
          <w:sz w:val="24"/>
          <w:szCs w:val="24"/>
          <w:lang w:val="lv-LV" w:eastAsia="lv-LV"/>
        </w:rPr>
        <w:t xml:space="preserve"> atšķirīga kārtība </w:t>
      </w:r>
      <w:r w:rsidR="007E6592" w:rsidRPr="006166CC">
        <w:rPr>
          <w:rFonts w:ascii="Times New Roman" w:eastAsia="Times New Roman" w:hAnsi="Times New Roman" w:cs="Times New Roman"/>
          <w:color w:val="000000" w:themeColor="text1"/>
          <w:sz w:val="24"/>
          <w:szCs w:val="24"/>
          <w:lang w:val="lv-LV" w:eastAsia="lv-LV"/>
        </w:rPr>
        <w:t xml:space="preserve">valsts kapitālsabiedrībām un privātajām kapitālsabiedrībām šādos gadījumos: </w:t>
      </w:r>
    </w:p>
    <w:p w14:paraId="64628665" w14:textId="5E3D96B9" w:rsidR="009B75E3" w:rsidRPr="006166CC" w:rsidRDefault="009B75E3" w:rsidP="00830666">
      <w:pPr>
        <w:pStyle w:val="ListParagraph"/>
        <w:numPr>
          <w:ilvl w:val="0"/>
          <w:numId w:val="30"/>
        </w:numPr>
        <w:tabs>
          <w:tab w:val="right" w:pos="9071"/>
        </w:tabs>
        <w:jc w:val="both"/>
        <w:rPr>
          <w:rFonts w:ascii="Times New Roman" w:eastAsia="Times New Roman" w:hAnsi="Times New Roman" w:cs="Times New Roman"/>
          <w:color w:val="000000" w:themeColor="text1"/>
          <w:sz w:val="24"/>
          <w:szCs w:val="24"/>
          <w:lang w:val="lv-LV" w:eastAsia="lv-LV"/>
        </w:rPr>
      </w:pPr>
      <w:r w:rsidRPr="006166CC">
        <w:rPr>
          <w:rFonts w:ascii="Times New Roman" w:eastAsia="Times New Roman" w:hAnsi="Times New Roman" w:cs="Times New Roman"/>
          <w:color w:val="000000" w:themeColor="text1"/>
          <w:sz w:val="24"/>
          <w:szCs w:val="24"/>
          <w:lang w:val="lv-LV" w:eastAsia="lv-LV"/>
        </w:rPr>
        <w:t xml:space="preserve">kapitālsabiedrības stratēģiju </w:t>
      </w:r>
      <w:r w:rsidR="000E3953" w:rsidRPr="006166CC">
        <w:rPr>
          <w:rFonts w:ascii="Times New Roman" w:eastAsia="Times New Roman" w:hAnsi="Times New Roman" w:cs="Times New Roman"/>
          <w:color w:val="000000" w:themeColor="text1"/>
          <w:sz w:val="24"/>
          <w:szCs w:val="24"/>
          <w:lang w:val="lv-LV" w:eastAsia="lv-LV"/>
        </w:rPr>
        <w:t>izstrāde</w:t>
      </w:r>
      <w:r w:rsidRPr="006166CC">
        <w:rPr>
          <w:rFonts w:ascii="Times New Roman" w:eastAsia="Times New Roman" w:hAnsi="Times New Roman" w:cs="Times New Roman"/>
          <w:color w:val="000000" w:themeColor="text1"/>
          <w:sz w:val="24"/>
          <w:szCs w:val="24"/>
          <w:lang w:val="lv-LV" w:eastAsia="lv-LV"/>
        </w:rPr>
        <w:t xml:space="preserve">, jo likuma </w:t>
      </w:r>
      <w:r w:rsidR="000E3953" w:rsidRPr="006166CC">
        <w:rPr>
          <w:rFonts w:ascii="Times New Roman" w:eastAsia="Times New Roman" w:hAnsi="Times New Roman" w:cs="Times New Roman"/>
          <w:color w:val="000000" w:themeColor="text1"/>
          <w:sz w:val="24"/>
          <w:szCs w:val="24"/>
          <w:lang w:val="lv-LV" w:eastAsia="lv-LV"/>
        </w:rPr>
        <w:t>57</w:t>
      </w:r>
      <w:r w:rsidRPr="006166CC">
        <w:rPr>
          <w:rFonts w:ascii="Times New Roman" w:eastAsia="Times New Roman" w:hAnsi="Times New Roman" w:cs="Times New Roman"/>
          <w:color w:val="000000" w:themeColor="text1"/>
          <w:sz w:val="24"/>
          <w:szCs w:val="24"/>
          <w:lang w:val="lv-LV" w:eastAsia="lv-LV"/>
        </w:rPr>
        <w:t>.pants neattiecas uz privātajām kapitālsabiedrībām</w:t>
      </w:r>
      <w:r w:rsidR="000E3953" w:rsidRPr="006166CC">
        <w:rPr>
          <w:rFonts w:ascii="Times New Roman" w:eastAsia="Times New Roman" w:hAnsi="Times New Roman" w:cs="Times New Roman"/>
          <w:color w:val="000000" w:themeColor="text1"/>
          <w:sz w:val="24"/>
          <w:szCs w:val="24"/>
          <w:lang w:val="lv-LV" w:eastAsia="lv-LV"/>
        </w:rPr>
        <w:t>, izvērtēšana un apstiprināšana</w:t>
      </w:r>
      <w:r w:rsidRPr="006166CC">
        <w:rPr>
          <w:rFonts w:ascii="Times New Roman" w:eastAsia="Times New Roman" w:hAnsi="Times New Roman" w:cs="Times New Roman"/>
          <w:color w:val="000000" w:themeColor="text1"/>
          <w:sz w:val="24"/>
          <w:szCs w:val="24"/>
          <w:lang w:val="lv-LV" w:eastAsia="lv-LV"/>
        </w:rPr>
        <w:t>;</w:t>
      </w:r>
    </w:p>
    <w:p w14:paraId="32CABCAA" w14:textId="667A32BC" w:rsidR="009C29BF" w:rsidRPr="006166CC" w:rsidRDefault="009B75E3" w:rsidP="00830666">
      <w:pPr>
        <w:pStyle w:val="ListParagraph"/>
        <w:numPr>
          <w:ilvl w:val="0"/>
          <w:numId w:val="30"/>
        </w:numPr>
        <w:tabs>
          <w:tab w:val="right" w:pos="9071"/>
        </w:tabs>
        <w:jc w:val="both"/>
        <w:rPr>
          <w:rFonts w:ascii="Times New Roman" w:eastAsia="Times New Roman" w:hAnsi="Times New Roman" w:cs="Times New Roman"/>
          <w:color w:val="000000" w:themeColor="text1"/>
          <w:sz w:val="24"/>
          <w:szCs w:val="24"/>
          <w:lang w:val="lv-LV" w:eastAsia="lv-LV"/>
        </w:rPr>
      </w:pPr>
      <w:r w:rsidRPr="006166CC">
        <w:rPr>
          <w:rFonts w:ascii="Times New Roman" w:eastAsia="Times New Roman" w:hAnsi="Times New Roman" w:cs="Times New Roman"/>
          <w:color w:val="000000" w:themeColor="text1"/>
          <w:sz w:val="24"/>
          <w:szCs w:val="24"/>
          <w:lang w:val="lv-LV" w:eastAsia="lv-LV"/>
        </w:rPr>
        <w:t>atalgojuma apmēra (griestu) un nosacījumiem to noteikšanai, jo atbilstoši likuma E sadaļas (publiskas personas akciju sabiedrības) 112. un 117.pants par atlīdzības noteikšanu akciju sabiedrības padomes un valdes attiecas tikai uz publisko personu un publiski privāto personu kapitālsabiedrībām</w:t>
      </w:r>
      <w:r w:rsidR="00ED2550" w:rsidRPr="006166CC">
        <w:rPr>
          <w:rFonts w:ascii="Times New Roman" w:eastAsia="Times New Roman" w:hAnsi="Times New Roman" w:cs="Times New Roman"/>
          <w:color w:val="000000" w:themeColor="text1"/>
          <w:sz w:val="24"/>
          <w:szCs w:val="24"/>
          <w:lang w:val="lv-LV" w:eastAsia="lv-LV"/>
        </w:rPr>
        <w:t>;</w:t>
      </w:r>
    </w:p>
    <w:p w14:paraId="24F81DCD" w14:textId="63AA71FF" w:rsidR="00F51654" w:rsidRPr="006166CC" w:rsidRDefault="009C29BF" w:rsidP="00830666">
      <w:pPr>
        <w:pStyle w:val="ListParagraph"/>
        <w:numPr>
          <w:ilvl w:val="0"/>
          <w:numId w:val="30"/>
        </w:numPr>
        <w:tabs>
          <w:tab w:val="right" w:pos="9071"/>
        </w:tabs>
        <w:jc w:val="both"/>
        <w:rPr>
          <w:rFonts w:ascii="Times New Roman" w:eastAsia="Times New Roman" w:hAnsi="Times New Roman" w:cs="Times New Roman"/>
          <w:color w:val="000000" w:themeColor="text1"/>
          <w:sz w:val="24"/>
          <w:szCs w:val="24"/>
          <w:lang w:val="lv-LV" w:eastAsia="lv-LV"/>
        </w:rPr>
      </w:pPr>
      <w:r w:rsidRPr="006166CC">
        <w:rPr>
          <w:rFonts w:ascii="Times New Roman" w:eastAsia="Times New Roman" w:hAnsi="Times New Roman" w:cs="Times New Roman"/>
          <w:color w:val="000000" w:themeColor="text1"/>
          <w:sz w:val="24"/>
          <w:szCs w:val="24"/>
          <w:lang w:val="lv-LV" w:eastAsia="lv-LV"/>
        </w:rPr>
        <w:t xml:space="preserve">kapitālsabiedrības valdes un padomes locekļu kandidātu nominēšana un </w:t>
      </w:r>
      <w:r w:rsidR="00F51654" w:rsidRPr="006166CC">
        <w:rPr>
          <w:rFonts w:ascii="Times New Roman" w:eastAsia="Times New Roman" w:hAnsi="Times New Roman" w:cs="Times New Roman"/>
          <w:color w:val="000000" w:themeColor="text1"/>
          <w:sz w:val="24"/>
          <w:szCs w:val="24"/>
          <w:lang w:val="lv-LV" w:eastAsia="lv-LV"/>
        </w:rPr>
        <w:t>izvirzīšana</w:t>
      </w:r>
      <w:r w:rsidR="003D2F64" w:rsidRPr="006166CC">
        <w:rPr>
          <w:rFonts w:ascii="Times New Roman" w:eastAsia="Times New Roman" w:hAnsi="Times New Roman" w:cs="Times New Roman"/>
          <w:color w:val="000000" w:themeColor="text1"/>
          <w:sz w:val="24"/>
          <w:szCs w:val="24"/>
          <w:lang w:val="lv-LV" w:eastAsia="lv-LV"/>
        </w:rPr>
        <w:t>;</w:t>
      </w:r>
    </w:p>
    <w:p w14:paraId="26B495C8" w14:textId="487D28CC" w:rsidR="009B75E3" w:rsidRPr="006166CC" w:rsidRDefault="00F51654" w:rsidP="00830666">
      <w:pPr>
        <w:pStyle w:val="ListParagraph"/>
        <w:numPr>
          <w:ilvl w:val="0"/>
          <w:numId w:val="30"/>
        </w:numPr>
        <w:tabs>
          <w:tab w:val="right" w:pos="9071"/>
        </w:tabs>
        <w:jc w:val="both"/>
        <w:rPr>
          <w:rFonts w:ascii="Times New Roman" w:eastAsia="Times New Roman" w:hAnsi="Times New Roman" w:cs="Times New Roman"/>
          <w:color w:val="000000" w:themeColor="text1"/>
          <w:sz w:val="24"/>
          <w:szCs w:val="24"/>
          <w:lang w:val="lv-LV" w:eastAsia="lv-LV"/>
        </w:rPr>
      </w:pPr>
      <w:r w:rsidRPr="006166CC">
        <w:rPr>
          <w:rFonts w:ascii="Times New Roman" w:eastAsia="Times New Roman" w:hAnsi="Times New Roman" w:cs="Times New Roman"/>
          <w:color w:val="000000" w:themeColor="text1"/>
          <w:sz w:val="24"/>
          <w:szCs w:val="24"/>
          <w:lang w:val="lv-LV" w:eastAsia="lv-LV"/>
        </w:rPr>
        <w:t>informācijas publiskošana</w:t>
      </w:r>
      <w:r w:rsidR="003D2F64" w:rsidRPr="006166CC">
        <w:rPr>
          <w:rFonts w:ascii="Times New Roman" w:eastAsia="Times New Roman" w:hAnsi="Times New Roman" w:cs="Times New Roman"/>
          <w:color w:val="000000" w:themeColor="text1"/>
          <w:sz w:val="24"/>
          <w:szCs w:val="24"/>
          <w:lang w:val="lv-LV" w:eastAsia="lv-LV"/>
        </w:rPr>
        <w:t>,</w:t>
      </w:r>
      <w:r w:rsidRPr="006166CC">
        <w:rPr>
          <w:rFonts w:ascii="Times New Roman" w:eastAsia="Times New Roman" w:hAnsi="Times New Roman" w:cs="Times New Roman"/>
          <w:color w:val="000000" w:themeColor="text1"/>
          <w:sz w:val="24"/>
          <w:szCs w:val="24"/>
          <w:lang w:val="lv-LV" w:eastAsia="lv-LV"/>
        </w:rPr>
        <w:t xml:space="preserve"> jo likuma 58.pants neattiecas uz privātajām kapitālsabiedrībām</w:t>
      </w:r>
      <w:r w:rsidR="009B75E3" w:rsidRPr="006166CC">
        <w:rPr>
          <w:rFonts w:ascii="Times New Roman" w:eastAsia="Times New Roman" w:hAnsi="Times New Roman" w:cs="Times New Roman"/>
          <w:color w:val="000000" w:themeColor="text1"/>
          <w:sz w:val="24"/>
          <w:szCs w:val="24"/>
          <w:lang w:val="lv-LV" w:eastAsia="lv-LV"/>
        </w:rPr>
        <w:t>.</w:t>
      </w:r>
    </w:p>
    <w:p w14:paraId="3F5146B9" w14:textId="7419BFD2" w:rsidR="0007725A" w:rsidRPr="006166CC" w:rsidRDefault="0007725A" w:rsidP="00714D42">
      <w:pPr>
        <w:tabs>
          <w:tab w:val="right" w:pos="9071"/>
        </w:tabs>
        <w:ind w:left="360"/>
        <w:jc w:val="both"/>
        <w:rPr>
          <w:rFonts w:ascii="Times New Roman" w:eastAsia="Times New Roman" w:hAnsi="Times New Roman" w:cs="Times New Roman"/>
          <w:color w:val="000000" w:themeColor="text1"/>
          <w:sz w:val="24"/>
          <w:szCs w:val="24"/>
          <w:lang w:val="lv-LV" w:eastAsia="lv-LV"/>
        </w:rPr>
      </w:pPr>
      <w:r w:rsidRPr="006166CC">
        <w:rPr>
          <w:rFonts w:ascii="Times New Roman" w:eastAsia="Times New Roman" w:hAnsi="Times New Roman" w:cs="Times New Roman"/>
          <w:color w:val="000000" w:themeColor="text1"/>
          <w:sz w:val="24"/>
          <w:szCs w:val="24"/>
          <w:lang w:val="lv-LV" w:eastAsia="lv-LV"/>
        </w:rPr>
        <w:t xml:space="preserve">Vienlaikus jāmin, ka, kotējot valsts kapitālsabiedrību biržā, </w:t>
      </w:r>
      <w:r w:rsidR="00D33690" w:rsidRPr="006166CC">
        <w:rPr>
          <w:rFonts w:ascii="Times New Roman" w:eastAsia="Times New Roman" w:hAnsi="Times New Roman" w:cs="Times New Roman"/>
          <w:color w:val="000000" w:themeColor="text1"/>
          <w:sz w:val="24"/>
          <w:szCs w:val="24"/>
          <w:lang w:val="lv-LV" w:eastAsia="lv-LV"/>
        </w:rPr>
        <w:t xml:space="preserve">pastiprināsies ārējā kontrole, ko tieši vai netieši veiks gan birža, gan arī privātā kapitāla pārstāvji. Attiecīgi </w:t>
      </w:r>
      <w:r w:rsidR="007A0EC5" w:rsidRPr="006166CC">
        <w:rPr>
          <w:rFonts w:ascii="Times New Roman" w:eastAsia="Times New Roman" w:hAnsi="Times New Roman" w:cs="Times New Roman"/>
          <w:color w:val="000000" w:themeColor="text1"/>
          <w:sz w:val="24"/>
          <w:szCs w:val="24"/>
          <w:lang w:val="lv-LV" w:eastAsia="lv-LV"/>
        </w:rPr>
        <w:t xml:space="preserve">mainīsies uzraudzības forma, vienlaikus pēc būtības saglabājoties iespējām veikt kapitālsabiedrību kvalitatīvu pārvaldību. </w:t>
      </w:r>
      <w:r w:rsidR="00B043A9" w:rsidRPr="006166CC">
        <w:rPr>
          <w:rFonts w:ascii="Times New Roman" w:eastAsia="Times New Roman" w:hAnsi="Times New Roman" w:cs="Times New Roman"/>
          <w:color w:val="000000" w:themeColor="text1"/>
          <w:sz w:val="24"/>
          <w:szCs w:val="24"/>
          <w:lang w:val="lv-LV" w:eastAsia="lv-LV"/>
        </w:rPr>
        <w:t xml:space="preserve">Pietam – jau šobrīd valsts kapitālsabiedrību pārvaldībā ir spēkā OECD noteiktais princips, ka valsts kapitālsabiedrības no pārvaldības viedokļa darbojas kā biržā kotēti uzņēmumi. </w:t>
      </w:r>
    </w:p>
    <w:p w14:paraId="5BBF3E7E" w14:textId="2EEA669F" w:rsidR="00714D42" w:rsidRPr="006166CC" w:rsidRDefault="00714D42" w:rsidP="00714D42">
      <w:pPr>
        <w:tabs>
          <w:tab w:val="right" w:pos="9071"/>
        </w:tabs>
        <w:ind w:left="360"/>
        <w:jc w:val="both"/>
        <w:rPr>
          <w:rFonts w:ascii="Times New Roman" w:eastAsia="Times New Roman" w:hAnsi="Times New Roman" w:cs="Times New Roman"/>
          <w:color w:val="000000" w:themeColor="text1"/>
          <w:sz w:val="24"/>
          <w:szCs w:val="24"/>
          <w:lang w:val="lv-LV" w:eastAsia="lv-LV"/>
        </w:rPr>
      </w:pPr>
      <w:r w:rsidRPr="006166CC">
        <w:rPr>
          <w:rFonts w:ascii="Times New Roman" w:eastAsia="Times New Roman" w:hAnsi="Times New Roman" w:cs="Times New Roman"/>
          <w:color w:val="000000" w:themeColor="text1"/>
          <w:sz w:val="24"/>
          <w:szCs w:val="24"/>
          <w:lang w:val="lv-LV" w:eastAsia="lv-LV"/>
        </w:rPr>
        <w:t xml:space="preserve">Papildus iepriekš aprakstītajam juridiskajam ietvaram, vērtējot jautājumu par valsts kapitālsabiedrību akciju kotēšanu biržā, ir būtiski koncentrēties ne tikai uz juridisko (normatīvo) ietvaru, bet arī aplūkot valsts kapitālsabiedrību gatavību to akciju kotēšanai biržā no labas korporatīvās pārvaldības prakses viedokļa. </w:t>
      </w:r>
      <w:r w:rsidR="0007725A" w:rsidRPr="006166CC">
        <w:rPr>
          <w:rFonts w:ascii="Times New Roman" w:eastAsia="Times New Roman" w:hAnsi="Times New Roman" w:cs="Times New Roman"/>
          <w:color w:val="000000" w:themeColor="text1"/>
          <w:sz w:val="24"/>
          <w:szCs w:val="24"/>
          <w:lang w:val="lv-LV" w:eastAsia="lv-LV"/>
        </w:rPr>
        <w:t xml:space="preserve">Laba pārvaldība, kas cita starpā īstenojama caur augstu korporatīvās pārvaldības kultūru un caurspīdīgumu, ir viens no iepriekš minētajiem kritērijiem, vērtējot valsts kapitālsabiedrību gatavību kotācijai biržā. Tajā pašā laikā kapitālsabiedrības atrašanās biržā nozīmē arī pastāvīgu korporatīvās pārvaldības pilnveidošanos tajā, ņemot vērā biržas prasības, kuras </w:t>
      </w:r>
      <w:r w:rsidR="006E78C6" w:rsidRPr="006166CC">
        <w:rPr>
          <w:rFonts w:ascii="Times New Roman" w:eastAsia="Times New Roman" w:hAnsi="Times New Roman" w:cs="Times New Roman"/>
          <w:color w:val="000000" w:themeColor="text1"/>
          <w:sz w:val="24"/>
          <w:szCs w:val="24"/>
          <w:lang w:val="lv-LV" w:eastAsia="lv-LV"/>
        </w:rPr>
        <w:t>nepārtraukti</w:t>
      </w:r>
      <w:r w:rsidR="0007725A" w:rsidRPr="006166CC">
        <w:rPr>
          <w:rFonts w:ascii="Times New Roman" w:eastAsia="Times New Roman" w:hAnsi="Times New Roman" w:cs="Times New Roman"/>
          <w:color w:val="000000" w:themeColor="text1"/>
          <w:sz w:val="24"/>
          <w:szCs w:val="24"/>
          <w:lang w:val="lv-LV" w:eastAsia="lv-LV"/>
        </w:rPr>
        <w:t xml:space="preserve"> tiek pilnveidotas ar mērķi uzlabot emitentu korporatīvo pārvaldību. </w:t>
      </w:r>
    </w:p>
    <w:p w14:paraId="3B71D72D" w14:textId="69FC5278" w:rsidR="007F6737" w:rsidRPr="006166CC" w:rsidRDefault="009D5F4B" w:rsidP="00E85803">
      <w:pPr>
        <w:pStyle w:val="Heading1"/>
        <w:rPr>
          <w:rFonts w:ascii="Times New Roman" w:hAnsi="Times New Roman" w:cs="Times New Roman"/>
          <w:sz w:val="24"/>
          <w:szCs w:val="24"/>
          <w:lang w:val="lv-LV"/>
        </w:rPr>
      </w:pPr>
      <w:bookmarkStart w:id="27" w:name="_Toc511029114"/>
      <w:r w:rsidRPr="006166CC">
        <w:rPr>
          <w:rFonts w:ascii="Times New Roman" w:hAnsi="Times New Roman" w:cs="Times New Roman"/>
          <w:sz w:val="24"/>
          <w:szCs w:val="24"/>
          <w:lang w:val="lv-LV"/>
        </w:rPr>
        <w:lastRenderedPageBreak/>
        <w:t>Turpmākā</w:t>
      </w:r>
      <w:r w:rsidR="00BB336D" w:rsidRPr="006166CC">
        <w:rPr>
          <w:rFonts w:ascii="Times New Roman" w:hAnsi="Times New Roman" w:cs="Times New Roman"/>
          <w:sz w:val="24"/>
          <w:szCs w:val="24"/>
          <w:lang w:val="lv-LV"/>
        </w:rPr>
        <w:t xml:space="preserve"> rīcība</w:t>
      </w:r>
      <w:bookmarkEnd w:id="27"/>
      <w:r w:rsidR="00BB336D" w:rsidRPr="006166CC">
        <w:rPr>
          <w:rFonts w:ascii="Times New Roman" w:hAnsi="Times New Roman" w:cs="Times New Roman"/>
          <w:sz w:val="24"/>
          <w:szCs w:val="24"/>
          <w:lang w:val="lv-LV"/>
        </w:rPr>
        <w:t xml:space="preserve"> </w:t>
      </w:r>
    </w:p>
    <w:p w14:paraId="1958B403" w14:textId="07178E91" w:rsidR="004D6DED" w:rsidRPr="006166CC" w:rsidRDefault="00C17E7E" w:rsidP="00EA3BA7">
      <w:pPr>
        <w:jc w:val="both"/>
        <w:rPr>
          <w:rFonts w:ascii="Times New Roman" w:hAnsi="Times New Roman" w:cs="Times New Roman"/>
          <w:sz w:val="24"/>
          <w:szCs w:val="24"/>
          <w:lang w:val="lv-LV"/>
        </w:rPr>
      </w:pPr>
      <w:r w:rsidRPr="006166CC">
        <w:rPr>
          <w:rFonts w:ascii="Times New Roman" w:hAnsi="Times New Roman" w:cs="Times New Roman"/>
          <w:sz w:val="24"/>
          <w:szCs w:val="24"/>
          <w:lang w:val="lv-LV"/>
        </w:rPr>
        <w:t>Ņemot vērā</w:t>
      </w:r>
      <w:r w:rsidR="00C16FD2" w:rsidRPr="006166CC">
        <w:rPr>
          <w:rFonts w:ascii="Times New Roman" w:hAnsi="Times New Roman" w:cs="Times New Roman"/>
          <w:sz w:val="24"/>
          <w:szCs w:val="24"/>
          <w:lang w:val="lv-LV"/>
        </w:rPr>
        <w:t xml:space="preserve"> </w:t>
      </w:r>
      <w:r w:rsidR="00E0096C" w:rsidRPr="006166CC">
        <w:rPr>
          <w:rFonts w:ascii="Times New Roman" w:hAnsi="Times New Roman" w:cs="Times New Roman"/>
          <w:sz w:val="24"/>
          <w:szCs w:val="24"/>
          <w:lang w:val="lv-LV"/>
        </w:rPr>
        <w:t>iepriekš</w:t>
      </w:r>
      <w:r w:rsidR="00C16FD2" w:rsidRPr="006166CC">
        <w:rPr>
          <w:rFonts w:ascii="Times New Roman" w:hAnsi="Times New Roman" w:cs="Times New Roman"/>
          <w:sz w:val="24"/>
          <w:szCs w:val="24"/>
          <w:lang w:val="lv-LV"/>
        </w:rPr>
        <w:t xml:space="preserve"> minētos ieguvumus no attīstīta kapitāla tirgus un to, ka saskaņā ar Finanšu sektora attīstības plānu 2017.-2019. gadam nacionālā kapitāla tirgus attīstība Latvijā ir definēta kā viena no ekonomikas attīstības prioritātēm,</w:t>
      </w:r>
      <w:r w:rsidR="00C16FD2" w:rsidRPr="006166CC">
        <w:rPr>
          <w:rStyle w:val="FootnoteReference"/>
          <w:rFonts w:ascii="Times New Roman" w:hAnsi="Times New Roman" w:cs="Times New Roman"/>
          <w:sz w:val="24"/>
          <w:szCs w:val="24"/>
          <w:lang w:val="lv-LV"/>
        </w:rPr>
        <w:footnoteReference w:id="41"/>
      </w:r>
      <w:r w:rsidR="00E0096C" w:rsidRPr="006166CC">
        <w:rPr>
          <w:rFonts w:ascii="Times New Roman" w:hAnsi="Times New Roman" w:cs="Times New Roman"/>
          <w:sz w:val="24"/>
          <w:szCs w:val="24"/>
          <w:lang w:val="lv-LV"/>
        </w:rPr>
        <w:t xml:space="preserve"> </w:t>
      </w:r>
      <w:r w:rsidR="000D7C38" w:rsidRPr="006166CC">
        <w:rPr>
          <w:rFonts w:ascii="Times New Roman" w:hAnsi="Times New Roman" w:cs="Times New Roman"/>
          <w:sz w:val="24"/>
          <w:szCs w:val="24"/>
          <w:lang w:val="lv-LV"/>
        </w:rPr>
        <w:t>tiek piedāvāta šāda turpmākā rīcība</w:t>
      </w:r>
      <w:r w:rsidR="00E0096C" w:rsidRPr="006166CC">
        <w:rPr>
          <w:rFonts w:ascii="Times New Roman" w:hAnsi="Times New Roman" w:cs="Times New Roman"/>
          <w:sz w:val="24"/>
          <w:szCs w:val="24"/>
          <w:lang w:val="lv-LV"/>
        </w:rPr>
        <w:t>:</w:t>
      </w:r>
    </w:p>
    <w:p w14:paraId="29E22A8A" w14:textId="10661B00" w:rsidR="0094686B" w:rsidRPr="006166CC" w:rsidRDefault="00560091" w:rsidP="003D2F64">
      <w:pPr>
        <w:pStyle w:val="ListParagraph"/>
        <w:numPr>
          <w:ilvl w:val="0"/>
          <w:numId w:val="19"/>
        </w:numPr>
        <w:jc w:val="both"/>
        <w:rPr>
          <w:rFonts w:ascii="Times New Roman" w:hAnsi="Times New Roman" w:cs="Times New Roman"/>
          <w:sz w:val="24"/>
          <w:szCs w:val="24"/>
          <w:lang w:val="lv-LV"/>
        </w:rPr>
      </w:pPr>
      <w:r w:rsidRPr="006166CC">
        <w:rPr>
          <w:rFonts w:ascii="Times New Roman" w:hAnsi="Times New Roman" w:cs="Times New Roman"/>
          <w:sz w:val="24"/>
          <w:szCs w:val="24"/>
          <w:lang w:val="lv-LV"/>
        </w:rPr>
        <w:t xml:space="preserve">Pārresoru koordinācijas centram, </w:t>
      </w:r>
      <w:r w:rsidR="00B41D55" w:rsidRPr="006166CC">
        <w:rPr>
          <w:rFonts w:ascii="Times New Roman" w:hAnsi="Times New Roman" w:cs="Times New Roman"/>
          <w:sz w:val="24"/>
          <w:szCs w:val="24"/>
          <w:lang w:val="lv-LV"/>
        </w:rPr>
        <w:t xml:space="preserve">trīs mēnešu laikā saņemot ziņojuma trīspadsmitajā lappusē minēto pirmā līmeņa izvērtējumu </w:t>
      </w:r>
      <w:r w:rsidR="00DC04BC" w:rsidRPr="006166CC">
        <w:rPr>
          <w:rFonts w:ascii="Times New Roman" w:hAnsi="Times New Roman" w:cs="Times New Roman"/>
          <w:sz w:val="24"/>
          <w:szCs w:val="24"/>
          <w:lang w:val="lv-LV"/>
        </w:rPr>
        <w:t>par ziņojuma tabulā Nr.1</w:t>
      </w:r>
      <w:r w:rsidR="003D2532" w:rsidRPr="006166CC">
        <w:rPr>
          <w:rFonts w:ascii="Times New Roman" w:hAnsi="Times New Roman" w:cs="Times New Roman"/>
          <w:sz w:val="24"/>
          <w:szCs w:val="24"/>
          <w:lang w:val="lv-LV"/>
        </w:rPr>
        <w:t xml:space="preserve"> minētajām kapitālsabiedrībām</w:t>
      </w:r>
      <w:r w:rsidR="00DC04BC" w:rsidRPr="006166CC">
        <w:rPr>
          <w:rFonts w:ascii="Times New Roman" w:hAnsi="Times New Roman" w:cs="Times New Roman"/>
          <w:sz w:val="24"/>
          <w:szCs w:val="24"/>
          <w:lang w:val="lv-LV"/>
        </w:rPr>
        <w:t xml:space="preserve"> no</w:t>
      </w:r>
      <w:r w:rsidR="005B6DFF" w:rsidRPr="006166CC">
        <w:rPr>
          <w:rFonts w:ascii="Times New Roman" w:hAnsi="Times New Roman" w:cs="Times New Roman"/>
          <w:sz w:val="24"/>
          <w:szCs w:val="24"/>
          <w:lang w:val="lv-LV"/>
        </w:rPr>
        <w:t xml:space="preserve"> </w:t>
      </w:r>
      <w:r w:rsidR="00DC04BC" w:rsidRPr="006166CC">
        <w:rPr>
          <w:rFonts w:ascii="Times New Roman" w:hAnsi="Times New Roman" w:cs="Times New Roman"/>
          <w:sz w:val="24"/>
          <w:szCs w:val="24"/>
          <w:lang w:val="lv-LV"/>
        </w:rPr>
        <w:t>Ekonomikas ministrijas</w:t>
      </w:r>
      <w:r w:rsidR="003D2532" w:rsidRPr="006166CC">
        <w:rPr>
          <w:rFonts w:ascii="Times New Roman" w:hAnsi="Times New Roman" w:cs="Times New Roman"/>
          <w:sz w:val="24"/>
          <w:szCs w:val="24"/>
          <w:lang w:val="lv-LV"/>
        </w:rPr>
        <w:t>, Satiksmes ministrij</w:t>
      </w:r>
      <w:r w:rsidR="00DC04BC" w:rsidRPr="006166CC">
        <w:rPr>
          <w:rFonts w:ascii="Times New Roman" w:hAnsi="Times New Roman" w:cs="Times New Roman"/>
          <w:sz w:val="24"/>
          <w:szCs w:val="24"/>
          <w:lang w:val="lv-LV"/>
        </w:rPr>
        <w:t>as</w:t>
      </w:r>
      <w:r w:rsidR="003D2532" w:rsidRPr="006166CC">
        <w:rPr>
          <w:rFonts w:ascii="Times New Roman" w:hAnsi="Times New Roman" w:cs="Times New Roman"/>
          <w:sz w:val="24"/>
          <w:szCs w:val="24"/>
          <w:lang w:val="lv-LV"/>
        </w:rPr>
        <w:t>, Finanšu ministrij</w:t>
      </w:r>
      <w:r w:rsidR="00DC04BC" w:rsidRPr="006166CC">
        <w:rPr>
          <w:rFonts w:ascii="Times New Roman" w:hAnsi="Times New Roman" w:cs="Times New Roman"/>
          <w:sz w:val="24"/>
          <w:szCs w:val="24"/>
          <w:lang w:val="lv-LV"/>
        </w:rPr>
        <w:t>as</w:t>
      </w:r>
      <w:r w:rsidR="003D2532" w:rsidRPr="006166CC">
        <w:rPr>
          <w:rFonts w:ascii="Times New Roman" w:hAnsi="Times New Roman" w:cs="Times New Roman"/>
          <w:sz w:val="24"/>
          <w:szCs w:val="24"/>
          <w:lang w:val="lv-LV"/>
        </w:rPr>
        <w:t xml:space="preserve"> un Zemkopības ministrij</w:t>
      </w:r>
      <w:r w:rsidR="00DC04BC" w:rsidRPr="006166CC">
        <w:rPr>
          <w:rFonts w:ascii="Times New Roman" w:hAnsi="Times New Roman" w:cs="Times New Roman"/>
          <w:sz w:val="24"/>
          <w:szCs w:val="24"/>
          <w:lang w:val="lv-LV"/>
        </w:rPr>
        <w:t>as</w:t>
      </w:r>
      <w:r w:rsidR="005B6DFF" w:rsidRPr="006166CC">
        <w:rPr>
          <w:rFonts w:ascii="Times New Roman" w:hAnsi="Times New Roman" w:cs="Times New Roman"/>
          <w:sz w:val="24"/>
          <w:szCs w:val="24"/>
          <w:lang w:val="lv-LV"/>
        </w:rPr>
        <w:t>,</w:t>
      </w:r>
      <w:r w:rsidR="003D2532" w:rsidRPr="006166CC">
        <w:rPr>
          <w:rFonts w:ascii="Times New Roman" w:hAnsi="Times New Roman" w:cs="Times New Roman"/>
          <w:sz w:val="24"/>
          <w:szCs w:val="24"/>
          <w:lang w:val="lv-LV"/>
        </w:rPr>
        <w:t xml:space="preserve"> </w:t>
      </w:r>
      <w:r w:rsidR="00B41D55" w:rsidRPr="006166CC">
        <w:rPr>
          <w:rFonts w:ascii="Times New Roman" w:hAnsi="Times New Roman" w:cs="Times New Roman"/>
          <w:sz w:val="24"/>
          <w:szCs w:val="24"/>
          <w:lang w:val="lv-LV"/>
        </w:rPr>
        <w:t>sešu</w:t>
      </w:r>
      <w:r w:rsidRPr="006166CC">
        <w:rPr>
          <w:rFonts w:ascii="Times New Roman" w:hAnsi="Times New Roman" w:cs="Times New Roman"/>
          <w:sz w:val="24"/>
          <w:szCs w:val="24"/>
          <w:lang w:val="lv-LV"/>
        </w:rPr>
        <w:t xml:space="preserve"> mēnešu laikā </w:t>
      </w:r>
      <w:r w:rsidR="005B6DFF" w:rsidRPr="006166CC">
        <w:rPr>
          <w:rFonts w:ascii="Times New Roman" w:hAnsi="Times New Roman" w:cs="Times New Roman"/>
          <w:sz w:val="24"/>
          <w:szCs w:val="24"/>
          <w:lang w:val="lv-LV"/>
        </w:rPr>
        <w:t xml:space="preserve">no minētās informācijas pilnīgas saņemšanas </w:t>
      </w:r>
      <w:r w:rsidR="0094686B" w:rsidRPr="006166CC">
        <w:rPr>
          <w:rFonts w:ascii="Times New Roman" w:hAnsi="Times New Roman" w:cs="Times New Roman"/>
          <w:sz w:val="24"/>
          <w:szCs w:val="24"/>
          <w:lang w:val="lv-LV"/>
        </w:rPr>
        <w:t xml:space="preserve">sagatavot un iesniegt izskatīšanai </w:t>
      </w:r>
      <w:r w:rsidR="008E368B" w:rsidRPr="006166CC">
        <w:rPr>
          <w:rFonts w:ascii="Times New Roman" w:hAnsi="Times New Roman" w:cs="Times New Roman"/>
          <w:sz w:val="24"/>
          <w:szCs w:val="24"/>
          <w:lang w:val="lv-LV"/>
        </w:rPr>
        <w:t xml:space="preserve">Ministru kabinetā informatīvo ziņojumu lēmumu </w:t>
      </w:r>
      <w:r w:rsidR="00DC04BC" w:rsidRPr="006166CC">
        <w:rPr>
          <w:rFonts w:ascii="Times New Roman" w:hAnsi="Times New Roman" w:cs="Times New Roman"/>
          <w:sz w:val="24"/>
          <w:szCs w:val="24"/>
          <w:lang w:val="lv-LV"/>
        </w:rPr>
        <w:t xml:space="preserve">pieņemšanai </w:t>
      </w:r>
      <w:r w:rsidRPr="006166CC">
        <w:rPr>
          <w:rFonts w:ascii="Times New Roman" w:hAnsi="Times New Roman" w:cs="Times New Roman"/>
          <w:sz w:val="24"/>
          <w:szCs w:val="24"/>
          <w:lang w:val="lv-LV"/>
        </w:rPr>
        <w:t>par obligāciju emisiju un akciju kotēšanas biržā iespējām</w:t>
      </w:r>
      <w:r w:rsidR="003D2532" w:rsidRPr="006166CC">
        <w:rPr>
          <w:rFonts w:ascii="Times New Roman" w:hAnsi="Times New Roman" w:cs="Times New Roman"/>
          <w:sz w:val="24"/>
          <w:szCs w:val="24"/>
          <w:lang w:val="lv-LV"/>
        </w:rPr>
        <w:t xml:space="preserve"> attiecībā uz katru no ziņojum</w:t>
      </w:r>
      <w:r w:rsidR="006166CC">
        <w:rPr>
          <w:rFonts w:ascii="Times New Roman" w:hAnsi="Times New Roman" w:cs="Times New Roman"/>
          <w:sz w:val="24"/>
          <w:szCs w:val="24"/>
          <w:lang w:val="lv-LV"/>
        </w:rPr>
        <w:t xml:space="preserve">a </w:t>
      </w:r>
      <w:r w:rsidR="006166CC" w:rsidRPr="006166CC">
        <w:rPr>
          <w:rFonts w:ascii="Times New Roman" w:hAnsi="Times New Roman" w:cs="Times New Roman"/>
          <w:sz w:val="24"/>
          <w:szCs w:val="24"/>
          <w:lang w:val="lv-LV"/>
        </w:rPr>
        <w:t xml:space="preserve">tabulā Nr.1 </w:t>
      </w:r>
      <w:r w:rsidR="003D2532" w:rsidRPr="006166CC">
        <w:rPr>
          <w:rFonts w:ascii="Times New Roman" w:hAnsi="Times New Roman" w:cs="Times New Roman"/>
          <w:sz w:val="24"/>
          <w:szCs w:val="24"/>
          <w:lang w:val="lv-LV"/>
        </w:rPr>
        <w:t>minētajām kapitālsabiedrībām</w:t>
      </w:r>
      <w:r w:rsidR="008E368B" w:rsidRPr="006166CC">
        <w:rPr>
          <w:rFonts w:ascii="Times New Roman" w:hAnsi="Times New Roman" w:cs="Times New Roman"/>
          <w:sz w:val="24"/>
          <w:szCs w:val="24"/>
          <w:lang w:val="lv-LV"/>
        </w:rPr>
        <w:t>.</w:t>
      </w:r>
      <w:r w:rsidR="007641F0" w:rsidRPr="006166CC">
        <w:rPr>
          <w:rFonts w:ascii="Times New Roman" w:hAnsi="Times New Roman" w:cs="Times New Roman"/>
          <w:sz w:val="24"/>
          <w:szCs w:val="24"/>
          <w:lang w:val="lv-LV"/>
        </w:rPr>
        <w:t xml:space="preserve"> Ja nepieciešams, Pārresoru koordinācijas centram piesaistīt neatkarīgus konsultantus informatīvā ziņojuma sagatavošanai. </w:t>
      </w:r>
      <w:r w:rsidR="008E368B" w:rsidRPr="006166CC">
        <w:rPr>
          <w:rFonts w:ascii="Times New Roman" w:hAnsi="Times New Roman" w:cs="Times New Roman"/>
          <w:sz w:val="24"/>
          <w:szCs w:val="24"/>
          <w:lang w:val="lv-LV"/>
        </w:rPr>
        <w:t xml:space="preserve"> </w:t>
      </w:r>
    </w:p>
    <w:p w14:paraId="2C78DE42" w14:textId="69EBBB98" w:rsidR="00B4336A" w:rsidRPr="006166CC" w:rsidRDefault="009C63DC" w:rsidP="003D2F64">
      <w:pPr>
        <w:pStyle w:val="ListParagraph"/>
        <w:numPr>
          <w:ilvl w:val="0"/>
          <w:numId w:val="19"/>
        </w:numPr>
        <w:jc w:val="both"/>
        <w:rPr>
          <w:rFonts w:ascii="Times New Roman" w:hAnsi="Times New Roman" w:cs="Times New Roman"/>
          <w:sz w:val="24"/>
          <w:szCs w:val="24"/>
          <w:lang w:val="lv-LV"/>
        </w:rPr>
      </w:pPr>
      <w:r w:rsidRPr="006166CC">
        <w:rPr>
          <w:rFonts w:ascii="Times New Roman" w:hAnsi="Times New Roman" w:cs="Times New Roman"/>
          <w:sz w:val="24"/>
          <w:szCs w:val="24"/>
          <w:lang w:val="lv-LV"/>
        </w:rPr>
        <w:t>Pārresoru koordin</w:t>
      </w:r>
      <w:r w:rsidR="002E359A" w:rsidRPr="006166CC">
        <w:rPr>
          <w:rFonts w:ascii="Times New Roman" w:hAnsi="Times New Roman" w:cs="Times New Roman"/>
          <w:sz w:val="24"/>
          <w:szCs w:val="24"/>
          <w:lang w:val="lv-LV"/>
        </w:rPr>
        <w:t>ācijas centram</w:t>
      </w:r>
      <w:r w:rsidR="00B4336A" w:rsidRPr="006166CC">
        <w:rPr>
          <w:rFonts w:ascii="Times New Roman" w:hAnsi="Times New Roman" w:cs="Times New Roman"/>
          <w:sz w:val="24"/>
          <w:szCs w:val="24"/>
          <w:lang w:val="lv-LV"/>
        </w:rPr>
        <w:t xml:space="preserve"> trīs mēnešu laikā sagatavot un iesniegt izskatīšanai Ministru kabinetā attiecīgus likumprojektus, j</w:t>
      </w:r>
      <w:r w:rsidR="008E368B" w:rsidRPr="006166CC">
        <w:rPr>
          <w:rFonts w:ascii="Times New Roman" w:hAnsi="Times New Roman" w:cs="Times New Roman"/>
          <w:sz w:val="24"/>
          <w:szCs w:val="24"/>
          <w:lang w:val="lv-LV"/>
        </w:rPr>
        <w:t>a Ministru kabinets</w:t>
      </w:r>
      <w:r w:rsidR="00B4336A" w:rsidRPr="006166CC">
        <w:rPr>
          <w:rFonts w:ascii="Times New Roman" w:hAnsi="Times New Roman" w:cs="Times New Roman"/>
          <w:sz w:val="24"/>
          <w:szCs w:val="24"/>
          <w:lang w:val="lv-LV"/>
        </w:rPr>
        <w:t xml:space="preserve">, izskatot </w:t>
      </w:r>
      <w:r w:rsidR="00EC1C5C" w:rsidRPr="006166CC">
        <w:rPr>
          <w:rFonts w:ascii="Times New Roman" w:hAnsi="Times New Roman" w:cs="Times New Roman"/>
          <w:sz w:val="24"/>
          <w:szCs w:val="24"/>
          <w:lang w:val="lv-LV"/>
        </w:rPr>
        <w:t xml:space="preserve">iepriekšējā </w:t>
      </w:r>
      <w:r w:rsidR="00B4336A" w:rsidRPr="006166CC">
        <w:rPr>
          <w:rFonts w:ascii="Times New Roman" w:hAnsi="Times New Roman" w:cs="Times New Roman"/>
          <w:sz w:val="24"/>
          <w:szCs w:val="24"/>
          <w:lang w:val="lv-LV"/>
        </w:rPr>
        <w:t xml:space="preserve">punktā minēto </w:t>
      </w:r>
      <w:r w:rsidR="00EC1C5C" w:rsidRPr="006166CC">
        <w:rPr>
          <w:rFonts w:ascii="Times New Roman" w:hAnsi="Times New Roman" w:cs="Times New Roman"/>
          <w:sz w:val="24"/>
          <w:szCs w:val="24"/>
          <w:lang w:val="lv-LV"/>
        </w:rPr>
        <w:t xml:space="preserve">Pārresoru koordinācijas centra sagatavoto </w:t>
      </w:r>
      <w:r w:rsidR="00B4336A" w:rsidRPr="006166CC">
        <w:rPr>
          <w:rFonts w:ascii="Times New Roman" w:hAnsi="Times New Roman" w:cs="Times New Roman"/>
          <w:sz w:val="24"/>
          <w:szCs w:val="24"/>
          <w:lang w:val="lv-LV"/>
        </w:rPr>
        <w:t>informatīvo ziņojumu,</w:t>
      </w:r>
      <w:r w:rsidR="008E368B" w:rsidRPr="006166CC">
        <w:rPr>
          <w:rFonts w:ascii="Times New Roman" w:hAnsi="Times New Roman" w:cs="Times New Roman"/>
          <w:sz w:val="24"/>
          <w:szCs w:val="24"/>
          <w:lang w:val="lv-LV"/>
        </w:rPr>
        <w:t xml:space="preserve"> pieņem lēmumu par </w:t>
      </w:r>
      <w:r w:rsidR="00DC04BC" w:rsidRPr="006166CC">
        <w:rPr>
          <w:rFonts w:ascii="Times New Roman" w:hAnsi="Times New Roman" w:cs="Times New Roman"/>
          <w:sz w:val="24"/>
          <w:szCs w:val="24"/>
          <w:lang w:val="lv-LV"/>
        </w:rPr>
        <w:t xml:space="preserve">tādu valsts kapitālsabiedrību </w:t>
      </w:r>
      <w:r w:rsidR="008E368B" w:rsidRPr="006166CC">
        <w:rPr>
          <w:rFonts w:ascii="Times New Roman" w:hAnsi="Times New Roman" w:cs="Times New Roman"/>
          <w:sz w:val="24"/>
          <w:szCs w:val="24"/>
          <w:lang w:val="lv-LV"/>
        </w:rPr>
        <w:t>akciju kotēšanu biržā</w:t>
      </w:r>
      <w:r w:rsidR="00B4336A" w:rsidRPr="006166CC">
        <w:rPr>
          <w:rFonts w:ascii="Times New Roman" w:hAnsi="Times New Roman" w:cs="Times New Roman"/>
          <w:sz w:val="24"/>
          <w:szCs w:val="24"/>
          <w:lang w:val="lv-LV"/>
        </w:rPr>
        <w:t xml:space="preserve">, kuru akcijas atbilstoši spēkā esošiem likumiem nav privatizējamas vai atsavināmas.  </w:t>
      </w:r>
    </w:p>
    <w:p w14:paraId="233DB248" w14:textId="657A4980" w:rsidR="00DC04BC" w:rsidRPr="006166CC" w:rsidRDefault="00B4336A" w:rsidP="003D2F64">
      <w:pPr>
        <w:pStyle w:val="ListParagraph"/>
        <w:numPr>
          <w:ilvl w:val="0"/>
          <w:numId w:val="19"/>
        </w:numPr>
        <w:jc w:val="both"/>
        <w:rPr>
          <w:rFonts w:ascii="Times New Roman" w:hAnsi="Times New Roman" w:cs="Times New Roman"/>
          <w:sz w:val="24"/>
          <w:szCs w:val="24"/>
          <w:lang w:val="lv-LV"/>
        </w:rPr>
      </w:pPr>
      <w:r w:rsidRPr="006166CC">
        <w:rPr>
          <w:rFonts w:ascii="Times New Roman" w:hAnsi="Times New Roman" w:cs="Times New Roman"/>
          <w:sz w:val="24"/>
          <w:szCs w:val="24"/>
          <w:lang w:val="lv-LV"/>
        </w:rPr>
        <w:t>Ekonomikas ministrijai, Satiksmes ministrijai, Finanšu ministrijai un Zemkopības ministrijai</w:t>
      </w:r>
      <w:r w:rsidR="005B6DFF" w:rsidRPr="006166CC">
        <w:rPr>
          <w:rFonts w:ascii="Times New Roman" w:hAnsi="Times New Roman" w:cs="Times New Roman"/>
          <w:sz w:val="24"/>
          <w:szCs w:val="24"/>
          <w:lang w:val="lv-LV"/>
        </w:rPr>
        <w:t xml:space="preserve"> </w:t>
      </w:r>
      <w:r w:rsidR="000D7C38" w:rsidRPr="006166CC">
        <w:rPr>
          <w:rFonts w:ascii="Times New Roman" w:hAnsi="Times New Roman" w:cs="Times New Roman"/>
          <w:sz w:val="24"/>
          <w:szCs w:val="24"/>
          <w:lang w:val="lv-LV"/>
        </w:rPr>
        <w:t>zemāk minēt</w:t>
      </w:r>
      <w:r w:rsidR="005B6DFF" w:rsidRPr="006166CC">
        <w:rPr>
          <w:rFonts w:ascii="Times New Roman" w:hAnsi="Times New Roman" w:cs="Times New Roman"/>
          <w:sz w:val="24"/>
          <w:szCs w:val="24"/>
          <w:lang w:val="lv-LV"/>
        </w:rPr>
        <w:t>aj</w:t>
      </w:r>
      <w:r w:rsidR="000D7C38" w:rsidRPr="006166CC">
        <w:rPr>
          <w:rFonts w:ascii="Times New Roman" w:hAnsi="Times New Roman" w:cs="Times New Roman"/>
          <w:sz w:val="24"/>
          <w:szCs w:val="24"/>
          <w:lang w:val="lv-LV"/>
        </w:rPr>
        <w:t>os termiņos</w:t>
      </w:r>
      <w:r w:rsidR="003B10E1" w:rsidRPr="006166CC">
        <w:rPr>
          <w:rFonts w:ascii="Times New Roman" w:hAnsi="Times New Roman" w:cs="Times New Roman"/>
          <w:sz w:val="24"/>
          <w:szCs w:val="24"/>
          <w:lang w:val="lv-LV"/>
        </w:rPr>
        <w:t>,</w:t>
      </w:r>
      <w:r w:rsidRPr="006166CC">
        <w:rPr>
          <w:rFonts w:ascii="Times New Roman" w:hAnsi="Times New Roman" w:cs="Times New Roman"/>
          <w:sz w:val="24"/>
          <w:szCs w:val="24"/>
          <w:lang w:val="lv-LV"/>
        </w:rPr>
        <w:t xml:space="preserve"> </w:t>
      </w:r>
      <w:r w:rsidR="003B10E1" w:rsidRPr="006166CC">
        <w:rPr>
          <w:rFonts w:ascii="Times New Roman" w:hAnsi="Times New Roman" w:cs="Times New Roman"/>
          <w:sz w:val="24"/>
          <w:szCs w:val="24"/>
          <w:lang w:val="lv-LV"/>
        </w:rPr>
        <w:t>īstenojot atklātus starptautiskus konkursus, nolīgt neatkarīgus finanšu konsultantus ar būtisku pieredzi Baltijas kapitāla tirgus darījumos un akciju sākotnējo publisko piedāvājumu organizēšanā</w:t>
      </w:r>
      <w:r w:rsidRPr="006166CC">
        <w:rPr>
          <w:rFonts w:ascii="Times New Roman" w:hAnsi="Times New Roman" w:cs="Times New Roman"/>
          <w:sz w:val="24"/>
          <w:szCs w:val="24"/>
          <w:lang w:val="lv-LV"/>
        </w:rPr>
        <w:t xml:space="preserve">, ja Ministru kabinets, izskatot 1.punktā minēto </w:t>
      </w:r>
      <w:r w:rsidR="00EC1C5C" w:rsidRPr="006166CC">
        <w:rPr>
          <w:rFonts w:ascii="Times New Roman" w:hAnsi="Times New Roman" w:cs="Times New Roman"/>
          <w:sz w:val="24"/>
          <w:szCs w:val="24"/>
          <w:lang w:val="lv-LV"/>
        </w:rPr>
        <w:t xml:space="preserve">Pārresoru koordinācijas centra sagatavoto </w:t>
      </w:r>
      <w:r w:rsidRPr="006166CC">
        <w:rPr>
          <w:rFonts w:ascii="Times New Roman" w:hAnsi="Times New Roman" w:cs="Times New Roman"/>
          <w:sz w:val="24"/>
          <w:szCs w:val="24"/>
          <w:lang w:val="lv-LV"/>
        </w:rPr>
        <w:t>informatīvo ziņojumu, pieņem lēmumu</w:t>
      </w:r>
      <w:r w:rsidR="00DC04BC" w:rsidRPr="006166CC">
        <w:rPr>
          <w:rFonts w:ascii="Times New Roman" w:hAnsi="Times New Roman" w:cs="Times New Roman"/>
          <w:sz w:val="24"/>
          <w:szCs w:val="24"/>
          <w:lang w:val="lv-LV"/>
        </w:rPr>
        <w:t>:</w:t>
      </w:r>
    </w:p>
    <w:p w14:paraId="55C778BC" w14:textId="248FC05D" w:rsidR="00DC04BC" w:rsidRPr="006166CC" w:rsidRDefault="00DC04BC" w:rsidP="00B61E02">
      <w:pPr>
        <w:pStyle w:val="ListParagraph"/>
        <w:ind w:left="360"/>
        <w:jc w:val="both"/>
        <w:rPr>
          <w:rFonts w:ascii="Times New Roman" w:hAnsi="Times New Roman" w:cs="Times New Roman"/>
          <w:sz w:val="24"/>
          <w:szCs w:val="24"/>
          <w:lang w:val="lv-LV"/>
        </w:rPr>
      </w:pPr>
      <w:r w:rsidRPr="006166CC">
        <w:rPr>
          <w:rFonts w:ascii="Times New Roman" w:hAnsi="Times New Roman" w:cs="Times New Roman"/>
          <w:sz w:val="24"/>
          <w:szCs w:val="24"/>
          <w:lang w:val="lv-LV"/>
        </w:rPr>
        <w:t xml:space="preserve">3.1. </w:t>
      </w:r>
      <w:r w:rsidR="000D7C38" w:rsidRPr="006166CC">
        <w:rPr>
          <w:rFonts w:ascii="Times New Roman" w:hAnsi="Times New Roman" w:cs="Times New Roman"/>
          <w:sz w:val="24"/>
          <w:szCs w:val="24"/>
          <w:lang w:val="lv-LV"/>
        </w:rPr>
        <w:t xml:space="preserve">sešu mēnešu laikā - </w:t>
      </w:r>
      <w:r w:rsidR="00B4336A" w:rsidRPr="006166CC">
        <w:rPr>
          <w:rFonts w:ascii="Times New Roman" w:hAnsi="Times New Roman" w:cs="Times New Roman"/>
          <w:sz w:val="24"/>
          <w:szCs w:val="24"/>
          <w:lang w:val="lv-LV"/>
        </w:rPr>
        <w:t>par obligāciju emisiju attiecībā uz šī ziņojuma tabulā Nr.1 minētajām kapitālsabiedrībām</w:t>
      </w:r>
      <w:r w:rsidRPr="006166CC">
        <w:rPr>
          <w:rFonts w:ascii="Times New Roman" w:hAnsi="Times New Roman" w:cs="Times New Roman"/>
          <w:sz w:val="24"/>
          <w:szCs w:val="24"/>
          <w:lang w:val="lv-LV"/>
        </w:rPr>
        <w:t>;</w:t>
      </w:r>
    </w:p>
    <w:p w14:paraId="5BD709C6" w14:textId="39D37458" w:rsidR="00DC04BC" w:rsidRPr="006166CC" w:rsidRDefault="00DC04BC" w:rsidP="00B61E02">
      <w:pPr>
        <w:pStyle w:val="ListParagraph"/>
        <w:ind w:left="360"/>
        <w:jc w:val="both"/>
        <w:rPr>
          <w:rFonts w:ascii="Times New Roman" w:hAnsi="Times New Roman" w:cs="Times New Roman"/>
          <w:sz w:val="24"/>
          <w:szCs w:val="24"/>
          <w:lang w:val="lv-LV"/>
        </w:rPr>
      </w:pPr>
      <w:r w:rsidRPr="006166CC">
        <w:rPr>
          <w:rFonts w:ascii="Times New Roman" w:hAnsi="Times New Roman" w:cs="Times New Roman"/>
          <w:sz w:val="24"/>
          <w:szCs w:val="24"/>
          <w:lang w:val="lv-LV"/>
        </w:rPr>
        <w:t>3.2.</w:t>
      </w:r>
      <w:r w:rsidR="00B4336A" w:rsidRPr="006166CC">
        <w:rPr>
          <w:rFonts w:ascii="Times New Roman" w:hAnsi="Times New Roman" w:cs="Times New Roman"/>
          <w:sz w:val="24"/>
          <w:szCs w:val="24"/>
          <w:lang w:val="lv-LV"/>
        </w:rPr>
        <w:t xml:space="preserve"> </w:t>
      </w:r>
      <w:r w:rsidR="000D7C38" w:rsidRPr="006166CC">
        <w:rPr>
          <w:rFonts w:ascii="Times New Roman" w:hAnsi="Times New Roman" w:cs="Times New Roman"/>
          <w:sz w:val="24"/>
          <w:szCs w:val="24"/>
          <w:lang w:val="lv-LV"/>
        </w:rPr>
        <w:t xml:space="preserve">sešu mēnešu laikā - </w:t>
      </w:r>
      <w:r w:rsidR="00B4336A" w:rsidRPr="006166CC">
        <w:rPr>
          <w:rFonts w:ascii="Times New Roman" w:hAnsi="Times New Roman" w:cs="Times New Roman"/>
          <w:sz w:val="24"/>
          <w:szCs w:val="24"/>
          <w:lang w:val="lv-LV"/>
        </w:rPr>
        <w:t>par akciju kotēšanu biržā vai jaunu akciju emisiju valsts kapitālsabiedrībās, kuru akcijas atbilstoši spēkā esošiem likumiem nav aizliegts privatizēt vai atsavināt</w:t>
      </w:r>
      <w:r w:rsidRPr="006166CC">
        <w:rPr>
          <w:rFonts w:ascii="Times New Roman" w:hAnsi="Times New Roman" w:cs="Times New Roman"/>
          <w:sz w:val="24"/>
          <w:szCs w:val="24"/>
          <w:lang w:val="lv-LV"/>
        </w:rPr>
        <w:t>;</w:t>
      </w:r>
    </w:p>
    <w:p w14:paraId="35D3C4A8" w14:textId="2D7470F2" w:rsidR="008E368B" w:rsidRPr="006166CC" w:rsidRDefault="00DC04BC" w:rsidP="00B61E02">
      <w:pPr>
        <w:pStyle w:val="ListParagraph"/>
        <w:ind w:left="360"/>
        <w:jc w:val="both"/>
        <w:rPr>
          <w:rFonts w:ascii="Times New Roman" w:hAnsi="Times New Roman" w:cs="Times New Roman"/>
          <w:sz w:val="24"/>
          <w:szCs w:val="24"/>
          <w:lang w:val="lv-LV"/>
        </w:rPr>
      </w:pPr>
      <w:r w:rsidRPr="006166CC">
        <w:rPr>
          <w:rFonts w:ascii="Times New Roman" w:hAnsi="Times New Roman" w:cs="Times New Roman"/>
          <w:sz w:val="24"/>
          <w:szCs w:val="24"/>
          <w:lang w:val="lv-LV"/>
        </w:rPr>
        <w:t xml:space="preserve">3.3. </w:t>
      </w:r>
      <w:r w:rsidR="000D7C38" w:rsidRPr="006166CC">
        <w:rPr>
          <w:rFonts w:ascii="Times New Roman" w:hAnsi="Times New Roman" w:cs="Times New Roman"/>
          <w:sz w:val="24"/>
          <w:szCs w:val="24"/>
          <w:lang w:val="lv-LV"/>
        </w:rPr>
        <w:t xml:space="preserve">sešu mēnešu laikā pēc tam, kad Saeima pieņēmusi likumu, kas </w:t>
      </w:r>
      <w:r w:rsidR="005017DC" w:rsidRPr="006166CC">
        <w:rPr>
          <w:rFonts w:ascii="Times New Roman" w:hAnsi="Times New Roman" w:cs="Times New Roman"/>
          <w:sz w:val="24"/>
          <w:szCs w:val="24"/>
          <w:lang w:val="lv-LV"/>
        </w:rPr>
        <w:t xml:space="preserve">atceļ </w:t>
      </w:r>
      <w:r w:rsidR="000D7C38" w:rsidRPr="006166CC">
        <w:rPr>
          <w:rFonts w:ascii="Times New Roman" w:hAnsi="Times New Roman" w:cs="Times New Roman"/>
          <w:sz w:val="24"/>
          <w:szCs w:val="24"/>
          <w:lang w:val="lv-LV"/>
        </w:rPr>
        <w:t xml:space="preserve">aizliegumu privatizēt vai atsavināt valsts kapitāla daļas attiecībā uz šī ziņojuma tabulā Nr.1 minētajām kapitālsabiedrībām - </w:t>
      </w:r>
      <w:r w:rsidRPr="006166CC">
        <w:rPr>
          <w:rFonts w:ascii="Times New Roman" w:hAnsi="Times New Roman" w:cs="Times New Roman"/>
          <w:sz w:val="24"/>
          <w:szCs w:val="24"/>
          <w:lang w:val="lv-LV"/>
        </w:rPr>
        <w:t>par akciju kotēšanu biržā vai jaunu akciju emisiju valsts kapitālsabiedrībās</w:t>
      </w:r>
      <w:r w:rsidR="00B4336A" w:rsidRPr="006166CC">
        <w:rPr>
          <w:rFonts w:ascii="Times New Roman" w:hAnsi="Times New Roman" w:cs="Times New Roman"/>
          <w:sz w:val="24"/>
          <w:szCs w:val="24"/>
          <w:lang w:val="lv-LV"/>
        </w:rPr>
        <w:t>.</w:t>
      </w:r>
    </w:p>
    <w:p w14:paraId="0F15F86B" w14:textId="517CCA93" w:rsidR="00CF218D" w:rsidRPr="006166CC" w:rsidRDefault="003B10E1" w:rsidP="00DB4C83">
      <w:pPr>
        <w:pStyle w:val="ListParagraph"/>
        <w:numPr>
          <w:ilvl w:val="0"/>
          <w:numId w:val="19"/>
        </w:numPr>
        <w:jc w:val="both"/>
        <w:rPr>
          <w:rFonts w:ascii="Times New Roman" w:hAnsi="Times New Roman" w:cs="Times New Roman"/>
          <w:sz w:val="24"/>
          <w:szCs w:val="24"/>
          <w:lang w:val="lv-LV"/>
        </w:rPr>
      </w:pPr>
      <w:r w:rsidRPr="006166CC">
        <w:rPr>
          <w:rFonts w:ascii="Times New Roman" w:hAnsi="Times New Roman" w:cs="Times New Roman"/>
          <w:sz w:val="24"/>
          <w:szCs w:val="24"/>
          <w:lang w:val="lv-LV"/>
        </w:rPr>
        <w:t>Ekonomikas ministrijai, Satiksmes ministrijai, Finanšu ministrijai un Zemkopības ministrijai sadarbībā ar piesaistītajiem finanšu konsultantiem izvēlēties un virzīt izskatīšanai detalizētu priekšlikumu par kapitālsabiedrības, kurās valstij pieder kapitāla daļas, akciju daļēju (esošu vai jaunas emisijas) kotāciju biržā vai obligāciju emisiju, un virzīt izskatīšanai Ministru kabinetā attiecīgu rīkojuma projektu, lai uzsākt</w:t>
      </w:r>
      <w:r w:rsidR="00B4048B" w:rsidRPr="006166CC">
        <w:rPr>
          <w:rFonts w:ascii="Times New Roman" w:hAnsi="Times New Roman" w:cs="Times New Roman"/>
          <w:sz w:val="24"/>
          <w:szCs w:val="24"/>
          <w:lang w:val="lv-LV"/>
        </w:rPr>
        <w:t>u</w:t>
      </w:r>
      <w:r w:rsidRPr="006166CC">
        <w:rPr>
          <w:rFonts w:ascii="Times New Roman" w:hAnsi="Times New Roman" w:cs="Times New Roman"/>
          <w:sz w:val="24"/>
          <w:szCs w:val="24"/>
          <w:lang w:val="lv-LV"/>
        </w:rPr>
        <w:t xml:space="preserve"> sākotnējo publisko piedāvājumu procesu ar mērķi </w:t>
      </w:r>
      <w:r w:rsidR="00B4048B" w:rsidRPr="006166CC">
        <w:rPr>
          <w:rFonts w:ascii="Times New Roman" w:hAnsi="Times New Roman" w:cs="Times New Roman"/>
          <w:sz w:val="24"/>
          <w:szCs w:val="24"/>
          <w:lang w:val="lv-LV"/>
        </w:rPr>
        <w:t>īsteno</w:t>
      </w:r>
      <w:r w:rsidRPr="006166CC">
        <w:rPr>
          <w:rFonts w:ascii="Times New Roman" w:hAnsi="Times New Roman" w:cs="Times New Roman"/>
          <w:sz w:val="24"/>
          <w:szCs w:val="24"/>
          <w:lang w:val="lv-LV"/>
        </w:rPr>
        <w:t>t</w:t>
      </w:r>
      <w:r w:rsidR="00B4048B" w:rsidRPr="006166CC">
        <w:rPr>
          <w:rFonts w:ascii="Times New Roman" w:hAnsi="Times New Roman" w:cs="Times New Roman"/>
          <w:sz w:val="24"/>
          <w:szCs w:val="24"/>
          <w:lang w:val="lv-LV"/>
        </w:rPr>
        <w:t xml:space="preserve"> akciju</w:t>
      </w:r>
      <w:r w:rsidRPr="006166CC">
        <w:rPr>
          <w:rFonts w:ascii="Times New Roman" w:hAnsi="Times New Roman" w:cs="Times New Roman"/>
          <w:sz w:val="24"/>
          <w:szCs w:val="24"/>
          <w:lang w:val="lv-LV"/>
        </w:rPr>
        <w:t xml:space="preserve"> kotāciju</w:t>
      </w:r>
      <w:r w:rsidR="00B4048B" w:rsidRPr="006166CC">
        <w:rPr>
          <w:rFonts w:ascii="Times New Roman" w:hAnsi="Times New Roman" w:cs="Times New Roman"/>
          <w:sz w:val="24"/>
          <w:szCs w:val="24"/>
          <w:lang w:val="lv-LV"/>
        </w:rPr>
        <w:t xml:space="preserve"> vai jaunu akciju emisiju</w:t>
      </w:r>
      <w:r w:rsidRPr="006166CC">
        <w:rPr>
          <w:rFonts w:ascii="Times New Roman" w:hAnsi="Times New Roman" w:cs="Times New Roman"/>
          <w:sz w:val="24"/>
          <w:szCs w:val="24"/>
          <w:lang w:val="lv-LV"/>
        </w:rPr>
        <w:t xml:space="preserve"> vai obligāciju emisiju 24-36 kalendāro mēnešu laikā no finanšu konsultanta atlasīšanas (sadarbības līguma noslēgšanas) brīža</w:t>
      </w:r>
      <w:r w:rsidR="00573223" w:rsidRPr="006166CC">
        <w:rPr>
          <w:rFonts w:ascii="Times New Roman" w:hAnsi="Times New Roman" w:cs="Times New Roman"/>
          <w:sz w:val="24"/>
          <w:szCs w:val="24"/>
          <w:lang w:val="lv-LV"/>
        </w:rPr>
        <w:t>.</w:t>
      </w:r>
    </w:p>
    <w:p w14:paraId="022684E9" w14:textId="77777777" w:rsidR="006166CC" w:rsidRPr="006166CC" w:rsidRDefault="006166CC" w:rsidP="006166CC">
      <w:pPr>
        <w:jc w:val="both"/>
        <w:rPr>
          <w:rFonts w:ascii="Times New Roman" w:hAnsi="Times New Roman" w:cs="Times New Roman"/>
          <w:sz w:val="24"/>
          <w:szCs w:val="24"/>
          <w:lang w:val="lv-LV"/>
        </w:rPr>
      </w:pPr>
    </w:p>
    <w:p w14:paraId="73583D0F" w14:textId="77777777" w:rsidR="006166CC" w:rsidRPr="006166CC" w:rsidRDefault="006166CC" w:rsidP="006166CC">
      <w:pPr>
        <w:jc w:val="both"/>
        <w:rPr>
          <w:rFonts w:ascii="Times New Roman" w:hAnsi="Times New Roman" w:cs="Times New Roman"/>
          <w:sz w:val="24"/>
          <w:szCs w:val="24"/>
        </w:rPr>
      </w:pPr>
      <w:r w:rsidRPr="006166CC">
        <w:rPr>
          <w:rFonts w:ascii="Times New Roman" w:hAnsi="Times New Roman" w:cs="Times New Roman"/>
          <w:sz w:val="24"/>
          <w:szCs w:val="24"/>
        </w:rPr>
        <w:lastRenderedPageBreak/>
        <w:t>Ministru prezidents</w:t>
      </w:r>
      <w:r w:rsidRPr="006166CC">
        <w:rPr>
          <w:rFonts w:ascii="Times New Roman" w:hAnsi="Times New Roman" w:cs="Times New Roman"/>
          <w:sz w:val="24"/>
          <w:szCs w:val="24"/>
        </w:rPr>
        <w:tab/>
      </w:r>
      <w:r w:rsidRPr="006166CC">
        <w:rPr>
          <w:rFonts w:ascii="Times New Roman" w:hAnsi="Times New Roman" w:cs="Times New Roman"/>
          <w:sz w:val="24"/>
          <w:szCs w:val="24"/>
        </w:rPr>
        <w:tab/>
      </w:r>
      <w:r w:rsidRPr="006166CC">
        <w:rPr>
          <w:rFonts w:ascii="Times New Roman" w:hAnsi="Times New Roman" w:cs="Times New Roman"/>
          <w:sz w:val="24"/>
          <w:szCs w:val="24"/>
        </w:rPr>
        <w:tab/>
      </w:r>
      <w:r w:rsidRPr="006166CC">
        <w:rPr>
          <w:rFonts w:ascii="Times New Roman" w:hAnsi="Times New Roman" w:cs="Times New Roman"/>
          <w:sz w:val="24"/>
          <w:szCs w:val="24"/>
        </w:rPr>
        <w:tab/>
      </w:r>
      <w:r w:rsidRPr="006166CC">
        <w:rPr>
          <w:rFonts w:ascii="Times New Roman" w:hAnsi="Times New Roman" w:cs="Times New Roman"/>
          <w:sz w:val="24"/>
          <w:szCs w:val="24"/>
        </w:rPr>
        <w:tab/>
      </w:r>
      <w:r w:rsidRPr="006166CC">
        <w:rPr>
          <w:rFonts w:ascii="Times New Roman" w:hAnsi="Times New Roman" w:cs="Times New Roman"/>
          <w:sz w:val="24"/>
          <w:szCs w:val="24"/>
        </w:rPr>
        <w:tab/>
      </w:r>
      <w:r w:rsidRPr="006166CC">
        <w:rPr>
          <w:rFonts w:ascii="Times New Roman" w:hAnsi="Times New Roman" w:cs="Times New Roman"/>
          <w:sz w:val="24"/>
          <w:szCs w:val="24"/>
        </w:rPr>
        <w:tab/>
      </w:r>
      <w:r w:rsidRPr="006166CC">
        <w:rPr>
          <w:rFonts w:ascii="Times New Roman" w:hAnsi="Times New Roman" w:cs="Times New Roman"/>
          <w:sz w:val="24"/>
          <w:szCs w:val="24"/>
        </w:rPr>
        <w:tab/>
        <w:t xml:space="preserve">   Māris Kučinskis</w:t>
      </w:r>
    </w:p>
    <w:p w14:paraId="1B2B59E5" w14:textId="77777777" w:rsidR="006166CC" w:rsidRPr="006166CC" w:rsidRDefault="006166CC" w:rsidP="006166CC">
      <w:pPr>
        <w:jc w:val="both"/>
        <w:rPr>
          <w:rFonts w:ascii="Times New Roman" w:hAnsi="Times New Roman" w:cs="Times New Roman"/>
          <w:sz w:val="24"/>
          <w:szCs w:val="24"/>
        </w:rPr>
      </w:pPr>
    </w:p>
    <w:p w14:paraId="692459D1" w14:textId="77777777" w:rsidR="006166CC" w:rsidRPr="006166CC" w:rsidRDefault="006166CC" w:rsidP="006166CC">
      <w:pPr>
        <w:jc w:val="both"/>
        <w:rPr>
          <w:rFonts w:ascii="Times New Roman" w:hAnsi="Times New Roman" w:cs="Times New Roman"/>
          <w:sz w:val="24"/>
          <w:szCs w:val="24"/>
        </w:rPr>
      </w:pPr>
      <w:r w:rsidRPr="006166CC">
        <w:rPr>
          <w:rFonts w:ascii="Times New Roman" w:hAnsi="Times New Roman" w:cs="Times New Roman"/>
          <w:sz w:val="24"/>
          <w:szCs w:val="24"/>
        </w:rPr>
        <w:t xml:space="preserve">Valsts kancelejas direktors </w:t>
      </w:r>
      <w:r w:rsidRPr="006166CC">
        <w:rPr>
          <w:rFonts w:ascii="Times New Roman" w:hAnsi="Times New Roman" w:cs="Times New Roman"/>
          <w:sz w:val="24"/>
          <w:szCs w:val="24"/>
        </w:rPr>
        <w:tab/>
      </w:r>
      <w:r w:rsidRPr="006166CC">
        <w:rPr>
          <w:rFonts w:ascii="Times New Roman" w:hAnsi="Times New Roman" w:cs="Times New Roman"/>
          <w:sz w:val="24"/>
          <w:szCs w:val="24"/>
        </w:rPr>
        <w:tab/>
      </w:r>
      <w:r w:rsidRPr="006166CC">
        <w:rPr>
          <w:rFonts w:ascii="Times New Roman" w:hAnsi="Times New Roman" w:cs="Times New Roman"/>
          <w:sz w:val="24"/>
          <w:szCs w:val="24"/>
        </w:rPr>
        <w:tab/>
      </w:r>
      <w:r w:rsidRPr="006166CC">
        <w:rPr>
          <w:rFonts w:ascii="Times New Roman" w:hAnsi="Times New Roman" w:cs="Times New Roman"/>
          <w:sz w:val="24"/>
          <w:szCs w:val="24"/>
        </w:rPr>
        <w:tab/>
      </w:r>
      <w:r w:rsidRPr="006166CC">
        <w:rPr>
          <w:rFonts w:ascii="Times New Roman" w:hAnsi="Times New Roman" w:cs="Times New Roman"/>
          <w:sz w:val="24"/>
          <w:szCs w:val="24"/>
        </w:rPr>
        <w:tab/>
        <w:t xml:space="preserve"> </w:t>
      </w:r>
      <w:r w:rsidRPr="006166CC">
        <w:rPr>
          <w:rFonts w:ascii="Times New Roman" w:hAnsi="Times New Roman" w:cs="Times New Roman"/>
          <w:sz w:val="24"/>
          <w:szCs w:val="24"/>
        </w:rPr>
        <w:tab/>
      </w:r>
      <w:r w:rsidRPr="006166CC">
        <w:rPr>
          <w:rFonts w:ascii="Times New Roman" w:hAnsi="Times New Roman" w:cs="Times New Roman"/>
          <w:sz w:val="24"/>
          <w:szCs w:val="24"/>
        </w:rPr>
        <w:tab/>
        <w:t xml:space="preserve">  Jānis Citskovskis</w:t>
      </w:r>
    </w:p>
    <w:p w14:paraId="32968689" w14:textId="77777777" w:rsidR="006166CC" w:rsidRPr="006166CC" w:rsidRDefault="006166CC" w:rsidP="006166CC">
      <w:pPr>
        <w:jc w:val="both"/>
        <w:rPr>
          <w:rFonts w:ascii="Times New Roman" w:hAnsi="Times New Roman" w:cs="Times New Roman"/>
          <w:sz w:val="24"/>
          <w:szCs w:val="24"/>
        </w:rPr>
      </w:pPr>
    </w:p>
    <w:p w14:paraId="53B406EA" w14:textId="77777777" w:rsidR="006166CC" w:rsidRPr="006166CC" w:rsidRDefault="006166CC" w:rsidP="006166CC">
      <w:pPr>
        <w:jc w:val="both"/>
        <w:rPr>
          <w:rFonts w:ascii="Times New Roman" w:hAnsi="Times New Roman" w:cs="Times New Roman"/>
          <w:sz w:val="24"/>
          <w:szCs w:val="24"/>
        </w:rPr>
      </w:pPr>
      <w:r w:rsidRPr="006166CC">
        <w:rPr>
          <w:rFonts w:ascii="Times New Roman" w:hAnsi="Times New Roman" w:cs="Times New Roman"/>
          <w:sz w:val="24"/>
          <w:szCs w:val="24"/>
        </w:rPr>
        <w:t xml:space="preserve">Vīza: </w:t>
      </w:r>
    </w:p>
    <w:p w14:paraId="3736FF0B" w14:textId="30F87238" w:rsidR="006166CC" w:rsidRPr="006166CC" w:rsidRDefault="006166CC" w:rsidP="006166CC">
      <w:pPr>
        <w:jc w:val="both"/>
        <w:rPr>
          <w:rFonts w:ascii="Times New Roman" w:hAnsi="Times New Roman" w:cs="Times New Roman"/>
          <w:sz w:val="24"/>
          <w:szCs w:val="24"/>
        </w:rPr>
      </w:pPr>
      <w:r w:rsidRPr="006166CC">
        <w:rPr>
          <w:rFonts w:ascii="Times New Roman" w:hAnsi="Times New Roman" w:cs="Times New Roman"/>
          <w:sz w:val="24"/>
          <w:szCs w:val="24"/>
        </w:rPr>
        <w:t>Pārresoru koordinācijas centravadītāja vietnieks</w:t>
      </w:r>
      <w:r w:rsidRPr="006166CC">
        <w:rPr>
          <w:rFonts w:ascii="Times New Roman" w:hAnsi="Times New Roman" w:cs="Times New Roman"/>
          <w:sz w:val="24"/>
          <w:szCs w:val="24"/>
        </w:rPr>
        <w:tab/>
        <w:t xml:space="preserve">       </w:t>
      </w:r>
      <w:r w:rsidRPr="006166CC">
        <w:rPr>
          <w:rFonts w:ascii="Times New Roman" w:hAnsi="Times New Roman" w:cs="Times New Roman"/>
          <w:sz w:val="24"/>
          <w:szCs w:val="24"/>
        </w:rPr>
        <w:tab/>
      </w:r>
      <w:r w:rsidRPr="006166CC">
        <w:rPr>
          <w:rFonts w:ascii="Times New Roman" w:hAnsi="Times New Roman" w:cs="Times New Roman"/>
          <w:sz w:val="24"/>
          <w:szCs w:val="24"/>
        </w:rPr>
        <w:tab/>
      </w:r>
      <w:r w:rsidRPr="006166CC">
        <w:rPr>
          <w:rFonts w:ascii="Times New Roman" w:hAnsi="Times New Roman" w:cs="Times New Roman"/>
          <w:sz w:val="24"/>
          <w:szCs w:val="24"/>
        </w:rPr>
        <w:tab/>
        <w:t xml:space="preserve">   Vladislavs Vesperis</w:t>
      </w:r>
    </w:p>
    <w:p w14:paraId="53E31220" w14:textId="77777777" w:rsidR="006166CC" w:rsidRPr="006166CC" w:rsidRDefault="006166CC" w:rsidP="006166CC">
      <w:pPr>
        <w:jc w:val="both"/>
        <w:rPr>
          <w:rFonts w:ascii="Times New Roman" w:hAnsi="Times New Roman" w:cs="Times New Roman"/>
          <w:sz w:val="24"/>
          <w:szCs w:val="24"/>
        </w:rPr>
      </w:pPr>
    </w:p>
    <w:p w14:paraId="493B3A41" w14:textId="77777777" w:rsidR="006166CC" w:rsidRPr="006166CC" w:rsidRDefault="006166CC" w:rsidP="006166CC">
      <w:pPr>
        <w:jc w:val="both"/>
        <w:rPr>
          <w:rFonts w:ascii="Times New Roman" w:hAnsi="Times New Roman" w:cs="Times New Roman"/>
          <w:sz w:val="24"/>
          <w:szCs w:val="24"/>
        </w:rPr>
      </w:pPr>
    </w:p>
    <w:p w14:paraId="6CC5658E" w14:textId="77777777" w:rsidR="00D95CC3" w:rsidRDefault="006166CC" w:rsidP="006166CC">
      <w:pPr>
        <w:tabs>
          <w:tab w:val="left" w:pos="6521"/>
          <w:tab w:val="right" w:pos="8820"/>
        </w:tabs>
        <w:spacing w:after="0" w:line="240" w:lineRule="auto"/>
        <w:rPr>
          <w:rFonts w:ascii="Times New Roman" w:hAnsi="Times New Roman" w:cs="Times New Roman"/>
          <w:sz w:val="24"/>
          <w:szCs w:val="24"/>
        </w:rPr>
      </w:pPr>
      <w:r w:rsidRPr="006166CC">
        <w:rPr>
          <w:rFonts w:ascii="Times New Roman" w:hAnsi="Times New Roman" w:cs="Times New Roman"/>
          <w:iCs/>
          <w:sz w:val="24"/>
          <w:szCs w:val="24"/>
          <w:lang w:val="en-GB"/>
        </w:rPr>
        <w:fldChar w:fldCharType="begin"/>
      </w:r>
      <w:r w:rsidRPr="006166CC">
        <w:rPr>
          <w:rFonts w:ascii="Times New Roman" w:hAnsi="Times New Roman" w:cs="Times New Roman"/>
          <w:iCs/>
          <w:sz w:val="24"/>
          <w:szCs w:val="24"/>
        </w:rPr>
        <w:instrText xml:space="preserve"> TIME \@ "yyyy.MM.dd. H:mm" </w:instrText>
      </w:r>
      <w:r w:rsidRPr="006166CC">
        <w:rPr>
          <w:rFonts w:ascii="Times New Roman" w:hAnsi="Times New Roman" w:cs="Times New Roman"/>
          <w:iCs/>
          <w:sz w:val="24"/>
          <w:szCs w:val="24"/>
          <w:lang w:val="en-GB"/>
        </w:rPr>
        <w:fldChar w:fldCharType="separate"/>
      </w:r>
      <w:r w:rsidR="003A1409">
        <w:rPr>
          <w:rFonts w:ascii="Times New Roman" w:hAnsi="Times New Roman" w:cs="Times New Roman"/>
          <w:iCs/>
          <w:noProof/>
          <w:sz w:val="24"/>
          <w:szCs w:val="24"/>
        </w:rPr>
        <w:t>2018.04.09. 12:47</w:t>
      </w:r>
      <w:r w:rsidRPr="006166CC">
        <w:rPr>
          <w:rFonts w:ascii="Times New Roman" w:hAnsi="Times New Roman" w:cs="Times New Roman"/>
          <w:sz w:val="24"/>
          <w:szCs w:val="24"/>
        </w:rPr>
        <w:fldChar w:fldCharType="end"/>
      </w:r>
    </w:p>
    <w:p w14:paraId="4BBC3C90" w14:textId="6BD5EDD9" w:rsidR="006166CC" w:rsidRPr="00D95CC3" w:rsidRDefault="00D95CC3" w:rsidP="006166CC">
      <w:pPr>
        <w:tabs>
          <w:tab w:val="left" w:pos="6521"/>
          <w:tab w:val="right" w:pos="8820"/>
        </w:tabs>
        <w:spacing w:after="0" w:line="240" w:lineRule="auto"/>
        <w:rPr>
          <w:rFonts w:ascii="Times New Roman" w:hAnsi="Times New Roman" w:cs="Times New Roman"/>
          <w:sz w:val="24"/>
          <w:szCs w:val="24"/>
        </w:rPr>
      </w:pPr>
      <w:r>
        <w:rPr>
          <w:rFonts w:ascii="Times New Roman" w:hAnsi="Times New Roman" w:cs="Times New Roman"/>
          <w:sz w:val="24"/>
          <w:szCs w:val="24"/>
        </w:rPr>
        <w:t>6421</w:t>
      </w:r>
    </w:p>
    <w:p w14:paraId="0F6C3E21" w14:textId="77777777" w:rsidR="006166CC" w:rsidRPr="006166CC" w:rsidRDefault="006166CC" w:rsidP="006166CC">
      <w:pPr>
        <w:tabs>
          <w:tab w:val="left" w:pos="6521"/>
          <w:tab w:val="right" w:pos="8820"/>
        </w:tabs>
        <w:spacing w:after="0" w:line="240" w:lineRule="auto"/>
        <w:rPr>
          <w:rFonts w:ascii="Times New Roman" w:hAnsi="Times New Roman" w:cs="Times New Roman"/>
          <w:iCs/>
          <w:sz w:val="24"/>
          <w:szCs w:val="24"/>
        </w:rPr>
      </w:pPr>
      <w:r w:rsidRPr="006166CC">
        <w:rPr>
          <w:rFonts w:ascii="Times New Roman" w:hAnsi="Times New Roman" w:cs="Times New Roman"/>
          <w:iCs/>
          <w:sz w:val="24"/>
          <w:szCs w:val="24"/>
        </w:rPr>
        <w:t>J.Zvīgulis, 67082903</w:t>
      </w:r>
    </w:p>
    <w:p w14:paraId="4698235F" w14:textId="77777777" w:rsidR="006166CC" w:rsidRPr="006166CC" w:rsidRDefault="00203A7A" w:rsidP="006166CC">
      <w:pPr>
        <w:tabs>
          <w:tab w:val="left" w:pos="6521"/>
          <w:tab w:val="right" w:pos="8820"/>
        </w:tabs>
        <w:spacing w:after="0" w:line="240" w:lineRule="auto"/>
        <w:rPr>
          <w:rFonts w:ascii="Times New Roman" w:hAnsi="Times New Roman" w:cs="Times New Roman"/>
          <w:iCs/>
          <w:sz w:val="24"/>
          <w:szCs w:val="24"/>
        </w:rPr>
      </w:pPr>
      <w:hyperlink r:id="rId11" w:history="1">
        <w:r w:rsidR="006166CC" w:rsidRPr="006166CC">
          <w:rPr>
            <w:rStyle w:val="Hyperlink"/>
            <w:rFonts w:ascii="Times New Roman" w:hAnsi="Times New Roman" w:cs="Times New Roman"/>
            <w:iCs/>
            <w:sz w:val="24"/>
            <w:szCs w:val="24"/>
          </w:rPr>
          <w:t>janis.zvigulis@pkc.mk.gov.lv</w:t>
        </w:r>
      </w:hyperlink>
    </w:p>
    <w:p w14:paraId="2E7C5867" w14:textId="77777777" w:rsidR="006166CC" w:rsidRPr="006166CC" w:rsidRDefault="006166CC" w:rsidP="006166CC">
      <w:pPr>
        <w:spacing w:after="0" w:line="240" w:lineRule="auto"/>
        <w:jc w:val="both"/>
        <w:rPr>
          <w:rFonts w:ascii="Times New Roman" w:hAnsi="Times New Roman" w:cs="Times New Roman"/>
          <w:sz w:val="24"/>
          <w:szCs w:val="24"/>
        </w:rPr>
      </w:pPr>
    </w:p>
    <w:p w14:paraId="3AF92117" w14:textId="77777777" w:rsidR="006166CC" w:rsidRPr="006166CC" w:rsidRDefault="006166CC">
      <w:pPr>
        <w:spacing w:after="0" w:line="240" w:lineRule="auto"/>
        <w:jc w:val="both"/>
        <w:rPr>
          <w:rFonts w:ascii="Times New Roman" w:hAnsi="Times New Roman" w:cs="Times New Roman"/>
          <w:sz w:val="24"/>
          <w:szCs w:val="24"/>
        </w:rPr>
      </w:pPr>
    </w:p>
    <w:sectPr w:rsidR="006166CC" w:rsidRPr="006166CC" w:rsidSect="003C4859">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452C4B" w14:textId="77777777" w:rsidR="00203A7A" w:rsidRDefault="00203A7A" w:rsidP="00FE4B8F">
      <w:pPr>
        <w:spacing w:after="0" w:line="240" w:lineRule="auto"/>
      </w:pPr>
      <w:r>
        <w:separator/>
      </w:r>
    </w:p>
  </w:endnote>
  <w:endnote w:type="continuationSeparator" w:id="0">
    <w:p w14:paraId="724B018F" w14:textId="77777777" w:rsidR="00203A7A" w:rsidRDefault="00203A7A" w:rsidP="00FE4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236991"/>
      <w:docPartObj>
        <w:docPartGallery w:val="Page Numbers (Bottom of Page)"/>
        <w:docPartUnique/>
      </w:docPartObj>
    </w:sdtPr>
    <w:sdtEndPr>
      <w:rPr>
        <w:noProof/>
      </w:rPr>
    </w:sdtEndPr>
    <w:sdtContent>
      <w:p w14:paraId="36FF3A1E" w14:textId="3A036166" w:rsidR="00D5124A" w:rsidRDefault="00D5124A">
        <w:pPr>
          <w:pStyle w:val="Footer"/>
          <w:jc w:val="center"/>
        </w:pPr>
        <w:r>
          <w:fldChar w:fldCharType="begin"/>
        </w:r>
        <w:r>
          <w:instrText xml:space="preserve"> PAGE   \* MERGEFORMAT </w:instrText>
        </w:r>
        <w:r>
          <w:fldChar w:fldCharType="separate"/>
        </w:r>
        <w:r w:rsidR="003A1409">
          <w:rPr>
            <w:noProof/>
          </w:rPr>
          <w:t>3</w:t>
        </w:r>
        <w:r>
          <w:rPr>
            <w:noProof/>
          </w:rPr>
          <w:fldChar w:fldCharType="end"/>
        </w:r>
      </w:p>
    </w:sdtContent>
  </w:sdt>
  <w:p w14:paraId="78655D2C" w14:textId="77777777" w:rsidR="00D5124A" w:rsidRDefault="00D512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85CF47" w14:textId="77777777" w:rsidR="00203A7A" w:rsidRDefault="00203A7A" w:rsidP="00FE4B8F">
      <w:pPr>
        <w:spacing w:after="0" w:line="240" w:lineRule="auto"/>
      </w:pPr>
      <w:r>
        <w:separator/>
      </w:r>
    </w:p>
  </w:footnote>
  <w:footnote w:type="continuationSeparator" w:id="0">
    <w:p w14:paraId="1DABE740" w14:textId="77777777" w:rsidR="00203A7A" w:rsidRDefault="00203A7A" w:rsidP="00FE4B8F">
      <w:pPr>
        <w:spacing w:after="0" w:line="240" w:lineRule="auto"/>
      </w:pPr>
      <w:r>
        <w:continuationSeparator/>
      </w:r>
    </w:p>
  </w:footnote>
  <w:footnote w:id="1">
    <w:p w14:paraId="6C612476" w14:textId="77777777" w:rsidR="00D5124A" w:rsidRPr="00FA14C6" w:rsidRDefault="00D5124A">
      <w:pPr>
        <w:pStyle w:val="FootnoteText"/>
        <w:rPr>
          <w:lang w:val="lv-LV"/>
        </w:rPr>
      </w:pPr>
      <w:r>
        <w:rPr>
          <w:rStyle w:val="FootnoteReference"/>
        </w:rPr>
        <w:footnoteRef/>
      </w:r>
      <w:r>
        <w:t xml:space="preserve"> </w:t>
      </w:r>
      <w:r w:rsidRPr="007975F8">
        <w:rPr>
          <w:sz w:val="15"/>
          <w:szCs w:val="15"/>
          <w:lang w:val="lv-LV"/>
        </w:rPr>
        <w:t>Iedzīvotāju attieksme pret valsts lielo uzņēmumu kotēšanu biržā, pētījumu centrs SIA “SKDS”, 2017. Izlases apjoms: 1005 respondenti</w:t>
      </w:r>
    </w:p>
  </w:footnote>
  <w:footnote w:id="2">
    <w:p w14:paraId="65C0A219" w14:textId="77777777" w:rsidR="00D5124A" w:rsidRPr="007975F8" w:rsidRDefault="00D5124A">
      <w:pPr>
        <w:pStyle w:val="FootnoteText"/>
        <w:rPr>
          <w:sz w:val="15"/>
          <w:szCs w:val="15"/>
          <w:lang w:val="lv-LV"/>
        </w:rPr>
      </w:pPr>
      <w:r w:rsidRPr="007975F8">
        <w:rPr>
          <w:rStyle w:val="FootnoteReference"/>
          <w:sz w:val="15"/>
          <w:szCs w:val="15"/>
          <w:lang w:val="lv-LV"/>
        </w:rPr>
        <w:footnoteRef/>
      </w:r>
      <w:hyperlink r:id="rId1" w:history="1">
        <w:r w:rsidRPr="007975F8">
          <w:rPr>
            <w:rStyle w:val="Hyperlink"/>
            <w:sz w:val="15"/>
            <w:szCs w:val="15"/>
            <w:lang w:val="lv-LV"/>
          </w:rPr>
          <w:t>http://www.nasdaqbaltic.com/market/?pg=bulletins&amp;bb_id=308</w:t>
        </w:r>
      </w:hyperlink>
      <w:r w:rsidRPr="007975F8">
        <w:rPr>
          <w:sz w:val="15"/>
          <w:szCs w:val="15"/>
          <w:lang w:val="lv-LV"/>
        </w:rPr>
        <w:t xml:space="preserve">; </w:t>
      </w:r>
    </w:p>
  </w:footnote>
  <w:footnote w:id="3">
    <w:p w14:paraId="2A179431" w14:textId="77777777" w:rsidR="00D5124A" w:rsidRPr="007975F8" w:rsidRDefault="00D5124A">
      <w:pPr>
        <w:pStyle w:val="FootnoteText"/>
        <w:rPr>
          <w:sz w:val="15"/>
          <w:szCs w:val="15"/>
          <w:lang w:val="lv-LV"/>
        </w:rPr>
      </w:pPr>
      <w:r w:rsidRPr="007975F8">
        <w:rPr>
          <w:rStyle w:val="FootnoteReference"/>
          <w:sz w:val="15"/>
          <w:szCs w:val="15"/>
          <w:lang w:val="lv-LV"/>
        </w:rPr>
        <w:footnoteRef/>
      </w:r>
      <w:r w:rsidRPr="007975F8">
        <w:rPr>
          <w:sz w:val="15"/>
          <w:szCs w:val="15"/>
          <w:lang w:val="lv-LV"/>
        </w:rPr>
        <w:t xml:space="preserve"> </w:t>
      </w:r>
      <w:hyperlink r:id="rId2" w:history="1">
        <w:r w:rsidRPr="007975F8">
          <w:rPr>
            <w:rStyle w:val="Hyperlink"/>
            <w:sz w:val="15"/>
            <w:szCs w:val="15"/>
            <w:lang w:val="lv-LV"/>
          </w:rPr>
          <w:t>http://www.nasdaqbaltic.com/market/?pg=bulletins&amp;bb_id=304</w:t>
        </w:r>
      </w:hyperlink>
      <w:r w:rsidRPr="007975F8">
        <w:rPr>
          <w:sz w:val="15"/>
          <w:szCs w:val="15"/>
          <w:lang w:val="lv-LV"/>
        </w:rPr>
        <w:t xml:space="preserve">; </w:t>
      </w:r>
    </w:p>
  </w:footnote>
  <w:footnote w:id="4">
    <w:p w14:paraId="659CDFFC" w14:textId="77777777" w:rsidR="00D5124A" w:rsidRPr="007975F8" w:rsidRDefault="00D5124A">
      <w:pPr>
        <w:pStyle w:val="FootnoteText"/>
        <w:rPr>
          <w:sz w:val="15"/>
          <w:szCs w:val="15"/>
          <w:lang w:val="lv-LV"/>
        </w:rPr>
      </w:pPr>
      <w:r w:rsidRPr="007975F8">
        <w:rPr>
          <w:rStyle w:val="FootnoteReference"/>
          <w:sz w:val="15"/>
          <w:szCs w:val="15"/>
          <w:lang w:val="lv-LV"/>
        </w:rPr>
        <w:footnoteRef/>
      </w:r>
      <w:r w:rsidRPr="007975F8">
        <w:rPr>
          <w:sz w:val="15"/>
          <w:szCs w:val="15"/>
          <w:lang w:val="lv-LV"/>
        </w:rPr>
        <w:t xml:space="preserve"> </w:t>
      </w:r>
      <w:hyperlink r:id="rId3" w:history="1">
        <w:r w:rsidRPr="007975F8">
          <w:rPr>
            <w:rStyle w:val="Hyperlink"/>
            <w:sz w:val="15"/>
            <w:szCs w:val="15"/>
            <w:lang w:val="lv-LV"/>
          </w:rPr>
          <w:t>http://www.nasdaqomxnordic.com/</w:t>
        </w:r>
      </w:hyperlink>
      <w:r w:rsidRPr="007975F8">
        <w:rPr>
          <w:sz w:val="15"/>
          <w:szCs w:val="15"/>
          <w:lang w:val="lv-LV"/>
        </w:rPr>
        <w:t xml:space="preserve"> </w:t>
      </w:r>
    </w:p>
  </w:footnote>
  <w:footnote w:id="5">
    <w:p w14:paraId="4E49ABA0" w14:textId="78FDDBEB" w:rsidR="00D5124A" w:rsidRPr="007975F8" w:rsidRDefault="00D5124A" w:rsidP="006C6B2C">
      <w:pPr>
        <w:pStyle w:val="FootnoteText"/>
        <w:rPr>
          <w:color w:val="0000FF" w:themeColor="hyperlink"/>
          <w:sz w:val="15"/>
          <w:szCs w:val="15"/>
          <w:u w:val="single"/>
          <w:lang w:val="lv-LV"/>
        </w:rPr>
      </w:pPr>
      <w:r w:rsidRPr="007975F8">
        <w:rPr>
          <w:rStyle w:val="FootnoteReference"/>
          <w:sz w:val="15"/>
          <w:szCs w:val="15"/>
          <w:lang w:val="lv-LV"/>
        </w:rPr>
        <w:footnoteRef/>
      </w:r>
      <w:r w:rsidRPr="007975F8">
        <w:rPr>
          <w:rStyle w:val="Hyperlink"/>
          <w:sz w:val="15"/>
          <w:szCs w:val="15"/>
          <w:lang w:val="lv-LV"/>
        </w:rPr>
        <w:t xml:space="preserve"> </w:t>
      </w:r>
      <w:hyperlink r:id="rId4" w:history="1">
        <w:r w:rsidRPr="007975F8">
          <w:rPr>
            <w:rStyle w:val="Hyperlink"/>
            <w:sz w:val="15"/>
            <w:szCs w:val="15"/>
            <w:lang w:val="lv-LV"/>
          </w:rPr>
          <w:t>https://statdb.bank.lv/lb/Data.aspx?id=159</w:t>
        </w:r>
      </w:hyperlink>
      <w:r w:rsidRPr="007975F8">
        <w:rPr>
          <w:rStyle w:val="Hyperlink"/>
          <w:sz w:val="15"/>
          <w:szCs w:val="15"/>
          <w:lang w:val="lv-LV"/>
        </w:rPr>
        <w:t xml:space="preserve"> </w:t>
      </w:r>
      <w:r w:rsidRPr="007975F8">
        <w:rPr>
          <w:sz w:val="15"/>
          <w:szCs w:val="15"/>
          <w:lang w:val="lv-LV"/>
        </w:rPr>
        <w:t>(dati par 201</w:t>
      </w:r>
      <w:r>
        <w:rPr>
          <w:sz w:val="15"/>
          <w:szCs w:val="15"/>
          <w:lang w:val="lv-LV"/>
        </w:rPr>
        <w:t>8</w:t>
      </w:r>
      <w:r w:rsidRPr="007975F8">
        <w:rPr>
          <w:sz w:val="15"/>
          <w:szCs w:val="15"/>
          <w:lang w:val="lv-LV"/>
        </w:rPr>
        <w:t xml:space="preserve">. gada </w:t>
      </w:r>
      <w:r>
        <w:rPr>
          <w:sz w:val="15"/>
          <w:szCs w:val="15"/>
          <w:lang w:val="lv-LV"/>
        </w:rPr>
        <w:t>janvāri</w:t>
      </w:r>
      <w:r w:rsidRPr="007975F8">
        <w:rPr>
          <w:sz w:val="15"/>
          <w:szCs w:val="15"/>
          <w:lang w:val="lv-LV"/>
        </w:rPr>
        <w:t xml:space="preserve">, skatīts </w:t>
      </w:r>
      <w:r>
        <w:rPr>
          <w:sz w:val="15"/>
          <w:szCs w:val="15"/>
          <w:lang w:val="lv-LV"/>
        </w:rPr>
        <w:t>20</w:t>
      </w:r>
      <w:r w:rsidRPr="007975F8">
        <w:rPr>
          <w:sz w:val="15"/>
          <w:szCs w:val="15"/>
          <w:lang w:val="lv-LV"/>
        </w:rPr>
        <w:t>.</w:t>
      </w:r>
      <w:r>
        <w:rPr>
          <w:sz w:val="15"/>
          <w:szCs w:val="15"/>
          <w:lang w:val="lv-LV"/>
        </w:rPr>
        <w:t>03</w:t>
      </w:r>
      <w:r w:rsidRPr="007975F8">
        <w:rPr>
          <w:sz w:val="15"/>
          <w:szCs w:val="15"/>
          <w:lang w:val="lv-LV"/>
        </w:rPr>
        <w:t>.201</w:t>
      </w:r>
      <w:r>
        <w:rPr>
          <w:sz w:val="15"/>
          <w:szCs w:val="15"/>
          <w:lang w:val="lv-LV"/>
        </w:rPr>
        <w:t>8</w:t>
      </w:r>
      <w:r w:rsidRPr="007975F8">
        <w:rPr>
          <w:sz w:val="15"/>
          <w:szCs w:val="15"/>
          <w:lang w:val="lv-LV"/>
        </w:rPr>
        <w:t>.);</w:t>
      </w:r>
    </w:p>
  </w:footnote>
  <w:footnote w:id="6">
    <w:p w14:paraId="7B49F43C" w14:textId="77777777" w:rsidR="00D5124A" w:rsidRPr="007975F8" w:rsidRDefault="00D5124A">
      <w:pPr>
        <w:pStyle w:val="FootnoteText"/>
        <w:rPr>
          <w:lang w:val="lv-LV"/>
        </w:rPr>
      </w:pPr>
      <w:r w:rsidRPr="007975F8">
        <w:rPr>
          <w:rStyle w:val="FootnoteReference"/>
          <w:lang w:val="lv-LV"/>
        </w:rPr>
        <w:footnoteRef/>
      </w:r>
      <w:r w:rsidRPr="007975F8">
        <w:rPr>
          <w:lang w:val="lv-LV"/>
        </w:rPr>
        <w:t xml:space="preserve"> </w:t>
      </w:r>
      <w:r w:rsidRPr="007975F8">
        <w:rPr>
          <w:sz w:val="15"/>
          <w:szCs w:val="15"/>
          <w:lang w:val="lv-LV"/>
        </w:rPr>
        <w:t>Iedzīvotāju attieksme pret valsts lielo uzņēmumu kotēšanu biržā, pētījumu centrs SIA “SKDS”, 2017. Izlases apjoms: 1005 respondenti</w:t>
      </w:r>
    </w:p>
  </w:footnote>
  <w:footnote w:id="7">
    <w:p w14:paraId="5F2B9D34" w14:textId="7DABD936" w:rsidR="00D5124A" w:rsidRPr="007975F8" w:rsidRDefault="00D5124A" w:rsidP="006C4506">
      <w:pPr>
        <w:pStyle w:val="NoSpacing"/>
        <w:rPr>
          <w:sz w:val="15"/>
          <w:szCs w:val="15"/>
          <w:lang w:val="lv-LV"/>
        </w:rPr>
      </w:pPr>
      <w:r w:rsidRPr="007975F8">
        <w:rPr>
          <w:rStyle w:val="FootnoteReference"/>
          <w:sz w:val="15"/>
          <w:szCs w:val="15"/>
          <w:lang w:val="lv-LV"/>
        </w:rPr>
        <w:footnoteRef/>
      </w:r>
      <w:r w:rsidRPr="007975F8">
        <w:rPr>
          <w:sz w:val="15"/>
          <w:szCs w:val="15"/>
          <w:lang w:val="lv-LV"/>
        </w:rPr>
        <w:t xml:space="preserve"> </w:t>
      </w:r>
      <w:hyperlink r:id="rId5" w:history="1">
        <w:r w:rsidRPr="007975F8">
          <w:rPr>
            <w:rStyle w:val="Hyperlink"/>
            <w:sz w:val="15"/>
            <w:szCs w:val="15"/>
            <w:lang w:val="lv-LV"/>
          </w:rPr>
          <w:t>http://www.manapensija.lv/lv/pensiju-2-limenis/aktualie-dati/</w:t>
        </w:r>
      </w:hyperlink>
      <w:r w:rsidRPr="007975F8">
        <w:rPr>
          <w:rStyle w:val="Hyperlink"/>
          <w:sz w:val="15"/>
          <w:szCs w:val="15"/>
          <w:u w:val="none"/>
          <w:lang w:val="lv-LV"/>
        </w:rPr>
        <w:t xml:space="preserve"> </w:t>
      </w:r>
      <w:r w:rsidRPr="007975F8">
        <w:rPr>
          <w:rStyle w:val="Hyperlink"/>
          <w:color w:val="auto"/>
          <w:sz w:val="15"/>
          <w:szCs w:val="15"/>
          <w:u w:val="none"/>
          <w:lang w:val="lv-LV"/>
        </w:rPr>
        <w:t xml:space="preserve">skatīts </w:t>
      </w:r>
      <w:r>
        <w:rPr>
          <w:rStyle w:val="Hyperlink"/>
          <w:color w:val="auto"/>
          <w:sz w:val="15"/>
          <w:szCs w:val="15"/>
          <w:u w:val="none"/>
          <w:lang w:val="lv-LV"/>
        </w:rPr>
        <w:t>20</w:t>
      </w:r>
      <w:r w:rsidRPr="007975F8">
        <w:rPr>
          <w:rStyle w:val="Hyperlink"/>
          <w:color w:val="auto"/>
          <w:sz w:val="15"/>
          <w:szCs w:val="15"/>
          <w:u w:val="none"/>
          <w:lang w:val="lv-LV"/>
        </w:rPr>
        <w:t>.</w:t>
      </w:r>
      <w:r>
        <w:rPr>
          <w:rStyle w:val="Hyperlink"/>
          <w:color w:val="auto"/>
          <w:sz w:val="15"/>
          <w:szCs w:val="15"/>
          <w:u w:val="none"/>
          <w:lang w:val="lv-LV"/>
        </w:rPr>
        <w:t>03</w:t>
      </w:r>
      <w:r w:rsidRPr="007975F8">
        <w:rPr>
          <w:rStyle w:val="Hyperlink"/>
          <w:color w:val="auto"/>
          <w:sz w:val="15"/>
          <w:szCs w:val="15"/>
          <w:u w:val="none"/>
          <w:lang w:val="lv-LV"/>
        </w:rPr>
        <w:t>.201</w:t>
      </w:r>
      <w:r>
        <w:rPr>
          <w:rStyle w:val="Hyperlink"/>
          <w:color w:val="auto"/>
          <w:sz w:val="15"/>
          <w:szCs w:val="15"/>
          <w:u w:val="none"/>
          <w:lang w:val="lv-LV"/>
        </w:rPr>
        <w:t>8.</w:t>
      </w:r>
      <w:r w:rsidRPr="007975F8">
        <w:rPr>
          <w:rStyle w:val="Hyperlink"/>
          <w:color w:val="auto"/>
          <w:sz w:val="15"/>
          <w:szCs w:val="15"/>
          <w:u w:val="none"/>
          <w:lang w:val="lv-LV"/>
        </w:rPr>
        <w:t>;</w:t>
      </w:r>
    </w:p>
  </w:footnote>
  <w:footnote w:id="8">
    <w:p w14:paraId="273AB407" w14:textId="77777777" w:rsidR="00D5124A" w:rsidRPr="007975F8" w:rsidRDefault="00D5124A" w:rsidP="006C4506">
      <w:pPr>
        <w:pStyle w:val="NoSpacing"/>
        <w:rPr>
          <w:sz w:val="15"/>
          <w:szCs w:val="15"/>
          <w:lang w:val="lv-LV"/>
        </w:rPr>
      </w:pPr>
      <w:r w:rsidRPr="007975F8">
        <w:rPr>
          <w:rStyle w:val="FootnoteReference"/>
          <w:sz w:val="15"/>
          <w:szCs w:val="15"/>
          <w:lang w:val="lv-LV"/>
        </w:rPr>
        <w:footnoteRef/>
      </w:r>
      <w:r w:rsidRPr="007975F8">
        <w:rPr>
          <w:sz w:val="15"/>
          <w:szCs w:val="15"/>
          <w:lang w:val="lv-LV"/>
        </w:rPr>
        <w:t xml:space="preserve"> OECD (2017), </w:t>
      </w:r>
      <w:r w:rsidRPr="007975F8">
        <w:rPr>
          <w:i/>
          <w:sz w:val="15"/>
          <w:szCs w:val="15"/>
          <w:lang w:val="lv-LV"/>
        </w:rPr>
        <w:t>Corporate Governance in Latvia</w:t>
      </w:r>
      <w:r w:rsidRPr="007975F8">
        <w:rPr>
          <w:sz w:val="15"/>
          <w:szCs w:val="15"/>
          <w:lang w:val="lv-LV"/>
        </w:rPr>
        <w:t>, OECD Publishing, Paris, page 25;</w:t>
      </w:r>
    </w:p>
  </w:footnote>
  <w:footnote w:id="9">
    <w:p w14:paraId="121925BF" w14:textId="77777777" w:rsidR="00D5124A" w:rsidRPr="007975F8" w:rsidRDefault="00D5124A" w:rsidP="00E16997">
      <w:pPr>
        <w:pStyle w:val="FootnoteText"/>
        <w:rPr>
          <w:sz w:val="15"/>
          <w:szCs w:val="15"/>
          <w:lang w:val="lv-LV"/>
        </w:rPr>
      </w:pPr>
      <w:r w:rsidRPr="007975F8">
        <w:rPr>
          <w:rStyle w:val="FootnoteReference"/>
          <w:sz w:val="15"/>
          <w:szCs w:val="15"/>
          <w:lang w:val="lv-LV"/>
        </w:rPr>
        <w:footnoteRef/>
      </w:r>
      <w:r w:rsidRPr="007975F8">
        <w:rPr>
          <w:sz w:val="15"/>
          <w:szCs w:val="15"/>
          <w:lang w:val="lv-LV"/>
        </w:rPr>
        <w:t xml:space="preserve"> </w:t>
      </w:r>
      <w:hyperlink r:id="rId6" w:history="1">
        <w:r w:rsidRPr="006D4190">
          <w:rPr>
            <w:rStyle w:val="Hyperlink"/>
            <w:sz w:val="15"/>
            <w:szCs w:val="15"/>
            <w:lang w:val="lv-LV"/>
          </w:rPr>
          <w:t>http://www.ap1.se/en/Financial-information-and-press/Reports/</w:t>
        </w:r>
      </w:hyperlink>
      <w:r w:rsidRPr="007975F8">
        <w:rPr>
          <w:sz w:val="15"/>
          <w:szCs w:val="15"/>
          <w:lang w:val="lv-LV"/>
        </w:rPr>
        <w:t xml:space="preserve">; </w:t>
      </w:r>
      <w:hyperlink r:id="rId7" w:history="1">
        <w:r w:rsidRPr="006D4190">
          <w:rPr>
            <w:rStyle w:val="Hyperlink"/>
            <w:sz w:val="15"/>
            <w:szCs w:val="15"/>
            <w:lang w:val="lv-LV"/>
          </w:rPr>
          <w:t>http://www.ap2.se/en/news-reports/reports/</w:t>
        </w:r>
      </w:hyperlink>
      <w:r>
        <w:rPr>
          <w:sz w:val="15"/>
          <w:szCs w:val="15"/>
          <w:lang w:val="lv-LV"/>
        </w:rPr>
        <w:t xml:space="preserve"> </w:t>
      </w:r>
      <w:r w:rsidRPr="007975F8">
        <w:rPr>
          <w:sz w:val="15"/>
          <w:szCs w:val="15"/>
          <w:lang w:val="lv-LV"/>
        </w:rPr>
        <w:t xml:space="preserve"> </w:t>
      </w:r>
      <w:hyperlink r:id="rId8" w:history="1">
        <w:r w:rsidRPr="006D4190">
          <w:rPr>
            <w:rStyle w:val="Hyperlink"/>
            <w:sz w:val="15"/>
            <w:szCs w:val="15"/>
            <w:lang w:val="lv-LV"/>
          </w:rPr>
          <w:t>http://www.ap3.se/en/forvaltning</w:t>
        </w:r>
        <w:r w:rsidRPr="006D4190">
          <w:rPr>
            <w:rStyle w:val="Hyperlink"/>
            <w:i/>
            <w:sz w:val="15"/>
            <w:szCs w:val="15"/>
            <w:lang w:val="lv-LV"/>
          </w:rPr>
          <w:t>/</w:t>
        </w:r>
        <w:r w:rsidRPr="006D4190">
          <w:rPr>
            <w:rStyle w:val="Hyperlink"/>
            <w:sz w:val="15"/>
            <w:szCs w:val="15"/>
            <w:lang w:val="lv-LV"/>
          </w:rPr>
          <w:t>femarsoversikt/</w:t>
        </w:r>
      </w:hyperlink>
    </w:p>
  </w:footnote>
  <w:footnote w:id="10">
    <w:p w14:paraId="69C9C283" w14:textId="77777777" w:rsidR="00D5124A" w:rsidRPr="007975F8" w:rsidRDefault="00D5124A">
      <w:pPr>
        <w:pStyle w:val="FootnoteText"/>
        <w:rPr>
          <w:sz w:val="15"/>
          <w:szCs w:val="15"/>
          <w:lang w:val="lv-LV"/>
        </w:rPr>
      </w:pPr>
      <w:r w:rsidRPr="007975F8">
        <w:rPr>
          <w:rStyle w:val="FootnoteReference"/>
          <w:sz w:val="15"/>
          <w:szCs w:val="15"/>
          <w:lang w:val="lv-LV"/>
        </w:rPr>
        <w:footnoteRef/>
      </w:r>
      <w:r w:rsidRPr="007975F8">
        <w:rPr>
          <w:sz w:val="15"/>
          <w:szCs w:val="15"/>
          <w:lang w:val="lv-LV"/>
        </w:rPr>
        <w:t xml:space="preserve"> </w:t>
      </w:r>
      <w:hyperlink r:id="rId9" w:history="1">
        <w:r w:rsidRPr="006D4190">
          <w:rPr>
            <w:rStyle w:val="Hyperlink"/>
            <w:sz w:val="15"/>
            <w:szCs w:val="15"/>
            <w:lang w:val="lv-LV"/>
          </w:rPr>
          <w:t>http://www.db.lv/finanses/pensiju-fondi-atklata-vestule-aicina-valdibu-latvija-attistit-kapitala-tirgu-469205</w:t>
        </w:r>
      </w:hyperlink>
      <w:r>
        <w:rPr>
          <w:sz w:val="15"/>
          <w:szCs w:val="15"/>
          <w:lang w:val="lv-LV"/>
        </w:rPr>
        <w:t xml:space="preserve"> </w:t>
      </w:r>
    </w:p>
  </w:footnote>
  <w:footnote w:id="11">
    <w:p w14:paraId="7C380948" w14:textId="77777777" w:rsidR="00D5124A" w:rsidRPr="007975F8" w:rsidRDefault="00D5124A">
      <w:pPr>
        <w:pStyle w:val="FootnoteText"/>
        <w:rPr>
          <w:sz w:val="15"/>
          <w:szCs w:val="15"/>
          <w:lang w:val="lv-LV"/>
        </w:rPr>
      </w:pPr>
      <w:r w:rsidRPr="007975F8">
        <w:rPr>
          <w:rStyle w:val="FootnoteReference"/>
          <w:lang w:val="lv-LV"/>
        </w:rPr>
        <w:footnoteRef/>
      </w:r>
      <w:r w:rsidRPr="007975F8">
        <w:rPr>
          <w:lang w:val="lv-LV"/>
        </w:rPr>
        <w:t xml:space="preserve"> </w:t>
      </w:r>
      <w:r w:rsidRPr="007975F8">
        <w:rPr>
          <w:sz w:val="15"/>
          <w:szCs w:val="15"/>
          <w:lang w:val="lv-LV"/>
        </w:rPr>
        <w:t xml:space="preserve">VIDEO: Ekonomikas ministrijas valsts sekretāra Jura Stinkas ievadprezentācija: </w:t>
      </w:r>
      <w:hyperlink r:id="rId10" w:history="1">
        <w:r w:rsidRPr="006D4190">
          <w:rPr>
            <w:rStyle w:val="Hyperlink"/>
            <w:sz w:val="15"/>
            <w:szCs w:val="15"/>
            <w:lang w:val="lv-LV"/>
          </w:rPr>
          <w:t>http://ej.uz/e6jh</w:t>
        </w:r>
      </w:hyperlink>
      <w:r>
        <w:rPr>
          <w:sz w:val="15"/>
          <w:szCs w:val="15"/>
          <w:lang w:val="lv-LV"/>
        </w:rPr>
        <w:t xml:space="preserve"> </w:t>
      </w:r>
    </w:p>
  </w:footnote>
  <w:footnote w:id="12">
    <w:p w14:paraId="0CC90C5D" w14:textId="77777777" w:rsidR="00D5124A" w:rsidRPr="007975F8" w:rsidRDefault="00D5124A" w:rsidP="000A0EB0">
      <w:pPr>
        <w:pStyle w:val="FootnoteText"/>
        <w:rPr>
          <w:lang w:val="lv-LV"/>
        </w:rPr>
      </w:pPr>
      <w:r w:rsidRPr="007975F8">
        <w:rPr>
          <w:rStyle w:val="FootnoteReference"/>
          <w:sz w:val="15"/>
          <w:szCs w:val="15"/>
          <w:lang w:val="lv-LV"/>
        </w:rPr>
        <w:footnoteRef/>
      </w:r>
      <w:r w:rsidRPr="007975F8">
        <w:rPr>
          <w:sz w:val="15"/>
          <w:szCs w:val="15"/>
          <w:lang w:val="lv-LV"/>
        </w:rPr>
        <w:t xml:space="preserve"> </w:t>
      </w:r>
      <w:hyperlink r:id="rId11" w:history="1">
        <w:r w:rsidRPr="006D4190">
          <w:rPr>
            <w:rStyle w:val="Hyperlink"/>
            <w:sz w:val="15"/>
            <w:szCs w:val="15"/>
            <w:lang w:val="lv-LV"/>
          </w:rPr>
          <w:t>http://newfinancial.eu/report-on-the-benefits-of-capital-markets-to-high-potential-eu-economies-2/</w:t>
        </w:r>
      </w:hyperlink>
      <w:r>
        <w:rPr>
          <w:sz w:val="18"/>
          <w:szCs w:val="18"/>
          <w:lang w:val="lv-LV"/>
        </w:rPr>
        <w:t xml:space="preserve"> </w:t>
      </w:r>
    </w:p>
  </w:footnote>
  <w:footnote w:id="13">
    <w:p w14:paraId="17EC1358" w14:textId="77777777" w:rsidR="00D5124A" w:rsidRPr="007975F8" w:rsidRDefault="00D5124A">
      <w:pPr>
        <w:pStyle w:val="FootnoteText"/>
        <w:rPr>
          <w:sz w:val="15"/>
          <w:szCs w:val="15"/>
          <w:lang w:val="lv-LV"/>
        </w:rPr>
      </w:pPr>
      <w:r w:rsidRPr="007975F8">
        <w:rPr>
          <w:rStyle w:val="FootnoteReference"/>
          <w:lang w:val="lv-LV"/>
        </w:rPr>
        <w:footnoteRef/>
      </w:r>
      <w:r w:rsidRPr="007975F8">
        <w:rPr>
          <w:lang w:val="lv-LV"/>
        </w:rPr>
        <w:t xml:space="preserve"> </w:t>
      </w:r>
      <w:r w:rsidRPr="007975F8">
        <w:rPr>
          <w:sz w:val="15"/>
          <w:szCs w:val="15"/>
          <w:lang w:val="lv-LV"/>
        </w:rPr>
        <w:t xml:space="preserve">VIDEO: Ministru prezidenta Māra Kučinska atklāšanas uzruna: </w:t>
      </w:r>
      <w:hyperlink r:id="rId12" w:history="1">
        <w:r w:rsidRPr="006D4190">
          <w:rPr>
            <w:rStyle w:val="Hyperlink"/>
            <w:sz w:val="15"/>
            <w:szCs w:val="15"/>
            <w:lang w:val="lv-LV"/>
          </w:rPr>
          <w:t>http://ej.uz/6xjj</w:t>
        </w:r>
      </w:hyperlink>
      <w:r>
        <w:rPr>
          <w:sz w:val="15"/>
          <w:szCs w:val="15"/>
          <w:lang w:val="lv-LV"/>
        </w:rPr>
        <w:t xml:space="preserve"> </w:t>
      </w:r>
    </w:p>
  </w:footnote>
  <w:footnote w:id="14">
    <w:p w14:paraId="56AEDC5A" w14:textId="77777777" w:rsidR="00D5124A" w:rsidRPr="007975F8" w:rsidRDefault="00D5124A">
      <w:pPr>
        <w:pStyle w:val="FootnoteText"/>
        <w:rPr>
          <w:sz w:val="15"/>
          <w:szCs w:val="15"/>
          <w:lang w:val="lv-LV"/>
        </w:rPr>
      </w:pPr>
      <w:r w:rsidRPr="007975F8">
        <w:rPr>
          <w:rStyle w:val="FootnoteReference"/>
          <w:sz w:val="15"/>
          <w:szCs w:val="15"/>
          <w:lang w:val="lv-LV"/>
        </w:rPr>
        <w:footnoteRef/>
      </w:r>
      <w:r w:rsidRPr="007975F8">
        <w:rPr>
          <w:sz w:val="15"/>
          <w:szCs w:val="15"/>
          <w:lang w:val="lv-LV"/>
        </w:rPr>
        <w:t xml:space="preserve"> </w:t>
      </w:r>
      <w:hyperlink r:id="rId13" w:history="1">
        <w:r w:rsidRPr="007975F8">
          <w:rPr>
            <w:rStyle w:val="Hyperlink"/>
            <w:sz w:val="15"/>
            <w:szCs w:val="15"/>
            <w:lang w:val="lv-LV"/>
          </w:rPr>
          <w:t>http://top101.lv/lv/top101/2016</w:t>
        </w:r>
      </w:hyperlink>
      <w:r w:rsidRPr="007975F8">
        <w:rPr>
          <w:sz w:val="15"/>
          <w:szCs w:val="15"/>
          <w:lang w:val="lv-LV"/>
        </w:rPr>
        <w:t xml:space="preserve"> </w:t>
      </w:r>
    </w:p>
  </w:footnote>
  <w:footnote w:id="15">
    <w:p w14:paraId="0D484A2E" w14:textId="77777777" w:rsidR="00D5124A" w:rsidRPr="00256D40" w:rsidRDefault="00D5124A">
      <w:pPr>
        <w:pStyle w:val="FootnoteText"/>
        <w:rPr>
          <w:sz w:val="15"/>
          <w:szCs w:val="15"/>
          <w:lang w:val="lv-LV"/>
        </w:rPr>
      </w:pPr>
      <w:r>
        <w:rPr>
          <w:rStyle w:val="FootnoteReference"/>
        </w:rPr>
        <w:footnoteRef/>
      </w:r>
      <w:r w:rsidRPr="00256D40">
        <w:rPr>
          <w:lang w:val="lv-LV"/>
        </w:rPr>
        <w:t xml:space="preserve"> </w:t>
      </w:r>
      <w:r w:rsidRPr="00256D40">
        <w:rPr>
          <w:sz w:val="15"/>
          <w:szCs w:val="15"/>
          <w:lang w:val="lv-LV"/>
        </w:rPr>
        <w:t>https://likumi.lv/doc.php?id=111962</w:t>
      </w:r>
    </w:p>
  </w:footnote>
  <w:footnote w:id="16">
    <w:p w14:paraId="29528640" w14:textId="77777777" w:rsidR="00D5124A" w:rsidRPr="007975F8" w:rsidRDefault="00D5124A" w:rsidP="00340BDC">
      <w:pPr>
        <w:pStyle w:val="FootnoteText"/>
        <w:rPr>
          <w:sz w:val="15"/>
          <w:szCs w:val="15"/>
          <w:lang w:val="lv-LV"/>
        </w:rPr>
      </w:pPr>
      <w:r w:rsidRPr="007975F8">
        <w:rPr>
          <w:rStyle w:val="FootnoteReference"/>
          <w:sz w:val="15"/>
          <w:szCs w:val="15"/>
          <w:lang w:val="lv-LV"/>
        </w:rPr>
        <w:footnoteRef/>
      </w:r>
      <w:r w:rsidRPr="007975F8">
        <w:rPr>
          <w:sz w:val="15"/>
          <w:szCs w:val="15"/>
          <w:lang w:val="lv-LV"/>
        </w:rPr>
        <w:t xml:space="preserve"> </w:t>
      </w:r>
      <w:hyperlink r:id="rId14" w:history="1">
        <w:r w:rsidRPr="007975F8">
          <w:rPr>
            <w:rStyle w:val="Hyperlink"/>
            <w:sz w:val="15"/>
            <w:szCs w:val="15"/>
            <w:lang w:val="lv-LV"/>
          </w:rPr>
          <w:t>http://mof.gov.il/gca/about/documents/oecd-broadeningtheownership.pdf</w:t>
        </w:r>
      </w:hyperlink>
      <w:r w:rsidRPr="007975F8">
        <w:rPr>
          <w:sz w:val="15"/>
          <w:szCs w:val="15"/>
          <w:lang w:val="lv-LV"/>
        </w:rPr>
        <w:t xml:space="preserve"> </w:t>
      </w:r>
    </w:p>
  </w:footnote>
  <w:footnote w:id="17">
    <w:p w14:paraId="5DF52049" w14:textId="77777777" w:rsidR="00D5124A" w:rsidRPr="007975F8" w:rsidRDefault="00D5124A" w:rsidP="00340BDC">
      <w:pPr>
        <w:pStyle w:val="FootnoteText"/>
        <w:rPr>
          <w:sz w:val="15"/>
          <w:szCs w:val="15"/>
          <w:lang w:val="lv-LV"/>
        </w:rPr>
      </w:pPr>
      <w:r w:rsidRPr="007975F8">
        <w:rPr>
          <w:rStyle w:val="FootnoteReference"/>
          <w:sz w:val="15"/>
          <w:szCs w:val="15"/>
          <w:lang w:val="lv-LV"/>
        </w:rPr>
        <w:footnoteRef/>
      </w:r>
      <w:r w:rsidRPr="007975F8">
        <w:rPr>
          <w:sz w:val="15"/>
          <w:szCs w:val="15"/>
          <w:lang w:val="lv-LV"/>
        </w:rPr>
        <w:t xml:space="preserve"> Government of Norway (2014), “Adjustments in order to increase distribution of power and private</w:t>
      </w:r>
    </w:p>
    <w:p w14:paraId="1FE484F6" w14:textId="77777777" w:rsidR="00D5124A" w:rsidRPr="007975F8" w:rsidRDefault="00D5124A" w:rsidP="00340BDC">
      <w:pPr>
        <w:pStyle w:val="FootnoteText"/>
        <w:rPr>
          <w:sz w:val="15"/>
          <w:szCs w:val="15"/>
          <w:lang w:val="lv-LV"/>
        </w:rPr>
      </w:pPr>
      <w:r w:rsidRPr="007975F8">
        <w:rPr>
          <w:sz w:val="15"/>
          <w:szCs w:val="15"/>
          <w:lang w:val="lv-LV"/>
        </w:rPr>
        <w:t xml:space="preserve">ownership”: </w:t>
      </w:r>
      <w:hyperlink r:id="rId15" w:history="1">
        <w:r w:rsidRPr="006D4190">
          <w:rPr>
            <w:rStyle w:val="Hyperlink"/>
            <w:sz w:val="15"/>
            <w:szCs w:val="15"/>
            <w:lang w:val="lv-LV"/>
          </w:rPr>
          <w:t>https://www.regjeringen.no/en/aktuelt/Adjustments-in-order-to-increase-distribution-of-power-and-private-ownership-/id764157/</w:t>
        </w:r>
      </w:hyperlink>
      <w:r>
        <w:rPr>
          <w:sz w:val="15"/>
          <w:szCs w:val="15"/>
          <w:lang w:val="lv-LV"/>
        </w:rPr>
        <w:t xml:space="preserve"> </w:t>
      </w:r>
    </w:p>
  </w:footnote>
  <w:footnote w:id="18">
    <w:p w14:paraId="1CCD8F2F" w14:textId="77777777" w:rsidR="00D5124A" w:rsidRPr="007975F8" w:rsidRDefault="00D5124A" w:rsidP="00340BDC">
      <w:pPr>
        <w:pStyle w:val="FootnoteText"/>
        <w:rPr>
          <w:sz w:val="18"/>
          <w:szCs w:val="18"/>
          <w:lang w:val="lv-LV"/>
        </w:rPr>
      </w:pPr>
      <w:r w:rsidRPr="007975F8">
        <w:rPr>
          <w:rStyle w:val="FootnoteReference"/>
          <w:sz w:val="15"/>
          <w:szCs w:val="15"/>
          <w:lang w:val="lv-LV"/>
        </w:rPr>
        <w:footnoteRef/>
      </w:r>
      <w:r w:rsidRPr="007975F8">
        <w:rPr>
          <w:sz w:val="15"/>
          <w:szCs w:val="15"/>
          <w:lang w:val="lv-LV"/>
        </w:rPr>
        <w:t xml:space="preserve"> </w:t>
      </w:r>
      <w:hyperlink r:id="rId16" w:history="1">
        <w:r w:rsidRPr="006D4190">
          <w:rPr>
            <w:rStyle w:val="Hyperlink"/>
            <w:sz w:val="15"/>
            <w:szCs w:val="15"/>
            <w:lang w:val="lv-LV"/>
          </w:rPr>
          <w:t>http://www.transit.ee/6-estonian-state-owned-transport-companies-to-be-merged-into-consortium</w:t>
        </w:r>
      </w:hyperlink>
      <w:r>
        <w:rPr>
          <w:sz w:val="15"/>
          <w:szCs w:val="15"/>
          <w:lang w:val="lv-LV"/>
        </w:rPr>
        <w:t xml:space="preserve"> </w:t>
      </w:r>
    </w:p>
  </w:footnote>
  <w:footnote w:id="19">
    <w:p w14:paraId="14FAD24C" w14:textId="77777777" w:rsidR="00D5124A" w:rsidRPr="007975F8" w:rsidRDefault="00D5124A" w:rsidP="00340BDC">
      <w:pPr>
        <w:pStyle w:val="FootnoteText"/>
        <w:rPr>
          <w:sz w:val="15"/>
          <w:szCs w:val="15"/>
          <w:lang w:val="lv-LV"/>
        </w:rPr>
      </w:pPr>
      <w:r w:rsidRPr="007975F8">
        <w:rPr>
          <w:rStyle w:val="FootnoteReference"/>
          <w:sz w:val="15"/>
          <w:szCs w:val="15"/>
          <w:lang w:val="lv-LV"/>
        </w:rPr>
        <w:footnoteRef/>
      </w:r>
      <w:r w:rsidRPr="007975F8">
        <w:rPr>
          <w:sz w:val="15"/>
          <w:szCs w:val="15"/>
          <w:lang w:val="lv-LV"/>
        </w:rPr>
        <w:t xml:space="preserve"> </w:t>
      </w:r>
      <w:hyperlink r:id="rId17" w:history="1">
        <w:r w:rsidRPr="006D4190">
          <w:rPr>
            <w:rStyle w:val="Hyperlink"/>
            <w:sz w:val="15"/>
            <w:szCs w:val="15"/>
            <w:lang w:val="lv-LV"/>
          </w:rPr>
          <w:t>http://www.fondulproprietatea.ro/</w:t>
        </w:r>
      </w:hyperlink>
      <w:r>
        <w:rPr>
          <w:sz w:val="15"/>
          <w:szCs w:val="15"/>
          <w:lang w:val="lv-LV"/>
        </w:rPr>
        <w:t xml:space="preserve"> </w:t>
      </w:r>
    </w:p>
  </w:footnote>
  <w:footnote w:id="20">
    <w:p w14:paraId="75626760" w14:textId="77777777" w:rsidR="00D5124A" w:rsidRPr="007975F8" w:rsidRDefault="00D5124A" w:rsidP="00340BDC">
      <w:pPr>
        <w:pStyle w:val="FootnoteText"/>
        <w:rPr>
          <w:sz w:val="15"/>
          <w:szCs w:val="15"/>
          <w:lang w:val="lv-LV"/>
        </w:rPr>
      </w:pPr>
      <w:r w:rsidRPr="007975F8">
        <w:rPr>
          <w:rStyle w:val="FootnoteReference"/>
          <w:sz w:val="15"/>
          <w:szCs w:val="15"/>
          <w:lang w:val="lv-LV"/>
        </w:rPr>
        <w:footnoteRef/>
      </w:r>
      <w:r w:rsidRPr="007975F8">
        <w:rPr>
          <w:sz w:val="15"/>
          <w:szCs w:val="15"/>
          <w:lang w:val="lv-LV"/>
        </w:rPr>
        <w:t xml:space="preserve"> </w:t>
      </w:r>
      <w:hyperlink r:id="rId18" w:history="1">
        <w:r w:rsidRPr="006D4190">
          <w:rPr>
            <w:rStyle w:val="Hyperlink"/>
            <w:sz w:val="15"/>
            <w:szCs w:val="15"/>
            <w:lang w:val="lv-LV"/>
          </w:rPr>
          <w:t>http://www.bvb.ro/TradingAndStatistics/Statistics/GeneralStatistics</w:t>
        </w:r>
      </w:hyperlink>
      <w:r>
        <w:rPr>
          <w:sz w:val="15"/>
          <w:szCs w:val="15"/>
          <w:lang w:val="lv-LV"/>
        </w:rPr>
        <w:t xml:space="preserve"> </w:t>
      </w:r>
    </w:p>
  </w:footnote>
  <w:footnote w:id="21">
    <w:p w14:paraId="5B24CFCD" w14:textId="77777777" w:rsidR="00D5124A" w:rsidRPr="007975F8" w:rsidRDefault="00D5124A" w:rsidP="00340BDC">
      <w:pPr>
        <w:pStyle w:val="FootnoteText"/>
        <w:rPr>
          <w:sz w:val="15"/>
          <w:szCs w:val="15"/>
          <w:lang w:val="lv-LV"/>
        </w:rPr>
      </w:pPr>
      <w:r w:rsidRPr="007975F8">
        <w:rPr>
          <w:rStyle w:val="FootnoteReference"/>
          <w:sz w:val="15"/>
          <w:szCs w:val="15"/>
          <w:lang w:val="lv-LV"/>
        </w:rPr>
        <w:footnoteRef/>
      </w:r>
      <w:r w:rsidRPr="007975F8">
        <w:rPr>
          <w:sz w:val="15"/>
          <w:szCs w:val="15"/>
          <w:lang w:val="lv-LV"/>
        </w:rPr>
        <w:t xml:space="preserve"> </w:t>
      </w:r>
      <w:hyperlink r:id="rId19" w:history="1">
        <w:r w:rsidRPr="006D4190">
          <w:rPr>
            <w:rStyle w:val="Hyperlink"/>
            <w:sz w:val="15"/>
            <w:szCs w:val="15"/>
            <w:lang w:val="lv-LV"/>
          </w:rPr>
          <w:t>http://www.bvb.ro/ForCompanies/RegulatedMarket/RecentIpos</w:t>
        </w:r>
      </w:hyperlink>
      <w:r>
        <w:rPr>
          <w:sz w:val="15"/>
          <w:szCs w:val="15"/>
          <w:lang w:val="lv-LV"/>
        </w:rPr>
        <w:t xml:space="preserve"> </w:t>
      </w:r>
    </w:p>
  </w:footnote>
  <w:footnote w:id="22">
    <w:p w14:paraId="2E44C41D" w14:textId="77777777" w:rsidR="00D5124A" w:rsidRPr="007975F8" w:rsidRDefault="00D5124A" w:rsidP="00340BDC">
      <w:pPr>
        <w:pStyle w:val="FootnoteText"/>
        <w:rPr>
          <w:sz w:val="15"/>
          <w:szCs w:val="15"/>
          <w:lang w:val="lv-LV"/>
        </w:rPr>
      </w:pPr>
      <w:r w:rsidRPr="007975F8">
        <w:rPr>
          <w:rStyle w:val="FootnoteReference"/>
          <w:sz w:val="15"/>
          <w:szCs w:val="15"/>
          <w:lang w:val="lv-LV"/>
        </w:rPr>
        <w:footnoteRef/>
      </w:r>
      <w:r w:rsidRPr="007975F8">
        <w:rPr>
          <w:sz w:val="15"/>
          <w:szCs w:val="15"/>
          <w:lang w:val="lv-LV"/>
        </w:rPr>
        <w:t xml:space="preserve"> Broadening the Ownership of State-Owned Enterprises, OECD, 2016, (page 78) </w:t>
      </w:r>
      <w:hyperlink r:id="rId20" w:history="1">
        <w:r w:rsidRPr="006D4190">
          <w:rPr>
            <w:rStyle w:val="Hyperlink"/>
            <w:sz w:val="15"/>
            <w:szCs w:val="15"/>
            <w:lang w:val="lv-LV"/>
          </w:rPr>
          <w:t>http://mof.gov.il/gca/about/documents/oecd-broadeningtheownership.pdf</w:t>
        </w:r>
      </w:hyperlink>
      <w:r>
        <w:rPr>
          <w:sz w:val="15"/>
          <w:szCs w:val="15"/>
          <w:lang w:val="lv-LV"/>
        </w:rPr>
        <w:t xml:space="preserve"> </w:t>
      </w:r>
    </w:p>
  </w:footnote>
  <w:footnote w:id="23">
    <w:p w14:paraId="1F2461CE" w14:textId="77777777" w:rsidR="00D5124A" w:rsidRPr="007975F8" w:rsidRDefault="00D5124A">
      <w:pPr>
        <w:pStyle w:val="FootnoteText"/>
        <w:rPr>
          <w:lang w:val="lv-LV"/>
        </w:rPr>
      </w:pPr>
      <w:r w:rsidRPr="007975F8">
        <w:rPr>
          <w:rStyle w:val="FootnoteReference"/>
          <w:lang w:val="lv-LV"/>
        </w:rPr>
        <w:footnoteRef/>
      </w:r>
      <w:r w:rsidRPr="007975F8">
        <w:rPr>
          <w:lang w:val="lv-LV"/>
        </w:rPr>
        <w:t xml:space="preserve"> </w:t>
      </w:r>
      <w:r w:rsidRPr="007975F8">
        <w:rPr>
          <w:sz w:val="15"/>
          <w:szCs w:val="15"/>
          <w:lang w:val="lv-LV"/>
        </w:rPr>
        <w:t xml:space="preserve">VIDEO: Paneļdiskusija un auditorijas jautājumi: </w:t>
      </w:r>
      <w:hyperlink r:id="rId21" w:history="1">
        <w:r w:rsidRPr="006D4190">
          <w:rPr>
            <w:rStyle w:val="Hyperlink"/>
            <w:sz w:val="15"/>
            <w:szCs w:val="15"/>
            <w:lang w:val="lv-LV"/>
          </w:rPr>
          <w:t>http://ej.uz/mg5d</w:t>
        </w:r>
      </w:hyperlink>
      <w:r>
        <w:rPr>
          <w:sz w:val="15"/>
          <w:szCs w:val="15"/>
          <w:lang w:val="lv-LV"/>
        </w:rPr>
        <w:t xml:space="preserve"> </w:t>
      </w:r>
    </w:p>
  </w:footnote>
  <w:footnote w:id="24">
    <w:p w14:paraId="51C8EA6F" w14:textId="77777777" w:rsidR="00D5124A" w:rsidRPr="007975F8" w:rsidRDefault="00D5124A" w:rsidP="00340BDC">
      <w:pPr>
        <w:pStyle w:val="FootnoteText"/>
        <w:rPr>
          <w:sz w:val="15"/>
          <w:szCs w:val="15"/>
          <w:lang w:val="lv-LV"/>
        </w:rPr>
      </w:pPr>
      <w:r w:rsidRPr="007975F8">
        <w:rPr>
          <w:rStyle w:val="FootnoteReference"/>
          <w:sz w:val="15"/>
          <w:szCs w:val="15"/>
          <w:lang w:val="lv-LV"/>
        </w:rPr>
        <w:footnoteRef/>
      </w:r>
      <w:r w:rsidRPr="007975F8">
        <w:rPr>
          <w:sz w:val="15"/>
          <w:szCs w:val="15"/>
          <w:lang w:val="lv-LV"/>
        </w:rPr>
        <w:t xml:space="preserve"> </w:t>
      </w:r>
      <w:hyperlink r:id="rId22" w:history="1">
        <w:r w:rsidRPr="007975F8">
          <w:rPr>
            <w:rStyle w:val="Hyperlink"/>
            <w:sz w:val="15"/>
            <w:szCs w:val="15"/>
            <w:lang w:val="lv-LV"/>
          </w:rPr>
          <w:t>http://www.business.dk/energi/aktionaerforening-tipper-at-danskerne-vil-goere-dong-til-folkeaktie</w:t>
        </w:r>
      </w:hyperlink>
    </w:p>
  </w:footnote>
  <w:footnote w:id="25">
    <w:p w14:paraId="79CF1F1A" w14:textId="77777777" w:rsidR="00D5124A" w:rsidRPr="007975F8" w:rsidRDefault="00D5124A" w:rsidP="00340BDC">
      <w:pPr>
        <w:pStyle w:val="FootnoteText"/>
        <w:rPr>
          <w:sz w:val="15"/>
          <w:szCs w:val="15"/>
          <w:lang w:val="lv-LV"/>
        </w:rPr>
      </w:pPr>
      <w:r w:rsidRPr="007975F8">
        <w:rPr>
          <w:rStyle w:val="FootnoteReference"/>
          <w:sz w:val="15"/>
          <w:szCs w:val="15"/>
          <w:lang w:val="lv-LV"/>
        </w:rPr>
        <w:footnoteRef/>
      </w:r>
      <w:r w:rsidRPr="007975F8">
        <w:rPr>
          <w:sz w:val="15"/>
          <w:szCs w:val="15"/>
          <w:lang w:val="lv-LV"/>
        </w:rPr>
        <w:t xml:space="preserve"> William C.Dudley and R.Glenn Hubbard, Global Markets Institute, Goldman Sachs; How Capital Markets Enhance Economic Performance and Facilitate Job Creation, 2004, Page 14;  </w:t>
      </w:r>
    </w:p>
  </w:footnote>
  <w:footnote w:id="26">
    <w:p w14:paraId="19E93191" w14:textId="77777777" w:rsidR="00D5124A" w:rsidRPr="007975F8" w:rsidRDefault="00D5124A" w:rsidP="00340BDC">
      <w:pPr>
        <w:pStyle w:val="FootnoteText"/>
        <w:rPr>
          <w:sz w:val="15"/>
          <w:szCs w:val="15"/>
          <w:lang w:val="lv-LV"/>
        </w:rPr>
      </w:pPr>
      <w:r w:rsidRPr="007975F8">
        <w:rPr>
          <w:rStyle w:val="FootnoteReference"/>
          <w:sz w:val="15"/>
          <w:szCs w:val="15"/>
          <w:lang w:val="lv-LV"/>
        </w:rPr>
        <w:footnoteRef/>
      </w:r>
      <w:r w:rsidRPr="007975F8">
        <w:rPr>
          <w:sz w:val="15"/>
          <w:szCs w:val="15"/>
          <w:lang w:val="lv-LV"/>
        </w:rPr>
        <w:t xml:space="preserve"> </w:t>
      </w:r>
      <w:hyperlink r:id="rId23" w:history="1">
        <w:r w:rsidRPr="006D4190">
          <w:rPr>
            <w:rStyle w:val="Hyperlink"/>
            <w:sz w:val="15"/>
            <w:szCs w:val="15"/>
            <w:lang w:val="lv-LV"/>
          </w:rPr>
          <w:t>http://www.baltictimes.com/hansamatrix_ceo_____trust_your_senses_-_my_unwritten_rule_i_follow_in_making_strategic_decisions___/</w:t>
        </w:r>
      </w:hyperlink>
    </w:p>
  </w:footnote>
  <w:footnote w:id="27">
    <w:p w14:paraId="70380B9D" w14:textId="77777777" w:rsidR="00D5124A" w:rsidRPr="006908AE" w:rsidRDefault="00D5124A" w:rsidP="00507F41">
      <w:pPr>
        <w:pStyle w:val="FootnoteText"/>
        <w:rPr>
          <w:lang w:val="lv-LV"/>
        </w:rPr>
      </w:pPr>
      <w:r>
        <w:rPr>
          <w:rStyle w:val="FootnoteReference"/>
        </w:rPr>
        <w:footnoteRef/>
      </w:r>
      <w:r w:rsidRPr="006908AE">
        <w:rPr>
          <w:lang w:val="lv-LV"/>
        </w:rPr>
        <w:t xml:space="preserve"> </w:t>
      </w:r>
      <w:hyperlink r:id="rId24" w:history="1">
        <w:r w:rsidRPr="007074C3">
          <w:rPr>
            <w:rStyle w:val="Hyperlink"/>
            <w:sz w:val="15"/>
            <w:szCs w:val="15"/>
            <w:lang w:val="lv-LV"/>
          </w:rPr>
          <w:t>https://likumi.lv/doc.php?id=111962</w:t>
        </w:r>
      </w:hyperlink>
      <w:r>
        <w:rPr>
          <w:sz w:val="15"/>
          <w:szCs w:val="15"/>
          <w:lang w:val="lv-LV"/>
        </w:rPr>
        <w:t xml:space="preserve"> </w:t>
      </w:r>
    </w:p>
  </w:footnote>
  <w:footnote w:id="28">
    <w:p w14:paraId="2582FDF1" w14:textId="72A09537" w:rsidR="00D5124A" w:rsidRPr="00277FE3" w:rsidRDefault="00D5124A" w:rsidP="00FA6870">
      <w:pPr>
        <w:pStyle w:val="FootnoteText"/>
        <w:rPr>
          <w:sz w:val="15"/>
          <w:szCs w:val="15"/>
          <w:lang w:val="lv-LV"/>
        </w:rPr>
      </w:pPr>
      <w:r>
        <w:rPr>
          <w:rStyle w:val="FootnoteReference"/>
        </w:rPr>
        <w:footnoteRef/>
      </w:r>
      <w:r w:rsidRPr="00277FE3">
        <w:rPr>
          <w:lang w:val="lv-LV"/>
        </w:rPr>
        <w:t xml:space="preserve"> </w:t>
      </w:r>
      <w:hyperlink r:id="rId25" w:history="1">
        <w:r w:rsidRPr="007074C3">
          <w:rPr>
            <w:rStyle w:val="Hyperlink"/>
            <w:sz w:val="15"/>
            <w:szCs w:val="15"/>
            <w:lang w:val="lv-LV"/>
          </w:rPr>
          <w:t>https://likumi.lv/doc.php?id=111962</w:t>
        </w:r>
      </w:hyperlink>
      <w:r>
        <w:rPr>
          <w:sz w:val="15"/>
          <w:szCs w:val="15"/>
          <w:lang w:val="lv-LV"/>
        </w:rPr>
        <w:t xml:space="preserve"> </w:t>
      </w:r>
    </w:p>
  </w:footnote>
  <w:footnote w:id="29">
    <w:p w14:paraId="2D54D2C1" w14:textId="77777777" w:rsidR="00D5124A" w:rsidRPr="007975F8" w:rsidRDefault="00D5124A">
      <w:pPr>
        <w:pStyle w:val="FootnoteText"/>
        <w:rPr>
          <w:sz w:val="15"/>
          <w:szCs w:val="15"/>
          <w:lang w:val="lv-LV"/>
        </w:rPr>
      </w:pPr>
      <w:r w:rsidRPr="007975F8">
        <w:rPr>
          <w:rStyle w:val="FootnoteReference"/>
          <w:sz w:val="15"/>
          <w:szCs w:val="15"/>
          <w:lang w:val="lv-LV"/>
        </w:rPr>
        <w:footnoteRef/>
      </w:r>
      <w:r w:rsidRPr="007975F8">
        <w:rPr>
          <w:sz w:val="15"/>
          <w:szCs w:val="15"/>
          <w:lang w:val="lv-LV"/>
        </w:rPr>
        <w:t xml:space="preserve"> </w:t>
      </w:r>
      <w:hyperlink r:id="rId26" w:history="1">
        <w:r w:rsidRPr="007975F8">
          <w:rPr>
            <w:rStyle w:val="Hyperlink"/>
            <w:sz w:val="15"/>
            <w:szCs w:val="15"/>
            <w:lang w:val="lv-LV"/>
          </w:rPr>
          <w:t>http://www.nasdaqbaltic.com/market/?instrument=LV0000801777&amp;list=1&amp;pg=details&amp;tab=company&amp;lang=lv</w:t>
        </w:r>
      </w:hyperlink>
      <w:r w:rsidRPr="007975F8">
        <w:rPr>
          <w:sz w:val="15"/>
          <w:szCs w:val="15"/>
          <w:lang w:val="lv-LV"/>
        </w:rPr>
        <w:t xml:space="preserve"> </w:t>
      </w:r>
    </w:p>
  </w:footnote>
  <w:footnote w:id="30">
    <w:p w14:paraId="2A26058A" w14:textId="77777777" w:rsidR="00D5124A" w:rsidRPr="007975F8" w:rsidRDefault="00D5124A">
      <w:pPr>
        <w:pStyle w:val="FootnoteText"/>
        <w:rPr>
          <w:sz w:val="15"/>
          <w:szCs w:val="15"/>
          <w:lang w:val="lv-LV"/>
        </w:rPr>
      </w:pPr>
      <w:r w:rsidRPr="007975F8">
        <w:rPr>
          <w:rStyle w:val="FootnoteReference"/>
          <w:sz w:val="15"/>
          <w:szCs w:val="15"/>
          <w:lang w:val="lv-LV"/>
        </w:rPr>
        <w:footnoteRef/>
      </w:r>
      <w:r w:rsidRPr="007975F8">
        <w:rPr>
          <w:sz w:val="15"/>
          <w:szCs w:val="15"/>
          <w:lang w:val="lv-LV"/>
        </w:rPr>
        <w:t xml:space="preserve"> </w:t>
      </w:r>
      <w:hyperlink r:id="rId27" w:history="1">
        <w:r w:rsidRPr="007975F8">
          <w:rPr>
            <w:rStyle w:val="Hyperlink"/>
            <w:sz w:val="15"/>
            <w:szCs w:val="15"/>
            <w:lang w:val="lv-LV"/>
          </w:rPr>
          <w:t>https://globenewswire.com/news-release/2017/02/16/918093/0/en/Moody-s-affirms-the-credit-rating-of-Latvenergo-AS.html</w:t>
        </w:r>
      </w:hyperlink>
      <w:r w:rsidRPr="007975F8">
        <w:rPr>
          <w:sz w:val="15"/>
          <w:szCs w:val="15"/>
          <w:lang w:val="lv-LV"/>
        </w:rPr>
        <w:t xml:space="preserve"> </w:t>
      </w:r>
    </w:p>
  </w:footnote>
  <w:footnote w:id="31">
    <w:p w14:paraId="0FAF474B" w14:textId="77777777" w:rsidR="00D5124A" w:rsidRPr="007975F8" w:rsidRDefault="00D5124A" w:rsidP="00E46280">
      <w:pPr>
        <w:pStyle w:val="FootnoteText"/>
        <w:rPr>
          <w:sz w:val="15"/>
          <w:szCs w:val="15"/>
          <w:lang w:val="lv-LV"/>
        </w:rPr>
      </w:pPr>
      <w:r w:rsidRPr="007975F8">
        <w:rPr>
          <w:rStyle w:val="FootnoteReference"/>
          <w:sz w:val="15"/>
          <w:szCs w:val="15"/>
          <w:lang w:val="lv-LV"/>
        </w:rPr>
        <w:footnoteRef/>
      </w:r>
      <w:r w:rsidRPr="007975F8">
        <w:rPr>
          <w:sz w:val="15"/>
          <w:szCs w:val="15"/>
          <w:lang w:val="lv-LV"/>
        </w:rPr>
        <w:t xml:space="preserve"> </w:t>
      </w:r>
      <w:hyperlink r:id="rId28" w:history="1">
        <w:r w:rsidRPr="007975F8">
          <w:rPr>
            <w:rStyle w:val="Hyperlink"/>
            <w:sz w:val="15"/>
            <w:szCs w:val="15"/>
            <w:lang w:val="lv-LV"/>
          </w:rPr>
          <w:t>https://globenewswire.com/news-release/2016/06/09/847240/0/en/Nasdaq-Copenhagen-Welcomes-DONG-Energy-To-List-On-Its-Main-Market.html</w:t>
        </w:r>
      </w:hyperlink>
      <w:r w:rsidRPr="007975F8">
        <w:rPr>
          <w:sz w:val="15"/>
          <w:szCs w:val="15"/>
          <w:lang w:val="lv-LV"/>
        </w:rPr>
        <w:t xml:space="preserve"> </w:t>
      </w:r>
    </w:p>
  </w:footnote>
  <w:footnote w:id="32">
    <w:p w14:paraId="524EB8A6" w14:textId="77777777" w:rsidR="00D5124A" w:rsidRPr="007975F8" w:rsidRDefault="00D5124A" w:rsidP="00E46280">
      <w:pPr>
        <w:pStyle w:val="FootnoteText"/>
        <w:rPr>
          <w:sz w:val="15"/>
          <w:szCs w:val="15"/>
          <w:lang w:val="lv-LV"/>
        </w:rPr>
      </w:pPr>
      <w:r w:rsidRPr="007975F8">
        <w:rPr>
          <w:rStyle w:val="FootnoteReference"/>
          <w:sz w:val="15"/>
          <w:szCs w:val="15"/>
          <w:lang w:val="lv-LV"/>
        </w:rPr>
        <w:footnoteRef/>
      </w:r>
      <w:r w:rsidRPr="007975F8">
        <w:rPr>
          <w:sz w:val="15"/>
          <w:szCs w:val="15"/>
          <w:lang w:val="lv-LV"/>
        </w:rPr>
        <w:t xml:space="preserve"> </w:t>
      </w:r>
      <w:hyperlink r:id="rId29" w:history="1">
        <w:r w:rsidRPr="006D4190">
          <w:rPr>
            <w:rStyle w:val="Hyperlink"/>
            <w:sz w:val="15"/>
            <w:szCs w:val="15"/>
            <w:lang w:val="lv-LV"/>
          </w:rPr>
          <w:t>https://globenewswire.com/news-release/2016/06/09/847240/0/en/Nasdaq-Copenhagen-Welcomes-DONG-Energy-To-List-On-Its-Main-Market.html</w:t>
        </w:r>
      </w:hyperlink>
      <w:r>
        <w:rPr>
          <w:sz w:val="15"/>
          <w:szCs w:val="15"/>
          <w:lang w:val="lv-LV"/>
        </w:rPr>
        <w:t xml:space="preserve"> </w:t>
      </w:r>
    </w:p>
  </w:footnote>
  <w:footnote w:id="33">
    <w:p w14:paraId="310E9F2F" w14:textId="77777777" w:rsidR="00D5124A" w:rsidRPr="007975F8" w:rsidRDefault="00D5124A" w:rsidP="00873348">
      <w:pPr>
        <w:pStyle w:val="FootnoteText"/>
        <w:rPr>
          <w:sz w:val="15"/>
          <w:szCs w:val="15"/>
          <w:lang w:val="lv-LV"/>
        </w:rPr>
      </w:pPr>
      <w:r w:rsidRPr="007975F8">
        <w:rPr>
          <w:rStyle w:val="FootnoteReference"/>
          <w:sz w:val="15"/>
          <w:szCs w:val="15"/>
          <w:lang w:val="lv-LV"/>
        </w:rPr>
        <w:footnoteRef/>
      </w:r>
      <w:r w:rsidRPr="007975F8">
        <w:rPr>
          <w:sz w:val="15"/>
          <w:szCs w:val="15"/>
          <w:lang w:val="lv-LV"/>
        </w:rPr>
        <w:t xml:space="preserve"> </w:t>
      </w:r>
      <w:hyperlink r:id="rId30" w:history="1">
        <w:r w:rsidRPr="006D4190">
          <w:rPr>
            <w:rStyle w:val="Hyperlink"/>
            <w:sz w:val="15"/>
            <w:szCs w:val="15"/>
            <w:lang w:val="lv-LV"/>
          </w:rPr>
          <w:t>http://assets.dongenergy.com/DONGEnergyDocuments/com/Investor/Annual_Report/2016/dong_energy_annual_report_summary_en.pdf</w:t>
        </w:r>
      </w:hyperlink>
      <w:r>
        <w:rPr>
          <w:sz w:val="15"/>
          <w:szCs w:val="15"/>
          <w:lang w:val="lv-LV"/>
        </w:rPr>
        <w:t xml:space="preserve"> </w:t>
      </w:r>
    </w:p>
  </w:footnote>
  <w:footnote w:id="34">
    <w:p w14:paraId="18FD909D" w14:textId="77777777" w:rsidR="00D5124A" w:rsidRPr="007975F8" w:rsidRDefault="00D5124A" w:rsidP="00873348">
      <w:pPr>
        <w:pStyle w:val="FootnoteText"/>
        <w:rPr>
          <w:sz w:val="15"/>
          <w:szCs w:val="15"/>
          <w:lang w:val="lv-LV"/>
        </w:rPr>
      </w:pPr>
      <w:r w:rsidRPr="007975F8">
        <w:rPr>
          <w:rStyle w:val="FootnoteReference"/>
          <w:sz w:val="15"/>
          <w:szCs w:val="15"/>
          <w:lang w:val="lv-LV"/>
        </w:rPr>
        <w:footnoteRef/>
      </w:r>
      <w:r w:rsidRPr="007975F8">
        <w:rPr>
          <w:sz w:val="15"/>
          <w:szCs w:val="15"/>
          <w:lang w:val="lv-LV"/>
        </w:rPr>
        <w:t xml:space="preserve"> </w:t>
      </w:r>
      <w:hyperlink r:id="rId31" w:history="1">
        <w:r w:rsidRPr="006D4190">
          <w:rPr>
            <w:rStyle w:val="Hyperlink"/>
            <w:sz w:val="15"/>
            <w:szCs w:val="15"/>
            <w:lang w:val="lv-LV"/>
          </w:rPr>
          <w:t>http://www.dongenergy.com/en/investors/company-announcements/company-announcement-detail?omxid=1462911</w:t>
        </w:r>
      </w:hyperlink>
      <w:r>
        <w:rPr>
          <w:sz w:val="15"/>
          <w:szCs w:val="15"/>
          <w:lang w:val="lv-LV"/>
        </w:rPr>
        <w:t>;</w:t>
      </w:r>
      <w:r w:rsidRPr="007975F8">
        <w:rPr>
          <w:sz w:val="15"/>
          <w:szCs w:val="15"/>
          <w:lang w:val="lv-LV"/>
        </w:rPr>
        <w:t xml:space="preserve"> </w:t>
      </w:r>
      <w:hyperlink r:id="rId32" w:history="1">
        <w:r w:rsidRPr="006D4190">
          <w:rPr>
            <w:rStyle w:val="Hyperlink"/>
            <w:sz w:val="15"/>
            <w:szCs w:val="15"/>
            <w:lang w:val="lv-LV"/>
          </w:rPr>
          <w:t>http://assets.dongenergy.com/DONGEnergyDocuments/com/Investor/Annual_Report/2016/dong_energy_annual_report_summary_en.pdf</w:t>
        </w:r>
      </w:hyperlink>
      <w:r>
        <w:rPr>
          <w:sz w:val="15"/>
          <w:szCs w:val="15"/>
          <w:lang w:val="lv-LV"/>
        </w:rPr>
        <w:t>;</w:t>
      </w:r>
      <w:r w:rsidRPr="007975F8">
        <w:rPr>
          <w:sz w:val="15"/>
          <w:szCs w:val="15"/>
          <w:lang w:val="lv-LV"/>
        </w:rPr>
        <w:t xml:space="preserve"> </w:t>
      </w:r>
      <w:hyperlink r:id="rId33" w:history="1">
        <w:r w:rsidRPr="006D4190">
          <w:rPr>
            <w:rStyle w:val="Hyperlink"/>
            <w:sz w:val="15"/>
            <w:szCs w:val="15"/>
            <w:lang w:val="lv-LV"/>
          </w:rPr>
          <w:t>http://www.dongenergy.com/en/media/the-ipo-of-dong-energy/facts/facts-about-the-owners</w:t>
        </w:r>
      </w:hyperlink>
      <w:r>
        <w:rPr>
          <w:sz w:val="15"/>
          <w:szCs w:val="15"/>
          <w:lang w:val="lv-LV"/>
        </w:rPr>
        <w:t xml:space="preserve"> </w:t>
      </w:r>
    </w:p>
  </w:footnote>
  <w:footnote w:id="35">
    <w:p w14:paraId="52A195E6" w14:textId="77777777" w:rsidR="00D5124A" w:rsidRPr="007975F8" w:rsidRDefault="00D5124A" w:rsidP="00C559E5">
      <w:pPr>
        <w:pStyle w:val="FootnoteText"/>
        <w:rPr>
          <w:sz w:val="15"/>
          <w:szCs w:val="15"/>
          <w:lang w:val="lv-LV"/>
        </w:rPr>
      </w:pPr>
      <w:r w:rsidRPr="007975F8">
        <w:rPr>
          <w:rStyle w:val="FootnoteReference"/>
          <w:sz w:val="15"/>
          <w:szCs w:val="15"/>
          <w:lang w:val="lv-LV"/>
        </w:rPr>
        <w:footnoteRef/>
      </w:r>
      <w:r w:rsidRPr="007975F8">
        <w:rPr>
          <w:sz w:val="15"/>
          <w:szCs w:val="15"/>
          <w:lang w:val="lv-LV"/>
        </w:rPr>
        <w:t xml:space="preserve"> </w:t>
      </w:r>
      <w:hyperlink r:id="rId34" w:history="1">
        <w:r w:rsidRPr="007975F8">
          <w:rPr>
            <w:rStyle w:val="Hyperlink"/>
            <w:sz w:val="15"/>
            <w:szCs w:val="15"/>
            <w:lang w:val="lv-LV"/>
          </w:rPr>
          <w:t>http://top101.lv/lv/top101/2016</w:t>
        </w:r>
      </w:hyperlink>
      <w:r w:rsidRPr="007975F8">
        <w:rPr>
          <w:sz w:val="15"/>
          <w:szCs w:val="15"/>
          <w:lang w:val="lv-LV"/>
        </w:rPr>
        <w:t xml:space="preserve"> </w:t>
      </w:r>
    </w:p>
  </w:footnote>
  <w:footnote w:id="36">
    <w:p w14:paraId="1C00819B" w14:textId="77777777" w:rsidR="00D5124A" w:rsidRPr="007975F8" w:rsidRDefault="00D5124A">
      <w:pPr>
        <w:pStyle w:val="FootnoteText"/>
        <w:rPr>
          <w:sz w:val="15"/>
          <w:szCs w:val="15"/>
          <w:lang w:val="lv-LV"/>
        </w:rPr>
      </w:pPr>
      <w:r w:rsidRPr="007975F8">
        <w:rPr>
          <w:rStyle w:val="FootnoteReference"/>
          <w:sz w:val="15"/>
          <w:szCs w:val="15"/>
          <w:lang w:val="lv-LV"/>
        </w:rPr>
        <w:footnoteRef/>
      </w:r>
      <w:r w:rsidRPr="007975F8">
        <w:rPr>
          <w:sz w:val="15"/>
          <w:szCs w:val="15"/>
          <w:lang w:val="lv-LV"/>
        </w:rPr>
        <w:t xml:space="preserve"> </w:t>
      </w:r>
      <w:hyperlink r:id="rId35" w:history="1">
        <w:r w:rsidRPr="007975F8">
          <w:rPr>
            <w:rStyle w:val="Hyperlink"/>
            <w:sz w:val="15"/>
            <w:szCs w:val="15"/>
            <w:lang w:val="lv-LV"/>
          </w:rPr>
          <w:t>http://providus.lv/upload_file/Publikacijas/2011/VALSTS_UZNEMUMU_PETIJUMS.pdf</w:t>
        </w:r>
      </w:hyperlink>
      <w:r w:rsidRPr="007975F8">
        <w:rPr>
          <w:sz w:val="15"/>
          <w:szCs w:val="15"/>
          <w:lang w:val="lv-LV"/>
        </w:rPr>
        <w:t xml:space="preserve">, </w:t>
      </w:r>
      <w:r w:rsidRPr="007975F8">
        <w:rPr>
          <w:i/>
          <w:sz w:val="15"/>
          <w:szCs w:val="15"/>
          <w:lang w:val="lv-LV"/>
        </w:rPr>
        <w:t>88.lapa</w:t>
      </w:r>
      <w:r w:rsidRPr="007975F8">
        <w:rPr>
          <w:sz w:val="15"/>
          <w:szCs w:val="15"/>
          <w:lang w:val="lv-LV"/>
        </w:rPr>
        <w:t xml:space="preserve"> </w:t>
      </w:r>
    </w:p>
  </w:footnote>
  <w:footnote w:id="37">
    <w:p w14:paraId="210E6571" w14:textId="40A7CB81" w:rsidR="00D5124A" w:rsidRPr="006B6593" w:rsidRDefault="00D5124A">
      <w:pPr>
        <w:pStyle w:val="FootnoteText"/>
        <w:rPr>
          <w:lang w:val="lv-LV"/>
        </w:rPr>
      </w:pPr>
      <w:r>
        <w:rPr>
          <w:rStyle w:val="FootnoteReference"/>
        </w:rPr>
        <w:footnoteRef/>
      </w:r>
      <w:r w:rsidRPr="006B6593">
        <w:rPr>
          <w:lang w:val="lv-LV"/>
        </w:rPr>
        <w:t xml:space="preserve"> </w:t>
      </w:r>
      <w:hyperlink r:id="rId36" w:history="1">
        <w:r w:rsidRPr="006B6593">
          <w:rPr>
            <w:rStyle w:val="Hyperlink"/>
            <w:sz w:val="15"/>
            <w:szCs w:val="15"/>
            <w:lang w:val="lv-LV"/>
          </w:rPr>
          <w:t>https://likumi.lv/ta/id/289590-par-finansu-sektora-attistibas-planu-2017-2019-gadam</w:t>
        </w:r>
      </w:hyperlink>
      <w:r>
        <w:rPr>
          <w:lang w:val="lv-LV"/>
        </w:rPr>
        <w:t xml:space="preserve"> </w:t>
      </w:r>
    </w:p>
  </w:footnote>
  <w:footnote w:id="38">
    <w:p w14:paraId="63631E22" w14:textId="77777777" w:rsidR="00D5124A" w:rsidRPr="007975F8" w:rsidRDefault="00D5124A" w:rsidP="007D7ACE">
      <w:pPr>
        <w:pStyle w:val="NoSpacing"/>
        <w:rPr>
          <w:sz w:val="15"/>
          <w:szCs w:val="15"/>
          <w:lang w:val="lv-LV"/>
        </w:rPr>
      </w:pPr>
      <w:r w:rsidRPr="007975F8">
        <w:rPr>
          <w:rStyle w:val="FootnoteReference"/>
          <w:sz w:val="15"/>
          <w:szCs w:val="15"/>
          <w:lang w:val="lv-LV"/>
        </w:rPr>
        <w:footnoteRef/>
      </w:r>
      <w:r w:rsidRPr="007975F8">
        <w:rPr>
          <w:sz w:val="15"/>
          <w:szCs w:val="15"/>
          <w:lang w:val="lv-LV"/>
        </w:rPr>
        <w:t xml:space="preserve"> Vienne Initiative Working Group on CMU discussion in Brussels, 4.04.2017, session II, speaker Marcin Seniuk.</w:t>
      </w:r>
    </w:p>
  </w:footnote>
  <w:footnote w:id="39">
    <w:p w14:paraId="6C87F662" w14:textId="77777777" w:rsidR="00D5124A" w:rsidRPr="007975F8" w:rsidRDefault="00D5124A">
      <w:pPr>
        <w:pStyle w:val="FootnoteText"/>
        <w:rPr>
          <w:lang w:val="lv-LV"/>
        </w:rPr>
      </w:pPr>
      <w:r w:rsidRPr="007975F8">
        <w:rPr>
          <w:rStyle w:val="FootnoteReference"/>
          <w:lang w:val="lv-LV"/>
        </w:rPr>
        <w:footnoteRef/>
      </w:r>
      <w:r w:rsidRPr="007975F8">
        <w:rPr>
          <w:lang w:val="lv-LV"/>
        </w:rPr>
        <w:t xml:space="preserve"> </w:t>
      </w:r>
      <w:hyperlink r:id="rId37" w:history="1">
        <w:r w:rsidRPr="007975F8">
          <w:rPr>
            <w:rStyle w:val="Hyperlink"/>
            <w:sz w:val="15"/>
            <w:szCs w:val="15"/>
            <w:lang w:val="lv-LV"/>
          </w:rPr>
          <w:t>https://www.msci.com/documents/10199/15aa5e1b-ce17-4f8f-837a-022168bb069b</w:t>
        </w:r>
      </w:hyperlink>
      <w:r w:rsidRPr="007975F8">
        <w:rPr>
          <w:lang w:val="lv-LV"/>
        </w:rPr>
        <w:t xml:space="preserve"> </w:t>
      </w:r>
    </w:p>
  </w:footnote>
  <w:footnote w:id="40">
    <w:p w14:paraId="37040D5B" w14:textId="77777777" w:rsidR="00D5124A" w:rsidRPr="007975F8" w:rsidRDefault="00D5124A">
      <w:pPr>
        <w:pStyle w:val="FootnoteText"/>
        <w:rPr>
          <w:lang w:val="lv-LV"/>
        </w:rPr>
      </w:pPr>
      <w:r w:rsidRPr="007975F8">
        <w:rPr>
          <w:rStyle w:val="FootnoteReference"/>
          <w:lang w:val="lv-LV"/>
        </w:rPr>
        <w:footnoteRef/>
      </w:r>
      <w:r w:rsidRPr="007975F8">
        <w:rPr>
          <w:lang w:val="lv-LV"/>
        </w:rPr>
        <w:t xml:space="preserve"> </w:t>
      </w:r>
      <w:r w:rsidRPr="007975F8">
        <w:rPr>
          <w:sz w:val="15"/>
          <w:szCs w:val="15"/>
          <w:lang w:val="lv-LV"/>
        </w:rPr>
        <w:t>Iedzīvotāju attieksme pret valsts lielo uzņēmumu kotēšanu biržā, pētījumu centrs SIA “SKDS”, 2017. Izlases apjoms: 1005 respondenti</w:t>
      </w:r>
    </w:p>
  </w:footnote>
  <w:footnote w:id="41">
    <w:p w14:paraId="31812A5C" w14:textId="77777777" w:rsidR="00D5124A" w:rsidRPr="007975F8" w:rsidRDefault="00D5124A" w:rsidP="00C16FD2">
      <w:pPr>
        <w:pStyle w:val="FootnoteText"/>
        <w:rPr>
          <w:sz w:val="15"/>
          <w:szCs w:val="15"/>
          <w:lang w:val="lv-LV"/>
        </w:rPr>
      </w:pPr>
      <w:r w:rsidRPr="007975F8">
        <w:rPr>
          <w:rStyle w:val="FootnoteReference"/>
          <w:sz w:val="15"/>
          <w:szCs w:val="15"/>
          <w:lang w:val="lv-LV"/>
        </w:rPr>
        <w:footnoteRef/>
      </w:r>
      <w:r w:rsidRPr="007975F8">
        <w:rPr>
          <w:sz w:val="15"/>
          <w:szCs w:val="15"/>
          <w:lang w:val="lv-LV"/>
        </w:rPr>
        <w:t xml:space="preserve"> http://tap.mk.gov.lv/lv/mk/tap/?pid=40405541&amp;mode=mk&amp;date=2017-02-28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664C6"/>
    <w:multiLevelType w:val="hybridMultilevel"/>
    <w:tmpl w:val="9C60B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C914C7"/>
    <w:multiLevelType w:val="hybridMultilevel"/>
    <w:tmpl w:val="4F4A5AD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5F10C7E"/>
    <w:multiLevelType w:val="hybridMultilevel"/>
    <w:tmpl w:val="DACA099A"/>
    <w:lvl w:ilvl="0" w:tplc="85987F1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A33EA1"/>
    <w:multiLevelType w:val="multilevel"/>
    <w:tmpl w:val="F0D830F0"/>
    <w:lvl w:ilvl="0">
      <w:start w:val="1"/>
      <w:numFmt w:val="lowerLetter"/>
      <w:lvlText w:val="%1)"/>
      <w:lvlJc w:val="left"/>
      <w:pPr>
        <w:ind w:left="786" w:hanging="360"/>
      </w:pPr>
    </w:lvl>
    <w:lvl w:ilvl="1">
      <w:start w:val="1"/>
      <w:numFmt w:val="decimal"/>
      <w:lvlText w:val="%1.%2."/>
      <w:lvlJc w:val="left"/>
      <w:pPr>
        <w:ind w:left="1218" w:hanging="432"/>
      </w:pPr>
    </w:lvl>
    <w:lvl w:ilvl="2">
      <w:start w:val="1"/>
      <w:numFmt w:val="decimal"/>
      <w:lvlText w:val="%1.%2.%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4">
    <w:nsid w:val="080137CF"/>
    <w:multiLevelType w:val="hybridMultilevel"/>
    <w:tmpl w:val="96769F4A"/>
    <w:lvl w:ilvl="0" w:tplc="8B245820">
      <w:start w:val="1"/>
      <w:numFmt w:val="bullet"/>
      <w:lvlText w:val="•"/>
      <w:lvlJc w:val="left"/>
      <w:pPr>
        <w:tabs>
          <w:tab w:val="num" w:pos="720"/>
        </w:tabs>
        <w:ind w:left="720" w:hanging="360"/>
      </w:pPr>
      <w:rPr>
        <w:rFonts w:ascii="Arial" w:hAnsi="Arial" w:hint="default"/>
      </w:rPr>
    </w:lvl>
    <w:lvl w:ilvl="1" w:tplc="505ADF5A" w:tentative="1">
      <w:start w:val="1"/>
      <w:numFmt w:val="bullet"/>
      <w:lvlText w:val="•"/>
      <w:lvlJc w:val="left"/>
      <w:pPr>
        <w:tabs>
          <w:tab w:val="num" w:pos="1440"/>
        </w:tabs>
        <w:ind w:left="1440" w:hanging="360"/>
      </w:pPr>
      <w:rPr>
        <w:rFonts w:ascii="Arial" w:hAnsi="Arial" w:hint="default"/>
      </w:rPr>
    </w:lvl>
    <w:lvl w:ilvl="2" w:tplc="2000030C" w:tentative="1">
      <w:start w:val="1"/>
      <w:numFmt w:val="bullet"/>
      <w:lvlText w:val="•"/>
      <w:lvlJc w:val="left"/>
      <w:pPr>
        <w:tabs>
          <w:tab w:val="num" w:pos="2160"/>
        </w:tabs>
        <w:ind w:left="2160" w:hanging="360"/>
      </w:pPr>
      <w:rPr>
        <w:rFonts w:ascii="Arial" w:hAnsi="Arial" w:hint="default"/>
      </w:rPr>
    </w:lvl>
    <w:lvl w:ilvl="3" w:tplc="39D04EF8" w:tentative="1">
      <w:start w:val="1"/>
      <w:numFmt w:val="bullet"/>
      <w:lvlText w:val="•"/>
      <w:lvlJc w:val="left"/>
      <w:pPr>
        <w:tabs>
          <w:tab w:val="num" w:pos="2880"/>
        </w:tabs>
        <w:ind w:left="2880" w:hanging="360"/>
      </w:pPr>
      <w:rPr>
        <w:rFonts w:ascii="Arial" w:hAnsi="Arial" w:hint="default"/>
      </w:rPr>
    </w:lvl>
    <w:lvl w:ilvl="4" w:tplc="0C78C4D4" w:tentative="1">
      <w:start w:val="1"/>
      <w:numFmt w:val="bullet"/>
      <w:lvlText w:val="•"/>
      <w:lvlJc w:val="left"/>
      <w:pPr>
        <w:tabs>
          <w:tab w:val="num" w:pos="3600"/>
        </w:tabs>
        <w:ind w:left="3600" w:hanging="360"/>
      </w:pPr>
      <w:rPr>
        <w:rFonts w:ascii="Arial" w:hAnsi="Arial" w:hint="default"/>
      </w:rPr>
    </w:lvl>
    <w:lvl w:ilvl="5" w:tplc="9A0AEE64" w:tentative="1">
      <w:start w:val="1"/>
      <w:numFmt w:val="bullet"/>
      <w:lvlText w:val="•"/>
      <w:lvlJc w:val="left"/>
      <w:pPr>
        <w:tabs>
          <w:tab w:val="num" w:pos="4320"/>
        </w:tabs>
        <w:ind w:left="4320" w:hanging="360"/>
      </w:pPr>
      <w:rPr>
        <w:rFonts w:ascii="Arial" w:hAnsi="Arial" w:hint="default"/>
      </w:rPr>
    </w:lvl>
    <w:lvl w:ilvl="6" w:tplc="1AAA663E" w:tentative="1">
      <w:start w:val="1"/>
      <w:numFmt w:val="bullet"/>
      <w:lvlText w:val="•"/>
      <w:lvlJc w:val="left"/>
      <w:pPr>
        <w:tabs>
          <w:tab w:val="num" w:pos="5040"/>
        </w:tabs>
        <w:ind w:left="5040" w:hanging="360"/>
      </w:pPr>
      <w:rPr>
        <w:rFonts w:ascii="Arial" w:hAnsi="Arial" w:hint="default"/>
      </w:rPr>
    </w:lvl>
    <w:lvl w:ilvl="7" w:tplc="D7320FF6" w:tentative="1">
      <w:start w:val="1"/>
      <w:numFmt w:val="bullet"/>
      <w:lvlText w:val="•"/>
      <w:lvlJc w:val="left"/>
      <w:pPr>
        <w:tabs>
          <w:tab w:val="num" w:pos="5760"/>
        </w:tabs>
        <w:ind w:left="5760" w:hanging="360"/>
      </w:pPr>
      <w:rPr>
        <w:rFonts w:ascii="Arial" w:hAnsi="Arial" w:hint="default"/>
      </w:rPr>
    </w:lvl>
    <w:lvl w:ilvl="8" w:tplc="ADBED5CA" w:tentative="1">
      <w:start w:val="1"/>
      <w:numFmt w:val="bullet"/>
      <w:lvlText w:val="•"/>
      <w:lvlJc w:val="left"/>
      <w:pPr>
        <w:tabs>
          <w:tab w:val="num" w:pos="6480"/>
        </w:tabs>
        <w:ind w:left="6480" w:hanging="360"/>
      </w:pPr>
      <w:rPr>
        <w:rFonts w:ascii="Arial" w:hAnsi="Arial" w:hint="default"/>
      </w:rPr>
    </w:lvl>
  </w:abstractNum>
  <w:abstractNum w:abstractNumId="5">
    <w:nsid w:val="0CF1380B"/>
    <w:multiLevelType w:val="multilevel"/>
    <w:tmpl w:val="5762B5E6"/>
    <w:lvl w:ilvl="0">
      <w:start w:val="1"/>
      <w:numFmt w:val="lowerLetter"/>
      <w:lvlText w:val="%1)"/>
      <w:lvlJc w:val="left"/>
      <w:pPr>
        <w:ind w:left="786" w:hanging="360"/>
      </w:pPr>
    </w:lvl>
    <w:lvl w:ilvl="1">
      <w:start w:val="1"/>
      <w:numFmt w:val="decimal"/>
      <w:lvlText w:val="%1.%2."/>
      <w:lvlJc w:val="left"/>
      <w:pPr>
        <w:ind w:left="1218" w:hanging="432"/>
      </w:pPr>
    </w:lvl>
    <w:lvl w:ilvl="2">
      <w:start w:val="1"/>
      <w:numFmt w:val="decimal"/>
      <w:lvlText w:val="%1.%2.%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6">
    <w:nsid w:val="0ED0682D"/>
    <w:multiLevelType w:val="hybridMultilevel"/>
    <w:tmpl w:val="B1E0647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nsid w:val="14DC7D69"/>
    <w:multiLevelType w:val="hybridMultilevel"/>
    <w:tmpl w:val="285EF50E"/>
    <w:lvl w:ilvl="0" w:tplc="85987F1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B53134"/>
    <w:multiLevelType w:val="hybridMultilevel"/>
    <w:tmpl w:val="91BA2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C91E75"/>
    <w:multiLevelType w:val="hybridMultilevel"/>
    <w:tmpl w:val="56F0C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C71584E"/>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1">
    <w:nsid w:val="24AA5008"/>
    <w:multiLevelType w:val="hybridMultilevel"/>
    <w:tmpl w:val="8E6076A0"/>
    <w:lvl w:ilvl="0" w:tplc="F800BC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0B2B5B"/>
    <w:multiLevelType w:val="hybridMultilevel"/>
    <w:tmpl w:val="EF2E74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415A38"/>
    <w:multiLevelType w:val="hybridMultilevel"/>
    <w:tmpl w:val="A8D44720"/>
    <w:lvl w:ilvl="0" w:tplc="85987F1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F51B5A"/>
    <w:multiLevelType w:val="hybridMultilevel"/>
    <w:tmpl w:val="9C6A139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2EA815DC"/>
    <w:multiLevelType w:val="hybridMultilevel"/>
    <w:tmpl w:val="8410D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CB5D6C"/>
    <w:multiLevelType w:val="hybridMultilevel"/>
    <w:tmpl w:val="6E203084"/>
    <w:lvl w:ilvl="0" w:tplc="ACE671B4">
      <w:start w:val="1"/>
      <w:numFmt w:val="bullet"/>
      <w:lvlText w:val="•"/>
      <w:lvlJc w:val="left"/>
      <w:pPr>
        <w:tabs>
          <w:tab w:val="num" w:pos="360"/>
        </w:tabs>
        <w:ind w:left="360" w:hanging="360"/>
      </w:pPr>
      <w:rPr>
        <w:rFonts w:ascii="Arial" w:hAnsi="Arial" w:hint="default"/>
      </w:rPr>
    </w:lvl>
    <w:lvl w:ilvl="1" w:tplc="7304E3D6" w:tentative="1">
      <w:start w:val="1"/>
      <w:numFmt w:val="bullet"/>
      <w:lvlText w:val="•"/>
      <w:lvlJc w:val="left"/>
      <w:pPr>
        <w:tabs>
          <w:tab w:val="num" w:pos="1080"/>
        </w:tabs>
        <w:ind w:left="1080" w:hanging="360"/>
      </w:pPr>
      <w:rPr>
        <w:rFonts w:ascii="Arial" w:hAnsi="Arial" w:hint="default"/>
      </w:rPr>
    </w:lvl>
    <w:lvl w:ilvl="2" w:tplc="3410C746" w:tentative="1">
      <w:start w:val="1"/>
      <w:numFmt w:val="bullet"/>
      <w:lvlText w:val="•"/>
      <w:lvlJc w:val="left"/>
      <w:pPr>
        <w:tabs>
          <w:tab w:val="num" w:pos="1800"/>
        </w:tabs>
        <w:ind w:left="1800" w:hanging="360"/>
      </w:pPr>
      <w:rPr>
        <w:rFonts w:ascii="Arial" w:hAnsi="Arial" w:hint="default"/>
      </w:rPr>
    </w:lvl>
    <w:lvl w:ilvl="3" w:tplc="622A853E" w:tentative="1">
      <w:start w:val="1"/>
      <w:numFmt w:val="bullet"/>
      <w:lvlText w:val="•"/>
      <w:lvlJc w:val="left"/>
      <w:pPr>
        <w:tabs>
          <w:tab w:val="num" w:pos="2520"/>
        </w:tabs>
        <w:ind w:left="2520" w:hanging="360"/>
      </w:pPr>
      <w:rPr>
        <w:rFonts w:ascii="Arial" w:hAnsi="Arial" w:hint="default"/>
      </w:rPr>
    </w:lvl>
    <w:lvl w:ilvl="4" w:tplc="43C08342" w:tentative="1">
      <w:start w:val="1"/>
      <w:numFmt w:val="bullet"/>
      <w:lvlText w:val="•"/>
      <w:lvlJc w:val="left"/>
      <w:pPr>
        <w:tabs>
          <w:tab w:val="num" w:pos="3240"/>
        </w:tabs>
        <w:ind w:left="3240" w:hanging="360"/>
      </w:pPr>
      <w:rPr>
        <w:rFonts w:ascii="Arial" w:hAnsi="Arial" w:hint="default"/>
      </w:rPr>
    </w:lvl>
    <w:lvl w:ilvl="5" w:tplc="EF2889FE" w:tentative="1">
      <w:start w:val="1"/>
      <w:numFmt w:val="bullet"/>
      <w:lvlText w:val="•"/>
      <w:lvlJc w:val="left"/>
      <w:pPr>
        <w:tabs>
          <w:tab w:val="num" w:pos="3960"/>
        </w:tabs>
        <w:ind w:left="3960" w:hanging="360"/>
      </w:pPr>
      <w:rPr>
        <w:rFonts w:ascii="Arial" w:hAnsi="Arial" w:hint="default"/>
      </w:rPr>
    </w:lvl>
    <w:lvl w:ilvl="6" w:tplc="6ED68440" w:tentative="1">
      <w:start w:val="1"/>
      <w:numFmt w:val="bullet"/>
      <w:lvlText w:val="•"/>
      <w:lvlJc w:val="left"/>
      <w:pPr>
        <w:tabs>
          <w:tab w:val="num" w:pos="4680"/>
        </w:tabs>
        <w:ind w:left="4680" w:hanging="360"/>
      </w:pPr>
      <w:rPr>
        <w:rFonts w:ascii="Arial" w:hAnsi="Arial" w:hint="default"/>
      </w:rPr>
    </w:lvl>
    <w:lvl w:ilvl="7" w:tplc="2B6C124C" w:tentative="1">
      <w:start w:val="1"/>
      <w:numFmt w:val="bullet"/>
      <w:lvlText w:val="•"/>
      <w:lvlJc w:val="left"/>
      <w:pPr>
        <w:tabs>
          <w:tab w:val="num" w:pos="5400"/>
        </w:tabs>
        <w:ind w:left="5400" w:hanging="360"/>
      </w:pPr>
      <w:rPr>
        <w:rFonts w:ascii="Arial" w:hAnsi="Arial" w:hint="default"/>
      </w:rPr>
    </w:lvl>
    <w:lvl w:ilvl="8" w:tplc="33DA7D18" w:tentative="1">
      <w:start w:val="1"/>
      <w:numFmt w:val="bullet"/>
      <w:lvlText w:val="•"/>
      <w:lvlJc w:val="left"/>
      <w:pPr>
        <w:tabs>
          <w:tab w:val="num" w:pos="6120"/>
        </w:tabs>
        <w:ind w:left="6120" w:hanging="360"/>
      </w:pPr>
      <w:rPr>
        <w:rFonts w:ascii="Arial" w:hAnsi="Arial" w:hint="default"/>
      </w:rPr>
    </w:lvl>
  </w:abstractNum>
  <w:abstractNum w:abstractNumId="17">
    <w:nsid w:val="312F1634"/>
    <w:multiLevelType w:val="hybridMultilevel"/>
    <w:tmpl w:val="1A76A8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DD2ACB"/>
    <w:multiLevelType w:val="hybridMultilevel"/>
    <w:tmpl w:val="D16CA5C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9">
    <w:nsid w:val="3BAA244E"/>
    <w:multiLevelType w:val="multilevel"/>
    <w:tmpl w:val="0409001F"/>
    <w:lvl w:ilvl="0">
      <w:start w:val="1"/>
      <w:numFmt w:val="decimal"/>
      <w:lvlText w:val="%1."/>
      <w:lvlJc w:val="left"/>
      <w:pPr>
        <w:ind w:left="786" w:hanging="360"/>
      </w:pPr>
    </w:lvl>
    <w:lvl w:ilvl="1">
      <w:start w:val="1"/>
      <w:numFmt w:val="decimal"/>
      <w:lvlText w:val="%1.%2."/>
      <w:lvlJc w:val="left"/>
      <w:pPr>
        <w:ind w:left="1218" w:hanging="432"/>
      </w:pPr>
    </w:lvl>
    <w:lvl w:ilvl="2">
      <w:start w:val="1"/>
      <w:numFmt w:val="decimal"/>
      <w:lvlText w:val="%1.%2.%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20">
    <w:nsid w:val="3BC53320"/>
    <w:multiLevelType w:val="hybridMultilevel"/>
    <w:tmpl w:val="E56C0462"/>
    <w:lvl w:ilvl="0" w:tplc="69E85BA0">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340339C"/>
    <w:multiLevelType w:val="hybridMultilevel"/>
    <w:tmpl w:val="3FE47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7C6BC1"/>
    <w:multiLevelType w:val="hybridMultilevel"/>
    <w:tmpl w:val="18D40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D672EF5"/>
    <w:multiLevelType w:val="hybridMultilevel"/>
    <w:tmpl w:val="69F2E39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4E351ECE"/>
    <w:multiLevelType w:val="hybridMultilevel"/>
    <w:tmpl w:val="7C16BF4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322138F"/>
    <w:multiLevelType w:val="hybridMultilevel"/>
    <w:tmpl w:val="7CE2654C"/>
    <w:lvl w:ilvl="0" w:tplc="681E9C52">
      <w:numFmt w:val="bullet"/>
      <w:lvlText w:val="-"/>
      <w:lvlJc w:val="left"/>
      <w:pPr>
        <w:ind w:left="720" w:hanging="360"/>
      </w:pPr>
      <w:rPr>
        <w:rFonts w:ascii="Segoe UI" w:eastAsiaTheme="minorHAnsi" w:hAnsi="Segoe UI" w:cs="Segoe UI" w:hint="default"/>
        <w:color w:val="212121"/>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nsid w:val="568B5E09"/>
    <w:multiLevelType w:val="hybridMultilevel"/>
    <w:tmpl w:val="8092F7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7C55676"/>
    <w:multiLevelType w:val="hybridMultilevel"/>
    <w:tmpl w:val="5C12A9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A344098"/>
    <w:multiLevelType w:val="multilevel"/>
    <w:tmpl w:val="0409001F"/>
    <w:lvl w:ilvl="0">
      <w:start w:val="1"/>
      <w:numFmt w:val="decimal"/>
      <w:lvlText w:val="%1."/>
      <w:lvlJc w:val="left"/>
      <w:pPr>
        <w:ind w:left="786" w:hanging="360"/>
      </w:pPr>
    </w:lvl>
    <w:lvl w:ilvl="1">
      <w:start w:val="1"/>
      <w:numFmt w:val="decimal"/>
      <w:lvlText w:val="%1.%2."/>
      <w:lvlJc w:val="left"/>
      <w:pPr>
        <w:ind w:left="1218" w:hanging="432"/>
      </w:pPr>
    </w:lvl>
    <w:lvl w:ilvl="2">
      <w:start w:val="1"/>
      <w:numFmt w:val="decimal"/>
      <w:lvlText w:val="%1.%2.%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29">
    <w:nsid w:val="64805E4E"/>
    <w:multiLevelType w:val="multilevel"/>
    <w:tmpl w:val="3E3AB870"/>
    <w:lvl w:ilvl="0">
      <w:start w:val="1"/>
      <w:numFmt w:val="lowerLetter"/>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0">
    <w:nsid w:val="68B82AD5"/>
    <w:multiLevelType w:val="hybridMultilevel"/>
    <w:tmpl w:val="CA8A897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6B0D2943"/>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2">
    <w:nsid w:val="6F431B9B"/>
    <w:multiLevelType w:val="hybridMultilevel"/>
    <w:tmpl w:val="9C4EFCA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3">
    <w:nsid w:val="726B337B"/>
    <w:multiLevelType w:val="hybridMultilevel"/>
    <w:tmpl w:val="467086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nsid w:val="74855D7B"/>
    <w:multiLevelType w:val="hybridMultilevel"/>
    <w:tmpl w:val="2654B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65559CE"/>
    <w:multiLevelType w:val="hybridMultilevel"/>
    <w:tmpl w:val="BB4AB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F5356A8"/>
    <w:multiLevelType w:val="hybridMultilevel"/>
    <w:tmpl w:val="28CC66B2"/>
    <w:lvl w:ilvl="0" w:tplc="5114E00E">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7"/>
  </w:num>
  <w:num w:numId="3">
    <w:abstractNumId w:val="13"/>
  </w:num>
  <w:num w:numId="4">
    <w:abstractNumId w:val="32"/>
  </w:num>
  <w:num w:numId="5">
    <w:abstractNumId w:val="6"/>
  </w:num>
  <w:num w:numId="6">
    <w:abstractNumId w:val="18"/>
  </w:num>
  <w:num w:numId="7">
    <w:abstractNumId w:val="34"/>
  </w:num>
  <w:num w:numId="8">
    <w:abstractNumId w:val="8"/>
  </w:num>
  <w:num w:numId="9">
    <w:abstractNumId w:val="11"/>
  </w:num>
  <w:num w:numId="10">
    <w:abstractNumId w:val="22"/>
  </w:num>
  <w:num w:numId="11">
    <w:abstractNumId w:val="17"/>
  </w:num>
  <w:num w:numId="12">
    <w:abstractNumId w:val="10"/>
  </w:num>
  <w:num w:numId="13">
    <w:abstractNumId w:val="31"/>
  </w:num>
  <w:num w:numId="14">
    <w:abstractNumId w:val="19"/>
  </w:num>
  <w:num w:numId="15">
    <w:abstractNumId w:val="28"/>
  </w:num>
  <w:num w:numId="16">
    <w:abstractNumId w:val="35"/>
  </w:num>
  <w:num w:numId="17">
    <w:abstractNumId w:val="21"/>
  </w:num>
  <w:num w:numId="18">
    <w:abstractNumId w:val="27"/>
  </w:num>
  <w:num w:numId="19">
    <w:abstractNumId w:val="20"/>
  </w:num>
  <w:num w:numId="20">
    <w:abstractNumId w:val="24"/>
  </w:num>
  <w:num w:numId="21">
    <w:abstractNumId w:val="29"/>
  </w:num>
  <w:num w:numId="22">
    <w:abstractNumId w:val="5"/>
  </w:num>
  <w:num w:numId="23">
    <w:abstractNumId w:val="3"/>
  </w:num>
  <w:num w:numId="24">
    <w:abstractNumId w:val="12"/>
  </w:num>
  <w:num w:numId="25">
    <w:abstractNumId w:val="4"/>
  </w:num>
  <w:num w:numId="26">
    <w:abstractNumId w:val="16"/>
  </w:num>
  <w:num w:numId="27">
    <w:abstractNumId w:val="15"/>
  </w:num>
  <w:num w:numId="28">
    <w:abstractNumId w:val="26"/>
  </w:num>
  <w:num w:numId="29">
    <w:abstractNumId w:val="9"/>
  </w:num>
  <w:num w:numId="30">
    <w:abstractNumId w:val="0"/>
  </w:num>
  <w:num w:numId="31">
    <w:abstractNumId w:val="23"/>
  </w:num>
  <w:num w:numId="32">
    <w:abstractNumId w:val="1"/>
  </w:num>
  <w:num w:numId="33">
    <w:abstractNumId w:val="25"/>
  </w:num>
  <w:num w:numId="34">
    <w:abstractNumId w:val="33"/>
  </w:num>
  <w:num w:numId="35">
    <w:abstractNumId w:val="14"/>
  </w:num>
  <w:num w:numId="36">
    <w:abstractNumId w:val="36"/>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82A"/>
    <w:rsid w:val="00000CD1"/>
    <w:rsid w:val="0000369E"/>
    <w:rsid w:val="00010BE9"/>
    <w:rsid w:val="00010F08"/>
    <w:rsid w:val="00012B4A"/>
    <w:rsid w:val="000174D1"/>
    <w:rsid w:val="00017995"/>
    <w:rsid w:val="00025929"/>
    <w:rsid w:val="00025B8D"/>
    <w:rsid w:val="000313B6"/>
    <w:rsid w:val="00031BE2"/>
    <w:rsid w:val="00031C94"/>
    <w:rsid w:val="00033284"/>
    <w:rsid w:val="0003663A"/>
    <w:rsid w:val="00036EB7"/>
    <w:rsid w:val="000404EA"/>
    <w:rsid w:val="00040A10"/>
    <w:rsid w:val="00040DB3"/>
    <w:rsid w:val="00041785"/>
    <w:rsid w:val="000442F0"/>
    <w:rsid w:val="00044ED5"/>
    <w:rsid w:val="00046BC5"/>
    <w:rsid w:val="00047F75"/>
    <w:rsid w:val="00052D01"/>
    <w:rsid w:val="000551BF"/>
    <w:rsid w:val="00055557"/>
    <w:rsid w:val="0005602B"/>
    <w:rsid w:val="00057B3C"/>
    <w:rsid w:val="000609FD"/>
    <w:rsid w:val="000636B1"/>
    <w:rsid w:val="000676EC"/>
    <w:rsid w:val="00067B81"/>
    <w:rsid w:val="00067F64"/>
    <w:rsid w:val="00070AEA"/>
    <w:rsid w:val="0007165F"/>
    <w:rsid w:val="000728D4"/>
    <w:rsid w:val="000744E9"/>
    <w:rsid w:val="0007725A"/>
    <w:rsid w:val="0008048E"/>
    <w:rsid w:val="00082E96"/>
    <w:rsid w:val="0008471E"/>
    <w:rsid w:val="000865B0"/>
    <w:rsid w:val="000903CF"/>
    <w:rsid w:val="0009061C"/>
    <w:rsid w:val="00093582"/>
    <w:rsid w:val="00094FC3"/>
    <w:rsid w:val="00096130"/>
    <w:rsid w:val="00097DC1"/>
    <w:rsid w:val="000A0EB0"/>
    <w:rsid w:val="000A4320"/>
    <w:rsid w:val="000A49BB"/>
    <w:rsid w:val="000A62D0"/>
    <w:rsid w:val="000A67FB"/>
    <w:rsid w:val="000A6B58"/>
    <w:rsid w:val="000A7AB5"/>
    <w:rsid w:val="000B11F6"/>
    <w:rsid w:val="000B4985"/>
    <w:rsid w:val="000B7027"/>
    <w:rsid w:val="000C52F1"/>
    <w:rsid w:val="000C5BD7"/>
    <w:rsid w:val="000D39BC"/>
    <w:rsid w:val="000D465F"/>
    <w:rsid w:val="000D59A8"/>
    <w:rsid w:val="000D7384"/>
    <w:rsid w:val="000D7C38"/>
    <w:rsid w:val="000E3953"/>
    <w:rsid w:val="000E3B8D"/>
    <w:rsid w:val="000F2ADE"/>
    <w:rsid w:val="000F686E"/>
    <w:rsid w:val="00110569"/>
    <w:rsid w:val="00117DA1"/>
    <w:rsid w:val="00117E98"/>
    <w:rsid w:val="00120150"/>
    <w:rsid w:val="00126B41"/>
    <w:rsid w:val="001307B2"/>
    <w:rsid w:val="00135864"/>
    <w:rsid w:val="00136935"/>
    <w:rsid w:val="001420E8"/>
    <w:rsid w:val="00151899"/>
    <w:rsid w:val="00157CE6"/>
    <w:rsid w:val="0016111B"/>
    <w:rsid w:val="0016182A"/>
    <w:rsid w:val="00162C4F"/>
    <w:rsid w:val="001631D1"/>
    <w:rsid w:val="00164778"/>
    <w:rsid w:val="00164B66"/>
    <w:rsid w:val="00166EE8"/>
    <w:rsid w:val="0017545E"/>
    <w:rsid w:val="00175619"/>
    <w:rsid w:val="00176731"/>
    <w:rsid w:val="00182450"/>
    <w:rsid w:val="00185379"/>
    <w:rsid w:val="0018715F"/>
    <w:rsid w:val="0019117F"/>
    <w:rsid w:val="00192D2A"/>
    <w:rsid w:val="001955F0"/>
    <w:rsid w:val="001A0691"/>
    <w:rsid w:val="001A5C08"/>
    <w:rsid w:val="001A6FAC"/>
    <w:rsid w:val="001A7D2F"/>
    <w:rsid w:val="001B0AB2"/>
    <w:rsid w:val="001B24E3"/>
    <w:rsid w:val="001B5276"/>
    <w:rsid w:val="001B76B2"/>
    <w:rsid w:val="001C35C8"/>
    <w:rsid w:val="001D0305"/>
    <w:rsid w:val="001D707C"/>
    <w:rsid w:val="001E3557"/>
    <w:rsid w:val="001F49C6"/>
    <w:rsid w:val="00200718"/>
    <w:rsid w:val="00203A7A"/>
    <w:rsid w:val="0020688D"/>
    <w:rsid w:val="00207E16"/>
    <w:rsid w:val="00210589"/>
    <w:rsid w:val="0021126C"/>
    <w:rsid w:val="00211F90"/>
    <w:rsid w:val="00213861"/>
    <w:rsid w:val="00221739"/>
    <w:rsid w:val="00225843"/>
    <w:rsid w:val="00241065"/>
    <w:rsid w:val="00255687"/>
    <w:rsid w:val="00256D40"/>
    <w:rsid w:val="0025741B"/>
    <w:rsid w:val="0026215A"/>
    <w:rsid w:val="00265C45"/>
    <w:rsid w:val="002711D4"/>
    <w:rsid w:val="002712AB"/>
    <w:rsid w:val="00275468"/>
    <w:rsid w:val="00281B98"/>
    <w:rsid w:val="002847E4"/>
    <w:rsid w:val="00291674"/>
    <w:rsid w:val="00295C5A"/>
    <w:rsid w:val="00296310"/>
    <w:rsid w:val="002A41D5"/>
    <w:rsid w:val="002A7393"/>
    <w:rsid w:val="002A74B9"/>
    <w:rsid w:val="002B1176"/>
    <w:rsid w:val="002B517A"/>
    <w:rsid w:val="002B59E9"/>
    <w:rsid w:val="002B6A8E"/>
    <w:rsid w:val="002B733B"/>
    <w:rsid w:val="002C0608"/>
    <w:rsid w:val="002C0D36"/>
    <w:rsid w:val="002C1EFA"/>
    <w:rsid w:val="002C21F9"/>
    <w:rsid w:val="002C403A"/>
    <w:rsid w:val="002D1818"/>
    <w:rsid w:val="002D2993"/>
    <w:rsid w:val="002D326B"/>
    <w:rsid w:val="002D62CA"/>
    <w:rsid w:val="002D6410"/>
    <w:rsid w:val="002D79D7"/>
    <w:rsid w:val="002D7A6C"/>
    <w:rsid w:val="002E359A"/>
    <w:rsid w:val="002E3605"/>
    <w:rsid w:val="002E3F73"/>
    <w:rsid w:val="002E4EDD"/>
    <w:rsid w:val="002E4F8C"/>
    <w:rsid w:val="002E6386"/>
    <w:rsid w:val="002F2955"/>
    <w:rsid w:val="002F4F0F"/>
    <w:rsid w:val="002F7B34"/>
    <w:rsid w:val="002F7ED3"/>
    <w:rsid w:val="003006A8"/>
    <w:rsid w:val="00304D0E"/>
    <w:rsid w:val="00311177"/>
    <w:rsid w:val="00313919"/>
    <w:rsid w:val="00315C48"/>
    <w:rsid w:val="0032002D"/>
    <w:rsid w:val="00321319"/>
    <w:rsid w:val="00322792"/>
    <w:rsid w:val="00325657"/>
    <w:rsid w:val="00325C14"/>
    <w:rsid w:val="003305D1"/>
    <w:rsid w:val="00331193"/>
    <w:rsid w:val="00333DAD"/>
    <w:rsid w:val="00336177"/>
    <w:rsid w:val="0033674E"/>
    <w:rsid w:val="003404C7"/>
    <w:rsid w:val="00340BDC"/>
    <w:rsid w:val="00346162"/>
    <w:rsid w:val="00350AB2"/>
    <w:rsid w:val="00352607"/>
    <w:rsid w:val="003526C4"/>
    <w:rsid w:val="00357D0F"/>
    <w:rsid w:val="003628D7"/>
    <w:rsid w:val="00365FAB"/>
    <w:rsid w:val="00367193"/>
    <w:rsid w:val="00373AD9"/>
    <w:rsid w:val="003754BF"/>
    <w:rsid w:val="00375638"/>
    <w:rsid w:val="00375E4C"/>
    <w:rsid w:val="00384D0C"/>
    <w:rsid w:val="003862FA"/>
    <w:rsid w:val="00386E47"/>
    <w:rsid w:val="00393D2F"/>
    <w:rsid w:val="003946D7"/>
    <w:rsid w:val="003A1409"/>
    <w:rsid w:val="003A532F"/>
    <w:rsid w:val="003B0A3F"/>
    <w:rsid w:val="003B10E1"/>
    <w:rsid w:val="003B2F07"/>
    <w:rsid w:val="003B36CE"/>
    <w:rsid w:val="003C3D28"/>
    <w:rsid w:val="003C4859"/>
    <w:rsid w:val="003D2532"/>
    <w:rsid w:val="003D2F64"/>
    <w:rsid w:val="003D4A2D"/>
    <w:rsid w:val="003D5FBE"/>
    <w:rsid w:val="003D72B3"/>
    <w:rsid w:val="003E11BE"/>
    <w:rsid w:val="003E4598"/>
    <w:rsid w:val="003E4AB7"/>
    <w:rsid w:val="003E4F7B"/>
    <w:rsid w:val="003E5A3B"/>
    <w:rsid w:val="003F7A95"/>
    <w:rsid w:val="004020F1"/>
    <w:rsid w:val="00402242"/>
    <w:rsid w:val="0040371A"/>
    <w:rsid w:val="00405E8F"/>
    <w:rsid w:val="0040640A"/>
    <w:rsid w:val="00416A2E"/>
    <w:rsid w:val="004223CD"/>
    <w:rsid w:val="00423930"/>
    <w:rsid w:val="00423C7D"/>
    <w:rsid w:val="00425E67"/>
    <w:rsid w:val="00427FD5"/>
    <w:rsid w:val="00430EBA"/>
    <w:rsid w:val="00434B30"/>
    <w:rsid w:val="0043711C"/>
    <w:rsid w:val="004416E2"/>
    <w:rsid w:val="00446236"/>
    <w:rsid w:val="00451512"/>
    <w:rsid w:val="00460A3E"/>
    <w:rsid w:val="00460E51"/>
    <w:rsid w:val="00461047"/>
    <w:rsid w:val="0046298C"/>
    <w:rsid w:val="00463DE1"/>
    <w:rsid w:val="004665AB"/>
    <w:rsid w:val="00467D2C"/>
    <w:rsid w:val="004709B3"/>
    <w:rsid w:val="00472329"/>
    <w:rsid w:val="0047313D"/>
    <w:rsid w:val="004770E2"/>
    <w:rsid w:val="0048361E"/>
    <w:rsid w:val="00487CB0"/>
    <w:rsid w:val="004A0DCC"/>
    <w:rsid w:val="004A3A2A"/>
    <w:rsid w:val="004A4572"/>
    <w:rsid w:val="004B23E4"/>
    <w:rsid w:val="004B4567"/>
    <w:rsid w:val="004B4B19"/>
    <w:rsid w:val="004C13CE"/>
    <w:rsid w:val="004C22E7"/>
    <w:rsid w:val="004C4ABA"/>
    <w:rsid w:val="004C5A7B"/>
    <w:rsid w:val="004C71E1"/>
    <w:rsid w:val="004D6DED"/>
    <w:rsid w:val="004E0124"/>
    <w:rsid w:val="004E1E00"/>
    <w:rsid w:val="004E23CC"/>
    <w:rsid w:val="004E4076"/>
    <w:rsid w:val="004E4730"/>
    <w:rsid w:val="004E479C"/>
    <w:rsid w:val="004F04C1"/>
    <w:rsid w:val="004F4D3D"/>
    <w:rsid w:val="004F5137"/>
    <w:rsid w:val="0050008B"/>
    <w:rsid w:val="0050115A"/>
    <w:rsid w:val="005017DC"/>
    <w:rsid w:val="0050238E"/>
    <w:rsid w:val="00502B54"/>
    <w:rsid w:val="00503CFC"/>
    <w:rsid w:val="00503D6B"/>
    <w:rsid w:val="0050461F"/>
    <w:rsid w:val="00506ED3"/>
    <w:rsid w:val="00507F41"/>
    <w:rsid w:val="005103E1"/>
    <w:rsid w:val="00511546"/>
    <w:rsid w:val="00513099"/>
    <w:rsid w:val="00516262"/>
    <w:rsid w:val="005251D3"/>
    <w:rsid w:val="005257E8"/>
    <w:rsid w:val="005271E3"/>
    <w:rsid w:val="0053398C"/>
    <w:rsid w:val="00536CEB"/>
    <w:rsid w:val="005377C8"/>
    <w:rsid w:val="0055057B"/>
    <w:rsid w:val="005523F0"/>
    <w:rsid w:val="00555636"/>
    <w:rsid w:val="00555BBE"/>
    <w:rsid w:val="00557546"/>
    <w:rsid w:val="00560091"/>
    <w:rsid w:val="00563A14"/>
    <w:rsid w:val="0056546F"/>
    <w:rsid w:val="00566097"/>
    <w:rsid w:val="00566EBF"/>
    <w:rsid w:val="0057143F"/>
    <w:rsid w:val="00573223"/>
    <w:rsid w:val="00576C56"/>
    <w:rsid w:val="00582670"/>
    <w:rsid w:val="00584DBA"/>
    <w:rsid w:val="00590D60"/>
    <w:rsid w:val="005A3E7B"/>
    <w:rsid w:val="005A4227"/>
    <w:rsid w:val="005A7011"/>
    <w:rsid w:val="005B1E4C"/>
    <w:rsid w:val="005B5709"/>
    <w:rsid w:val="005B6DFF"/>
    <w:rsid w:val="005B76DB"/>
    <w:rsid w:val="005C0A2A"/>
    <w:rsid w:val="005C521E"/>
    <w:rsid w:val="005D1485"/>
    <w:rsid w:val="005D6303"/>
    <w:rsid w:val="005D64BF"/>
    <w:rsid w:val="005D69FD"/>
    <w:rsid w:val="005D6E92"/>
    <w:rsid w:val="005D7F5F"/>
    <w:rsid w:val="005E0B3B"/>
    <w:rsid w:val="005F357D"/>
    <w:rsid w:val="005F71C5"/>
    <w:rsid w:val="0060029B"/>
    <w:rsid w:val="00601F58"/>
    <w:rsid w:val="00603587"/>
    <w:rsid w:val="00603C79"/>
    <w:rsid w:val="00607C35"/>
    <w:rsid w:val="00614345"/>
    <w:rsid w:val="006145E5"/>
    <w:rsid w:val="006166CC"/>
    <w:rsid w:val="00617FB3"/>
    <w:rsid w:val="0062117C"/>
    <w:rsid w:val="006259BD"/>
    <w:rsid w:val="00626B07"/>
    <w:rsid w:val="00627312"/>
    <w:rsid w:val="00632072"/>
    <w:rsid w:val="00632EA6"/>
    <w:rsid w:val="00633192"/>
    <w:rsid w:val="00634B3D"/>
    <w:rsid w:val="00636E8E"/>
    <w:rsid w:val="00637B92"/>
    <w:rsid w:val="0064196F"/>
    <w:rsid w:val="00641A5E"/>
    <w:rsid w:val="00647823"/>
    <w:rsid w:val="00650D1D"/>
    <w:rsid w:val="00652BA9"/>
    <w:rsid w:val="00653473"/>
    <w:rsid w:val="00653B7E"/>
    <w:rsid w:val="00665F75"/>
    <w:rsid w:val="00666E66"/>
    <w:rsid w:val="00671042"/>
    <w:rsid w:val="0067387C"/>
    <w:rsid w:val="0067422A"/>
    <w:rsid w:val="00677F55"/>
    <w:rsid w:val="00680E71"/>
    <w:rsid w:val="006859C1"/>
    <w:rsid w:val="006908AE"/>
    <w:rsid w:val="00695819"/>
    <w:rsid w:val="006A64C5"/>
    <w:rsid w:val="006A7BD6"/>
    <w:rsid w:val="006B1658"/>
    <w:rsid w:val="006B307B"/>
    <w:rsid w:val="006B3FC9"/>
    <w:rsid w:val="006B40E1"/>
    <w:rsid w:val="006B6593"/>
    <w:rsid w:val="006C06DC"/>
    <w:rsid w:val="006C0A30"/>
    <w:rsid w:val="006C10E3"/>
    <w:rsid w:val="006C4506"/>
    <w:rsid w:val="006C5264"/>
    <w:rsid w:val="006C5648"/>
    <w:rsid w:val="006C63C4"/>
    <w:rsid w:val="006C6B2C"/>
    <w:rsid w:val="006D2068"/>
    <w:rsid w:val="006D56D9"/>
    <w:rsid w:val="006E03A9"/>
    <w:rsid w:val="006E0C1A"/>
    <w:rsid w:val="006E3A5F"/>
    <w:rsid w:val="006E488C"/>
    <w:rsid w:val="006E566D"/>
    <w:rsid w:val="006E6AFA"/>
    <w:rsid w:val="006E6CAF"/>
    <w:rsid w:val="006E78C6"/>
    <w:rsid w:val="006E7F35"/>
    <w:rsid w:val="006F1233"/>
    <w:rsid w:val="006F6568"/>
    <w:rsid w:val="006F66C8"/>
    <w:rsid w:val="006F7EA2"/>
    <w:rsid w:val="00703C74"/>
    <w:rsid w:val="00705E98"/>
    <w:rsid w:val="00710588"/>
    <w:rsid w:val="00711396"/>
    <w:rsid w:val="00711663"/>
    <w:rsid w:val="00711D2B"/>
    <w:rsid w:val="00712256"/>
    <w:rsid w:val="00714D42"/>
    <w:rsid w:val="007174E6"/>
    <w:rsid w:val="00723D99"/>
    <w:rsid w:val="0072625A"/>
    <w:rsid w:val="00726D11"/>
    <w:rsid w:val="00732E3B"/>
    <w:rsid w:val="00734A3E"/>
    <w:rsid w:val="00734B62"/>
    <w:rsid w:val="007368C2"/>
    <w:rsid w:val="00740DD6"/>
    <w:rsid w:val="00745338"/>
    <w:rsid w:val="00745577"/>
    <w:rsid w:val="00745B3D"/>
    <w:rsid w:val="00750DF2"/>
    <w:rsid w:val="00751275"/>
    <w:rsid w:val="00754212"/>
    <w:rsid w:val="007558BC"/>
    <w:rsid w:val="00756E28"/>
    <w:rsid w:val="00757023"/>
    <w:rsid w:val="00760B34"/>
    <w:rsid w:val="00762118"/>
    <w:rsid w:val="007641F0"/>
    <w:rsid w:val="007652B4"/>
    <w:rsid w:val="0077198E"/>
    <w:rsid w:val="007737CA"/>
    <w:rsid w:val="007744CC"/>
    <w:rsid w:val="00776DB9"/>
    <w:rsid w:val="00782B47"/>
    <w:rsid w:val="0078302D"/>
    <w:rsid w:val="007851BD"/>
    <w:rsid w:val="0078522E"/>
    <w:rsid w:val="00786F5B"/>
    <w:rsid w:val="0078770C"/>
    <w:rsid w:val="007940BF"/>
    <w:rsid w:val="00795C7D"/>
    <w:rsid w:val="007975F8"/>
    <w:rsid w:val="007A0075"/>
    <w:rsid w:val="007A0EC5"/>
    <w:rsid w:val="007A7786"/>
    <w:rsid w:val="007A7BE0"/>
    <w:rsid w:val="007B2ACF"/>
    <w:rsid w:val="007C04E8"/>
    <w:rsid w:val="007C1BDF"/>
    <w:rsid w:val="007C6540"/>
    <w:rsid w:val="007C6C4C"/>
    <w:rsid w:val="007C7FB1"/>
    <w:rsid w:val="007D1C01"/>
    <w:rsid w:val="007D7ACE"/>
    <w:rsid w:val="007E22B2"/>
    <w:rsid w:val="007E2926"/>
    <w:rsid w:val="007E6592"/>
    <w:rsid w:val="007E7D53"/>
    <w:rsid w:val="007F26EF"/>
    <w:rsid w:val="007F27DF"/>
    <w:rsid w:val="007F47C6"/>
    <w:rsid w:val="007F6737"/>
    <w:rsid w:val="00802E7B"/>
    <w:rsid w:val="00816D80"/>
    <w:rsid w:val="00824239"/>
    <w:rsid w:val="00827387"/>
    <w:rsid w:val="00827858"/>
    <w:rsid w:val="00830666"/>
    <w:rsid w:val="0083412E"/>
    <w:rsid w:val="0083571B"/>
    <w:rsid w:val="0084081A"/>
    <w:rsid w:val="0084342F"/>
    <w:rsid w:val="008449D9"/>
    <w:rsid w:val="00851441"/>
    <w:rsid w:val="00851A79"/>
    <w:rsid w:val="008526E8"/>
    <w:rsid w:val="00854CF7"/>
    <w:rsid w:val="00857030"/>
    <w:rsid w:val="00861150"/>
    <w:rsid w:val="008635CB"/>
    <w:rsid w:val="008663BE"/>
    <w:rsid w:val="00873158"/>
    <w:rsid w:val="00873348"/>
    <w:rsid w:val="00880723"/>
    <w:rsid w:val="00881B5B"/>
    <w:rsid w:val="00884BCC"/>
    <w:rsid w:val="00895234"/>
    <w:rsid w:val="008A514D"/>
    <w:rsid w:val="008A5EE3"/>
    <w:rsid w:val="008B3789"/>
    <w:rsid w:val="008B3A2C"/>
    <w:rsid w:val="008C011B"/>
    <w:rsid w:val="008C3F81"/>
    <w:rsid w:val="008C509D"/>
    <w:rsid w:val="008C658F"/>
    <w:rsid w:val="008C6C7C"/>
    <w:rsid w:val="008D3B14"/>
    <w:rsid w:val="008D5E68"/>
    <w:rsid w:val="008E07FC"/>
    <w:rsid w:val="008E368B"/>
    <w:rsid w:val="008E3C19"/>
    <w:rsid w:val="008E4E6D"/>
    <w:rsid w:val="008E6036"/>
    <w:rsid w:val="008E7C70"/>
    <w:rsid w:val="008F1F37"/>
    <w:rsid w:val="008F7850"/>
    <w:rsid w:val="008F7D2E"/>
    <w:rsid w:val="00901309"/>
    <w:rsid w:val="00902EBC"/>
    <w:rsid w:val="009046C4"/>
    <w:rsid w:val="00905D70"/>
    <w:rsid w:val="00915460"/>
    <w:rsid w:val="00915981"/>
    <w:rsid w:val="009178DC"/>
    <w:rsid w:val="00921FCB"/>
    <w:rsid w:val="009242F6"/>
    <w:rsid w:val="00925FBA"/>
    <w:rsid w:val="00926176"/>
    <w:rsid w:val="00937054"/>
    <w:rsid w:val="0094162E"/>
    <w:rsid w:val="0094686B"/>
    <w:rsid w:val="0094735D"/>
    <w:rsid w:val="009473D9"/>
    <w:rsid w:val="00950396"/>
    <w:rsid w:val="0095168D"/>
    <w:rsid w:val="00956A99"/>
    <w:rsid w:val="00960929"/>
    <w:rsid w:val="00964546"/>
    <w:rsid w:val="0096618C"/>
    <w:rsid w:val="00966B5A"/>
    <w:rsid w:val="00967ADF"/>
    <w:rsid w:val="00974F62"/>
    <w:rsid w:val="009817A9"/>
    <w:rsid w:val="00982822"/>
    <w:rsid w:val="00984E21"/>
    <w:rsid w:val="00987230"/>
    <w:rsid w:val="009901AC"/>
    <w:rsid w:val="009905E0"/>
    <w:rsid w:val="00993A34"/>
    <w:rsid w:val="009B20B3"/>
    <w:rsid w:val="009B3EC2"/>
    <w:rsid w:val="009B75E3"/>
    <w:rsid w:val="009C29BF"/>
    <w:rsid w:val="009C4FAB"/>
    <w:rsid w:val="009C5AFF"/>
    <w:rsid w:val="009C5F45"/>
    <w:rsid w:val="009C63DC"/>
    <w:rsid w:val="009D1C3A"/>
    <w:rsid w:val="009D2178"/>
    <w:rsid w:val="009D4791"/>
    <w:rsid w:val="009D5102"/>
    <w:rsid w:val="009D5F4B"/>
    <w:rsid w:val="009D74F6"/>
    <w:rsid w:val="009E0790"/>
    <w:rsid w:val="009E37E8"/>
    <w:rsid w:val="009E422D"/>
    <w:rsid w:val="009F03EB"/>
    <w:rsid w:val="009F6E10"/>
    <w:rsid w:val="009F786C"/>
    <w:rsid w:val="00A00CEB"/>
    <w:rsid w:val="00A0374A"/>
    <w:rsid w:val="00A03C2E"/>
    <w:rsid w:val="00A2009E"/>
    <w:rsid w:val="00A22AD4"/>
    <w:rsid w:val="00A25318"/>
    <w:rsid w:val="00A30ECA"/>
    <w:rsid w:val="00A32C5A"/>
    <w:rsid w:val="00A32FEE"/>
    <w:rsid w:val="00A33069"/>
    <w:rsid w:val="00A36E23"/>
    <w:rsid w:val="00A41F36"/>
    <w:rsid w:val="00A42B32"/>
    <w:rsid w:val="00A43F97"/>
    <w:rsid w:val="00A44838"/>
    <w:rsid w:val="00A4508A"/>
    <w:rsid w:val="00A45947"/>
    <w:rsid w:val="00A50695"/>
    <w:rsid w:val="00A56387"/>
    <w:rsid w:val="00A60141"/>
    <w:rsid w:val="00A60A6D"/>
    <w:rsid w:val="00A67729"/>
    <w:rsid w:val="00A720CA"/>
    <w:rsid w:val="00A7636E"/>
    <w:rsid w:val="00A76B55"/>
    <w:rsid w:val="00A92A39"/>
    <w:rsid w:val="00A9339A"/>
    <w:rsid w:val="00A95CDC"/>
    <w:rsid w:val="00A97DF6"/>
    <w:rsid w:val="00AA2E57"/>
    <w:rsid w:val="00AA2F0A"/>
    <w:rsid w:val="00AA4F30"/>
    <w:rsid w:val="00AA5347"/>
    <w:rsid w:val="00AA569C"/>
    <w:rsid w:val="00AA7F86"/>
    <w:rsid w:val="00AB0D26"/>
    <w:rsid w:val="00AB6023"/>
    <w:rsid w:val="00AB784C"/>
    <w:rsid w:val="00AC0CE4"/>
    <w:rsid w:val="00AC3085"/>
    <w:rsid w:val="00AD00A4"/>
    <w:rsid w:val="00AD0D59"/>
    <w:rsid w:val="00AD4577"/>
    <w:rsid w:val="00AD6A03"/>
    <w:rsid w:val="00AE0F06"/>
    <w:rsid w:val="00AE2965"/>
    <w:rsid w:val="00AE5F16"/>
    <w:rsid w:val="00AF6A0A"/>
    <w:rsid w:val="00B01A2E"/>
    <w:rsid w:val="00B030CE"/>
    <w:rsid w:val="00B03525"/>
    <w:rsid w:val="00B043A9"/>
    <w:rsid w:val="00B04D71"/>
    <w:rsid w:val="00B04F36"/>
    <w:rsid w:val="00B078BE"/>
    <w:rsid w:val="00B10E0A"/>
    <w:rsid w:val="00B15B38"/>
    <w:rsid w:val="00B16339"/>
    <w:rsid w:val="00B16D76"/>
    <w:rsid w:val="00B232D3"/>
    <w:rsid w:val="00B30025"/>
    <w:rsid w:val="00B31744"/>
    <w:rsid w:val="00B345C6"/>
    <w:rsid w:val="00B4048B"/>
    <w:rsid w:val="00B41D55"/>
    <w:rsid w:val="00B42064"/>
    <w:rsid w:val="00B4336A"/>
    <w:rsid w:val="00B44935"/>
    <w:rsid w:val="00B45082"/>
    <w:rsid w:val="00B46DAE"/>
    <w:rsid w:val="00B51462"/>
    <w:rsid w:val="00B51B24"/>
    <w:rsid w:val="00B51E92"/>
    <w:rsid w:val="00B5505B"/>
    <w:rsid w:val="00B55165"/>
    <w:rsid w:val="00B55500"/>
    <w:rsid w:val="00B6030B"/>
    <w:rsid w:val="00B61E02"/>
    <w:rsid w:val="00B626B1"/>
    <w:rsid w:val="00B62F5D"/>
    <w:rsid w:val="00B6327E"/>
    <w:rsid w:val="00B656CA"/>
    <w:rsid w:val="00B7668E"/>
    <w:rsid w:val="00B80F2B"/>
    <w:rsid w:val="00B82702"/>
    <w:rsid w:val="00B870BA"/>
    <w:rsid w:val="00B91730"/>
    <w:rsid w:val="00BA0979"/>
    <w:rsid w:val="00BA2072"/>
    <w:rsid w:val="00BA2792"/>
    <w:rsid w:val="00BA3A8E"/>
    <w:rsid w:val="00BA6CF9"/>
    <w:rsid w:val="00BB336D"/>
    <w:rsid w:val="00BB35B7"/>
    <w:rsid w:val="00BB466A"/>
    <w:rsid w:val="00BB5368"/>
    <w:rsid w:val="00BC4C64"/>
    <w:rsid w:val="00BC4F1D"/>
    <w:rsid w:val="00BC5613"/>
    <w:rsid w:val="00BC642E"/>
    <w:rsid w:val="00BC6C97"/>
    <w:rsid w:val="00BD0FCB"/>
    <w:rsid w:val="00BD525F"/>
    <w:rsid w:val="00BD6519"/>
    <w:rsid w:val="00BD76CA"/>
    <w:rsid w:val="00BE0BE9"/>
    <w:rsid w:val="00BE3537"/>
    <w:rsid w:val="00BE4FBF"/>
    <w:rsid w:val="00BE671D"/>
    <w:rsid w:val="00BF0F86"/>
    <w:rsid w:val="00BF10CB"/>
    <w:rsid w:val="00BF1485"/>
    <w:rsid w:val="00BF4ACF"/>
    <w:rsid w:val="00BF603F"/>
    <w:rsid w:val="00C0088E"/>
    <w:rsid w:val="00C01EC7"/>
    <w:rsid w:val="00C0395B"/>
    <w:rsid w:val="00C0571E"/>
    <w:rsid w:val="00C05D87"/>
    <w:rsid w:val="00C0739A"/>
    <w:rsid w:val="00C1036E"/>
    <w:rsid w:val="00C108A7"/>
    <w:rsid w:val="00C12D34"/>
    <w:rsid w:val="00C15588"/>
    <w:rsid w:val="00C1693B"/>
    <w:rsid w:val="00C16FD2"/>
    <w:rsid w:val="00C17E7E"/>
    <w:rsid w:val="00C20372"/>
    <w:rsid w:val="00C33AEA"/>
    <w:rsid w:val="00C36178"/>
    <w:rsid w:val="00C36349"/>
    <w:rsid w:val="00C36476"/>
    <w:rsid w:val="00C36F43"/>
    <w:rsid w:val="00C379BA"/>
    <w:rsid w:val="00C40B76"/>
    <w:rsid w:val="00C4105B"/>
    <w:rsid w:val="00C42F01"/>
    <w:rsid w:val="00C44828"/>
    <w:rsid w:val="00C47B4A"/>
    <w:rsid w:val="00C5178B"/>
    <w:rsid w:val="00C55441"/>
    <w:rsid w:val="00C559E5"/>
    <w:rsid w:val="00C56856"/>
    <w:rsid w:val="00C63C0F"/>
    <w:rsid w:val="00C65604"/>
    <w:rsid w:val="00C6659C"/>
    <w:rsid w:val="00C67123"/>
    <w:rsid w:val="00C6745D"/>
    <w:rsid w:val="00C7656F"/>
    <w:rsid w:val="00C83854"/>
    <w:rsid w:val="00C8517D"/>
    <w:rsid w:val="00C85666"/>
    <w:rsid w:val="00C93475"/>
    <w:rsid w:val="00CA2AE8"/>
    <w:rsid w:val="00CB261D"/>
    <w:rsid w:val="00CB503C"/>
    <w:rsid w:val="00CC3C56"/>
    <w:rsid w:val="00CC3EBD"/>
    <w:rsid w:val="00CD1596"/>
    <w:rsid w:val="00CD1985"/>
    <w:rsid w:val="00CD2B9A"/>
    <w:rsid w:val="00CD6C7A"/>
    <w:rsid w:val="00CE39E7"/>
    <w:rsid w:val="00CE6F28"/>
    <w:rsid w:val="00CE6F9D"/>
    <w:rsid w:val="00CE6FD9"/>
    <w:rsid w:val="00CF15AC"/>
    <w:rsid w:val="00CF218D"/>
    <w:rsid w:val="00CF2347"/>
    <w:rsid w:val="00CF4CCF"/>
    <w:rsid w:val="00D0205A"/>
    <w:rsid w:val="00D03448"/>
    <w:rsid w:val="00D07407"/>
    <w:rsid w:val="00D1260F"/>
    <w:rsid w:val="00D1310A"/>
    <w:rsid w:val="00D1357E"/>
    <w:rsid w:val="00D14348"/>
    <w:rsid w:val="00D15A37"/>
    <w:rsid w:val="00D17D4C"/>
    <w:rsid w:val="00D21C6D"/>
    <w:rsid w:val="00D2514C"/>
    <w:rsid w:val="00D3206B"/>
    <w:rsid w:val="00D329FF"/>
    <w:rsid w:val="00D3365F"/>
    <w:rsid w:val="00D33690"/>
    <w:rsid w:val="00D35CB4"/>
    <w:rsid w:val="00D3786F"/>
    <w:rsid w:val="00D505EE"/>
    <w:rsid w:val="00D5124A"/>
    <w:rsid w:val="00D5484B"/>
    <w:rsid w:val="00D55085"/>
    <w:rsid w:val="00D566C4"/>
    <w:rsid w:val="00D601D7"/>
    <w:rsid w:val="00D60422"/>
    <w:rsid w:val="00D60BE5"/>
    <w:rsid w:val="00D60D96"/>
    <w:rsid w:val="00D61129"/>
    <w:rsid w:val="00D644A3"/>
    <w:rsid w:val="00D666E9"/>
    <w:rsid w:val="00D71AE9"/>
    <w:rsid w:val="00D71CFF"/>
    <w:rsid w:val="00D72EA1"/>
    <w:rsid w:val="00D750A9"/>
    <w:rsid w:val="00D80ED0"/>
    <w:rsid w:val="00D827C4"/>
    <w:rsid w:val="00D828EC"/>
    <w:rsid w:val="00D83D61"/>
    <w:rsid w:val="00D864F1"/>
    <w:rsid w:val="00D87A95"/>
    <w:rsid w:val="00D92FE8"/>
    <w:rsid w:val="00D95CC3"/>
    <w:rsid w:val="00D96DAF"/>
    <w:rsid w:val="00DA47E2"/>
    <w:rsid w:val="00DA79F8"/>
    <w:rsid w:val="00DB121C"/>
    <w:rsid w:val="00DB2CFC"/>
    <w:rsid w:val="00DB4C83"/>
    <w:rsid w:val="00DB5DF1"/>
    <w:rsid w:val="00DC04BC"/>
    <w:rsid w:val="00DC1F50"/>
    <w:rsid w:val="00DC3785"/>
    <w:rsid w:val="00DC5CAD"/>
    <w:rsid w:val="00DD0D55"/>
    <w:rsid w:val="00DD2601"/>
    <w:rsid w:val="00DD74E1"/>
    <w:rsid w:val="00DF0B3C"/>
    <w:rsid w:val="00DF5120"/>
    <w:rsid w:val="00DF6144"/>
    <w:rsid w:val="00DF703B"/>
    <w:rsid w:val="00DF7E2C"/>
    <w:rsid w:val="00DF7FF5"/>
    <w:rsid w:val="00E0096C"/>
    <w:rsid w:val="00E00E93"/>
    <w:rsid w:val="00E03254"/>
    <w:rsid w:val="00E03F58"/>
    <w:rsid w:val="00E06D97"/>
    <w:rsid w:val="00E16997"/>
    <w:rsid w:val="00E2486B"/>
    <w:rsid w:val="00E24D73"/>
    <w:rsid w:val="00E324DF"/>
    <w:rsid w:val="00E34E74"/>
    <w:rsid w:val="00E35A1E"/>
    <w:rsid w:val="00E36C5B"/>
    <w:rsid w:val="00E37765"/>
    <w:rsid w:val="00E46280"/>
    <w:rsid w:val="00E505FB"/>
    <w:rsid w:val="00E51B98"/>
    <w:rsid w:val="00E6197E"/>
    <w:rsid w:val="00E743F3"/>
    <w:rsid w:val="00E759A7"/>
    <w:rsid w:val="00E75FFE"/>
    <w:rsid w:val="00E8054B"/>
    <w:rsid w:val="00E8264C"/>
    <w:rsid w:val="00E83E7F"/>
    <w:rsid w:val="00E85803"/>
    <w:rsid w:val="00EA04D6"/>
    <w:rsid w:val="00EA3BA7"/>
    <w:rsid w:val="00EA7A02"/>
    <w:rsid w:val="00EB0485"/>
    <w:rsid w:val="00EB1C9E"/>
    <w:rsid w:val="00EB20B4"/>
    <w:rsid w:val="00EB7631"/>
    <w:rsid w:val="00EC037C"/>
    <w:rsid w:val="00EC0C3F"/>
    <w:rsid w:val="00EC1245"/>
    <w:rsid w:val="00EC1C5C"/>
    <w:rsid w:val="00EC2EAF"/>
    <w:rsid w:val="00EC48FE"/>
    <w:rsid w:val="00EC5658"/>
    <w:rsid w:val="00EC5D80"/>
    <w:rsid w:val="00EC7D3C"/>
    <w:rsid w:val="00ED2550"/>
    <w:rsid w:val="00ED3AD1"/>
    <w:rsid w:val="00ED5A51"/>
    <w:rsid w:val="00ED6FD0"/>
    <w:rsid w:val="00ED7D79"/>
    <w:rsid w:val="00EE05AE"/>
    <w:rsid w:val="00EE23E5"/>
    <w:rsid w:val="00EE3E02"/>
    <w:rsid w:val="00EE444F"/>
    <w:rsid w:val="00EF6A76"/>
    <w:rsid w:val="00EF6BC5"/>
    <w:rsid w:val="00F053EE"/>
    <w:rsid w:val="00F07C01"/>
    <w:rsid w:val="00F10E38"/>
    <w:rsid w:val="00F14E25"/>
    <w:rsid w:val="00F1559C"/>
    <w:rsid w:val="00F17086"/>
    <w:rsid w:val="00F21868"/>
    <w:rsid w:val="00F261CC"/>
    <w:rsid w:val="00F30552"/>
    <w:rsid w:val="00F41D1E"/>
    <w:rsid w:val="00F427AB"/>
    <w:rsid w:val="00F43B27"/>
    <w:rsid w:val="00F46921"/>
    <w:rsid w:val="00F46A6F"/>
    <w:rsid w:val="00F51654"/>
    <w:rsid w:val="00F529EC"/>
    <w:rsid w:val="00F617EC"/>
    <w:rsid w:val="00F61A1A"/>
    <w:rsid w:val="00F74143"/>
    <w:rsid w:val="00F74F8C"/>
    <w:rsid w:val="00F756C0"/>
    <w:rsid w:val="00F77336"/>
    <w:rsid w:val="00F7765A"/>
    <w:rsid w:val="00F81397"/>
    <w:rsid w:val="00F819DC"/>
    <w:rsid w:val="00F87007"/>
    <w:rsid w:val="00F8720A"/>
    <w:rsid w:val="00F91395"/>
    <w:rsid w:val="00F91E68"/>
    <w:rsid w:val="00F9338C"/>
    <w:rsid w:val="00F95814"/>
    <w:rsid w:val="00FA14C6"/>
    <w:rsid w:val="00FA3882"/>
    <w:rsid w:val="00FA6870"/>
    <w:rsid w:val="00FA76D9"/>
    <w:rsid w:val="00FA7FDE"/>
    <w:rsid w:val="00FB1DAD"/>
    <w:rsid w:val="00FB35F5"/>
    <w:rsid w:val="00FB61A4"/>
    <w:rsid w:val="00FB689F"/>
    <w:rsid w:val="00FB783C"/>
    <w:rsid w:val="00FC318D"/>
    <w:rsid w:val="00FD2490"/>
    <w:rsid w:val="00FD47DB"/>
    <w:rsid w:val="00FE15E8"/>
    <w:rsid w:val="00FE4B8F"/>
    <w:rsid w:val="00FF0020"/>
    <w:rsid w:val="00FF2FBE"/>
    <w:rsid w:val="00FF3238"/>
    <w:rsid w:val="00FF53EE"/>
    <w:rsid w:val="00FF7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B61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E23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A47E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32EA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23E5"/>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6145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45E5"/>
    <w:rPr>
      <w:rFonts w:ascii="Tahoma" w:hAnsi="Tahoma" w:cs="Tahoma"/>
      <w:sz w:val="16"/>
      <w:szCs w:val="16"/>
    </w:rPr>
  </w:style>
  <w:style w:type="character" w:styleId="CommentReference">
    <w:name w:val="annotation reference"/>
    <w:basedOn w:val="DefaultParagraphFont"/>
    <w:uiPriority w:val="99"/>
    <w:semiHidden/>
    <w:unhideWhenUsed/>
    <w:rsid w:val="004B23E4"/>
    <w:rPr>
      <w:sz w:val="16"/>
      <w:szCs w:val="16"/>
    </w:rPr>
  </w:style>
  <w:style w:type="paragraph" w:styleId="CommentText">
    <w:name w:val="annotation text"/>
    <w:basedOn w:val="Normal"/>
    <w:link w:val="CommentTextChar"/>
    <w:uiPriority w:val="99"/>
    <w:semiHidden/>
    <w:unhideWhenUsed/>
    <w:rsid w:val="004B23E4"/>
    <w:pPr>
      <w:spacing w:line="240" w:lineRule="auto"/>
    </w:pPr>
    <w:rPr>
      <w:sz w:val="20"/>
      <w:szCs w:val="20"/>
    </w:rPr>
  </w:style>
  <w:style w:type="character" w:customStyle="1" w:styleId="CommentTextChar">
    <w:name w:val="Comment Text Char"/>
    <w:basedOn w:val="DefaultParagraphFont"/>
    <w:link w:val="CommentText"/>
    <w:uiPriority w:val="99"/>
    <w:semiHidden/>
    <w:rsid w:val="004B23E4"/>
    <w:rPr>
      <w:sz w:val="20"/>
      <w:szCs w:val="20"/>
    </w:rPr>
  </w:style>
  <w:style w:type="paragraph" w:styleId="CommentSubject">
    <w:name w:val="annotation subject"/>
    <w:basedOn w:val="CommentText"/>
    <w:next w:val="CommentText"/>
    <w:link w:val="CommentSubjectChar"/>
    <w:uiPriority w:val="99"/>
    <w:semiHidden/>
    <w:unhideWhenUsed/>
    <w:rsid w:val="004B23E4"/>
    <w:rPr>
      <w:b/>
      <w:bCs/>
    </w:rPr>
  </w:style>
  <w:style w:type="character" w:customStyle="1" w:styleId="CommentSubjectChar">
    <w:name w:val="Comment Subject Char"/>
    <w:basedOn w:val="CommentTextChar"/>
    <w:link w:val="CommentSubject"/>
    <w:uiPriority w:val="99"/>
    <w:semiHidden/>
    <w:rsid w:val="004B23E4"/>
    <w:rPr>
      <w:b/>
      <w:bCs/>
      <w:sz w:val="20"/>
      <w:szCs w:val="20"/>
    </w:rPr>
  </w:style>
  <w:style w:type="character" w:styleId="Hyperlink">
    <w:name w:val="Hyperlink"/>
    <w:basedOn w:val="DefaultParagraphFont"/>
    <w:uiPriority w:val="99"/>
    <w:unhideWhenUsed/>
    <w:rsid w:val="00FD2490"/>
    <w:rPr>
      <w:color w:val="0000FF" w:themeColor="hyperlink"/>
      <w:u w:val="single"/>
    </w:rPr>
  </w:style>
  <w:style w:type="character" w:customStyle="1" w:styleId="Heading2Char">
    <w:name w:val="Heading 2 Char"/>
    <w:basedOn w:val="DefaultParagraphFont"/>
    <w:link w:val="Heading2"/>
    <w:uiPriority w:val="9"/>
    <w:rsid w:val="00DA47E2"/>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FE4B8F"/>
    <w:rPr>
      <w:color w:val="800080" w:themeColor="followedHyperlink"/>
      <w:u w:val="single"/>
    </w:rPr>
  </w:style>
  <w:style w:type="paragraph" w:styleId="FootnoteText">
    <w:name w:val="footnote text"/>
    <w:basedOn w:val="Normal"/>
    <w:link w:val="FootnoteTextChar"/>
    <w:uiPriority w:val="99"/>
    <w:unhideWhenUsed/>
    <w:rsid w:val="00FE4B8F"/>
    <w:pPr>
      <w:spacing w:after="0" w:line="240" w:lineRule="auto"/>
    </w:pPr>
    <w:rPr>
      <w:sz w:val="20"/>
      <w:szCs w:val="20"/>
    </w:rPr>
  </w:style>
  <w:style w:type="character" w:customStyle="1" w:styleId="FootnoteTextChar">
    <w:name w:val="Footnote Text Char"/>
    <w:basedOn w:val="DefaultParagraphFont"/>
    <w:link w:val="FootnoteText"/>
    <w:uiPriority w:val="99"/>
    <w:rsid w:val="00FE4B8F"/>
    <w:rPr>
      <w:sz w:val="20"/>
      <w:szCs w:val="20"/>
    </w:rPr>
  </w:style>
  <w:style w:type="character" w:styleId="FootnoteReference">
    <w:name w:val="footnote reference"/>
    <w:basedOn w:val="DefaultParagraphFont"/>
    <w:uiPriority w:val="99"/>
    <w:semiHidden/>
    <w:unhideWhenUsed/>
    <w:rsid w:val="00FE4B8F"/>
    <w:rPr>
      <w:vertAlign w:val="superscript"/>
    </w:rPr>
  </w:style>
  <w:style w:type="paragraph" w:styleId="NoSpacing">
    <w:name w:val="No Spacing"/>
    <w:uiPriority w:val="1"/>
    <w:qFormat/>
    <w:rsid w:val="006C4506"/>
    <w:pPr>
      <w:spacing w:after="0" w:line="240" w:lineRule="auto"/>
    </w:pPr>
  </w:style>
  <w:style w:type="paragraph" w:styleId="Header">
    <w:name w:val="header"/>
    <w:basedOn w:val="Normal"/>
    <w:link w:val="HeaderChar"/>
    <w:uiPriority w:val="99"/>
    <w:unhideWhenUsed/>
    <w:rsid w:val="002C40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403A"/>
  </w:style>
  <w:style w:type="paragraph" w:styleId="Footer">
    <w:name w:val="footer"/>
    <w:basedOn w:val="Normal"/>
    <w:link w:val="FooterChar"/>
    <w:uiPriority w:val="99"/>
    <w:unhideWhenUsed/>
    <w:rsid w:val="002C40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403A"/>
  </w:style>
  <w:style w:type="paragraph" w:styleId="ListParagraph">
    <w:name w:val="List Paragraph"/>
    <w:basedOn w:val="Normal"/>
    <w:uiPriority w:val="34"/>
    <w:qFormat/>
    <w:rsid w:val="00207E16"/>
    <w:pPr>
      <w:spacing w:after="160" w:line="259" w:lineRule="auto"/>
      <w:ind w:left="720"/>
      <w:contextualSpacing/>
    </w:pPr>
  </w:style>
  <w:style w:type="character" w:customStyle="1" w:styleId="apple-converted-space">
    <w:name w:val="apple-converted-space"/>
    <w:basedOn w:val="DefaultParagraphFont"/>
    <w:rsid w:val="00207E16"/>
  </w:style>
  <w:style w:type="table" w:styleId="TableGrid">
    <w:name w:val="Table Grid"/>
    <w:basedOn w:val="TableNormal"/>
    <w:uiPriority w:val="59"/>
    <w:rsid w:val="00207E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632EA6"/>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semiHidden/>
    <w:unhideWhenUsed/>
    <w:qFormat/>
    <w:rsid w:val="00880723"/>
    <w:pPr>
      <w:outlineLvl w:val="9"/>
    </w:pPr>
    <w:rPr>
      <w:lang w:eastAsia="ja-JP"/>
    </w:rPr>
  </w:style>
  <w:style w:type="paragraph" w:styleId="TOC2">
    <w:name w:val="toc 2"/>
    <w:basedOn w:val="Normal"/>
    <w:next w:val="Normal"/>
    <w:autoRedefine/>
    <w:uiPriority w:val="39"/>
    <w:unhideWhenUsed/>
    <w:rsid w:val="00880723"/>
    <w:pPr>
      <w:spacing w:after="100"/>
      <w:ind w:left="220"/>
    </w:pPr>
  </w:style>
  <w:style w:type="paragraph" w:styleId="TOC3">
    <w:name w:val="toc 3"/>
    <w:basedOn w:val="Normal"/>
    <w:next w:val="Normal"/>
    <w:autoRedefine/>
    <w:uiPriority w:val="39"/>
    <w:unhideWhenUsed/>
    <w:rsid w:val="00880723"/>
    <w:pPr>
      <w:spacing w:after="100"/>
      <w:ind w:left="440"/>
    </w:pPr>
  </w:style>
  <w:style w:type="paragraph" w:styleId="TOC1">
    <w:name w:val="toc 1"/>
    <w:basedOn w:val="Normal"/>
    <w:next w:val="Normal"/>
    <w:autoRedefine/>
    <w:uiPriority w:val="39"/>
    <w:unhideWhenUsed/>
    <w:rsid w:val="004D6DED"/>
    <w:pPr>
      <w:tabs>
        <w:tab w:val="right" w:leader="dot" w:pos="9350"/>
      </w:tabs>
      <w:spacing w:after="100"/>
    </w:pPr>
    <w:rPr>
      <w:noProof/>
      <w:lang w:val="lv-LV"/>
    </w:rPr>
  </w:style>
  <w:style w:type="paragraph" w:customStyle="1" w:styleId="Style1">
    <w:name w:val="Style1"/>
    <w:basedOn w:val="Heading2"/>
    <w:link w:val="Style1Char"/>
    <w:qFormat/>
    <w:rsid w:val="00275468"/>
    <w:rPr>
      <w:lang w:val="lv-LV"/>
    </w:rPr>
  </w:style>
  <w:style w:type="character" w:customStyle="1" w:styleId="Style1Char">
    <w:name w:val="Style1 Char"/>
    <w:basedOn w:val="Heading2Char"/>
    <w:link w:val="Style1"/>
    <w:rsid w:val="00275468"/>
    <w:rPr>
      <w:rFonts w:asciiTheme="majorHAnsi" w:eastAsiaTheme="majorEastAsia" w:hAnsiTheme="majorHAnsi" w:cstheme="majorBidi"/>
      <w:b/>
      <w:bCs/>
      <w:color w:val="4F81BD" w:themeColor="accent1"/>
      <w:sz w:val="26"/>
      <w:szCs w:val="26"/>
      <w:lang w:val="lv-LV"/>
    </w:rPr>
  </w:style>
  <w:style w:type="paragraph" w:styleId="NormalWeb">
    <w:name w:val="Normal (Web)"/>
    <w:basedOn w:val="Normal"/>
    <w:uiPriority w:val="99"/>
    <w:semiHidden/>
    <w:unhideWhenUsed/>
    <w:rsid w:val="001955F0"/>
    <w:pPr>
      <w:spacing w:after="150"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750DF2"/>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750DF2"/>
    <w:rPr>
      <w:rFonts w:ascii="Calibri" w:hAnsi="Calibri" w:cs="Times New Roman"/>
    </w:rPr>
  </w:style>
  <w:style w:type="paragraph" w:styleId="EndnoteText">
    <w:name w:val="endnote text"/>
    <w:basedOn w:val="Normal"/>
    <w:link w:val="EndnoteTextChar"/>
    <w:uiPriority w:val="99"/>
    <w:semiHidden/>
    <w:unhideWhenUsed/>
    <w:rsid w:val="0045151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51512"/>
    <w:rPr>
      <w:sz w:val="20"/>
      <w:szCs w:val="20"/>
    </w:rPr>
  </w:style>
  <w:style w:type="character" w:styleId="EndnoteReference">
    <w:name w:val="endnote reference"/>
    <w:basedOn w:val="DefaultParagraphFont"/>
    <w:uiPriority w:val="99"/>
    <w:semiHidden/>
    <w:unhideWhenUsed/>
    <w:rsid w:val="00451512"/>
    <w:rPr>
      <w:vertAlign w:val="superscript"/>
    </w:rPr>
  </w:style>
  <w:style w:type="paragraph" w:styleId="Revision">
    <w:name w:val="Revision"/>
    <w:hidden/>
    <w:uiPriority w:val="99"/>
    <w:semiHidden/>
    <w:rsid w:val="00B30025"/>
    <w:pPr>
      <w:spacing w:after="0" w:line="240" w:lineRule="auto"/>
    </w:pPr>
  </w:style>
  <w:style w:type="character" w:styleId="Strong">
    <w:name w:val="Strong"/>
    <w:basedOn w:val="DefaultParagraphFont"/>
    <w:uiPriority w:val="22"/>
    <w:qFormat/>
    <w:rsid w:val="00357D0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E23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A47E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32EA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23E5"/>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6145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45E5"/>
    <w:rPr>
      <w:rFonts w:ascii="Tahoma" w:hAnsi="Tahoma" w:cs="Tahoma"/>
      <w:sz w:val="16"/>
      <w:szCs w:val="16"/>
    </w:rPr>
  </w:style>
  <w:style w:type="character" w:styleId="CommentReference">
    <w:name w:val="annotation reference"/>
    <w:basedOn w:val="DefaultParagraphFont"/>
    <w:uiPriority w:val="99"/>
    <w:semiHidden/>
    <w:unhideWhenUsed/>
    <w:rsid w:val="004B23E4"/>
    <w:rPr>
      <w:sz w:val="16"/>
      <w:szCs w:val="16"/>
    </w:rPr>
  </w:style>
  <w:style w:type="paragraph" w:styleId="CommentText">
    <w:name w:val="annotation text"/>
    <w:basedOn w:val="Normal"/>
    <w:link w:val="CommentTextChar"/>
    <w:uiPriority w:val="99"/>
    <w:semiHidden/>
    <w:unhideWhenUsed/>
    <w:rsid w:val="004B23E4"/>
    <w:pPr>
      <w:spacing w:line="240" w:lineRule="auto"/>
    </w:pPr>
    <w:rPr>
      <w:sz w:val="20"/>
      <w:szCs w:val="20"/>
    </w:rPr>
  </w:style>
  <w:style w:type="character" w:customStyle="1" w:styleId="CommentTextChar">
    <w:name w:val="Comment Text Char"/>
    <w:basedOn w:val="DefaultParagraphFont"/>
    <w:link w:val="CommentText"/>
    <w:uiPriority w:val="99"/>
    <w:semiHidden/>
    <w:rsid w:val="004B23E4"/>
    <w:rPr>
      <w:sz w:val="20"/>
      <w:szCs w:val="20"/>
    </w:rPr>
  </w:style>
  <w:style w:type="paragraph" w:styleId="CommentSubject">
    <w:name w:val="annotation subject"/>
    <w:basedOn w:val="CommentText"/>
    <w:next w:val="CommentText"/>
    <w:link w:val="CommentSubjectChar"/>
    <w:uiPriority w:val="99"/>
    <w:semiHidden/>
    <w:unhideWhenUsed/>
    <w:rsid w:val="004B23E4"/>
    <w:rPr>
      <w:b/>
      <w:bCs/>
    </w:rPr>
  </w:style>
  <w:style w:type="character" w:customStyle="1" w:styleId="CommentSubjectChar">
    <w:name w:val="Comment Subject Char"/>
    <w:basedOn w:val="CommentTextChar"/>
    <w:link w:val="CommentSubject"/>
    <w:uiPriority w:val="99"/>
    <w:semiHidden/>
    <w:rsid w:val="004B23E4"/>
    <w:rPr>
      <w:b/>
      <w:bCs/>
      <w:sz w:val="20"/>
      <w:szCs w:val="20"/>
    </w:rPr>
  </w:style>
  <w:style w:type="character" w:styleId="Hyperlink">
    <w:name w:val="Hyperlink"/>
    <w:basedOn w:val="DefaultParagraphFont"/>
    <w:uiPriority w:val="99"/>
    <w:unhideWhenUsed/>
    <w:rsid w:val="00FD2490"/>
    <w:rPr>
      <w:color w:val="0000FF" w:themeColor="hyperlink"/>
      <w:u w:val="single"/>
    </w:rPr>
  </w:style>
  <w:style w:type="character" w:customStyle="1" w:styleId="Heading2Char">
    <w:name w:val="Heading 2 Char"/>
    <w:basedOn w:val="DefaultParagraphFont"/>
    <w:link w:val="Heading2"/>
    <w:uiPriority w:val="9"/>
    <w:rsid w:val="00DA47E2"/>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FE4B8F"/>
    <w:rPr>
      <w:color w:val="800080" w:themeColor="followedHyperlink"/>
      <w:u w:val="single"/>
    </w:rPr>
  </w:style>
  <w:style w:type="paragraph" w:styleId="FootnoteText">
    <w:name w:val="footnote text"/>
    <w:basedOn w:val="Normal"/>
    <w:link w:val="FootnoteTextChar"/>
    <w:uiPriority w:val="99"/>
    <w:unhideWhenUsed/>
    <w:rsid w:val="00FE4B8F"/>
    <w:pPr>
      <w:spacing w:after="0" w:line="240" w:lineRule="auto"/>
    </w:pPr>
    <w:rPr>
      <w:sz w:val="20"/>
      <w:szCs w:val="20"/>
    </w:rPr>
  </w:style>
  <w:style w:type="character" w:customStyle="1" w:styleId="FootnoteTextChar">
    <w:name w:val="Footnote Text Char"/>
    <w:basedOn w:val="DefaultParagraphFont"/>
    <w:link w:val="FootnoteText"/>
    <w:uiPriority w:val="99"/>
    <w:rsid w:val="00FE4B8F"/>
    <w:rPr>
      <w:sz w:val="20"/>
      <w:szCs w:val="20"/>
    </w:rPr>
  </w:style>
  <w:style w:type="character" w:styleId="FootnoteReference">
    <w:name w:val="footnote reference"/>
    <w:basedOn w:val="DefaultParagraphFont"/>
    <w:uiPriority w:val="99"/>
    <w:semiHidden/>
    <w:unhideWhenUsed/>
    <w:rsid w:val="00FE4B8F"/>
    <w:rPr>
      <w:vertAlign w:val="superscript"/>
    </w:rPr>
  </w:style>
  <w:style w:type="paragraph" w:styleId="NoSpacing">
    <w:name w:val="No Spacing"/>
    <w:uiPriority w:val="1"/>
    <w:qFormat/>
    <w:rsid w:val="006C4506"/>
    <w:pPr>
      <w:spacing w:after="0" w:line="240" w:lineRule="auto"/>
    </w:pPr>
  </w:style>
  <w:style w:type="paragraph" w:styleId="Header">
    <w:name w:val="header"/>
    <w:basedOn w:val="Normal"/>
    <w:link w:val="HeaderChar"/>
    <w:uiPriority w:val="99"/>
    <w:unhideWhenUsed/>
    <w:rsid w:val="002C40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403A"/>
  </w:style>
  <w:style w:type="paragraph" w:styleId="Footer">
    <w:name w:val="footer"/>
    <w:basedOn w:val="Normal"/>
    <w:link w:val="FooterChar"/>
    <w:uiPriority w:val="99"/>
    <w:unhideWhenUsed/>
    <w:rsid w:val="002C40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403A"/>
  </w:style>
  <w:style w:type="paragraph" w:styleId="ListParagraph">
    <w:name w:val="List Paragraph"/>
    <w:basedOn w:val="Normal"/>
    <w:uiPriority w:val="34"/>
    <w:qFormat/>
    <w:rsid w:val="00207E16"/>
    <w:pPr>
      <w:spacing w:after="160" w:line="259" w:lineRule="auto"/>
      <w:ind w:left="720"/>
      <w:contextualSpacing/>
    </w:pPr>
  </w:style>
  <w:style w:type="character" w:customStyle="1" w:styleId="apple-converted-space">
    <w:name w:val="apple-converted-space"/>
    <w:basedOn w:val="DefaultParagraphFont"/>
    <w:rsid w:val="00207E16"/>
  </w:style>
  <w:style w:type="table" w:styleId="TableGrid">
    <w:name w:val="Table Grid"/>
    <w:basedOn w:val="TableNormal"/>
    <w:uiPriority w:val="59"/>
    <w:rsid w:val="00207E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632EA6"/>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semiHidden/>
    <w:unhideWhenUsed/>
    <w:qFormat/>
    <w:rsid w:val="00880723"/>
    <w:pPr>
      <w:outlineLvl w:val="9"/>
    </w:pPr>
    <w:rPr>
      <w:lang w:eastAsia="ja-JP"/>
    </w:rPr>
  </w:style>
  <w:style w:type="paragraph" w:styleId="TOC2">
    <w:name w:val="toc 2"/>
    <w:basedOn w:val="Normal"/>
    <w:next w:val="Normal"/>
    <w:autoRedefine/>
    <w:uiPriority w:val="39"/>
    <w:unhideWhenUsed/>
    <w:rsid w:val="00880723"/>
    <w:pPr>
      <w:spacing w:after="100"/>
      <w:ind w:left="220"/>
    </w:pPr>
  </w:style>
  <w:style w:type="paragraph" w:styleId="TOC3">
    <w:name w:val="toc 3"/>
    <w:basedOn w:val="Normal"/>
    <w:next w:val="Normal"/>
    <w:autoRedefine/>
    <w:uiPriority w:val="39"/>
    <w:unhideWhenUsed/>
    <w:rsid w:val="00880723"/>
    <w:pPr>
      <w:spacing w:after="100"/>
      <w:ind w:left="440"/>
    </w:pPr>
  </w:style>
  <w:style w:type="paragraph" w:styleId="TOC1">
    <w:name w:val="toc 1"/>
    <w:basedOn w:val="Normal"/>
    <w:next w:val="Normal"/>
    <w:autoRedefine/>
    <w:uiPriority w:val="39"/>
    <w:unhideWhenUsed/>
    <w:rsid w:val="004D6DED"/>
    <w:pPr>
      <w:tabs>
        <w:tab w:val="right" w:leader="dot" w:pos="9350"/>
      </w:tabs>
      <w:spacing w:after="100"/>
    </w:pPr>
    <w:rPr>
      <w:noProof/>
      <w:lang w:val="lv-LV"/>
    </w:rPr>
  </w:style>
  <w:style w:type="paragraph" w:customStyle="1" w:styleId="Style1">
    <w:name w:val="Style1"/>
    <w:basedOn w:val="Heading2"/>
    <w:link w:val="Style1Char"/>
    <w:qFormat/>
    <w:rsid w:val="00275468"/>
    <w:rPr>
      <w:lang w:val="lv-LV"/>
    </w:rPr>
  </w:style>
  <w:style w:type="character" w:customStyle="1" w:styleId="Style1Char">
    <w:name w:val="Style1 Char"/>
    <w:basedOn w:val="Heading2Char"/>
    <w:link w:val="Style1"/>
    <w:rsid w:val="00275468"/>
    <w:rPr>
      <w:rFonts w:asciiTheme="majorHAnsi" w:eastAsiaTheme="majorEastAsia" w:hAnsiTheme="majorHAnsi" w:cstheme="majorBidi"/>
      <w:b/>
      <w:bCs/>
      <w:color w:val="4F81BD" w:themeColor="accent1"/>
      <w:sz w:val="26"/>
      <w:szCs w:val="26"/>
      <w:lang w:val="lv-LV"/>
    </w:rPr>
  </w:style>
  <w:style w:type="paragraph" w:styleId="NormalWeb">
    <w:name w:val="Normal (Web)"/>
    <w:basedOn w:val="Normal"/>
    <w:uiPriority w:val="99"/>
    <w:semiHidden/>
    <w:unhideWhenUsed/>
    <w:rsid w:val="001955F0"/>
    <w:pPr>
      <w:spacing w:after="150"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750DF2"/>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750DF2"/>
    <w:rPr>
      <w:rFonts w:ascii="Calibri" w:hAnsi="Calibri" w:cs="Times New Roman"/>
    </w:rPr>
  </w:style>
  <w:style w:type="paragraph" w:styleId="EndnoteText">
    <w:name w:val="endnote text"/>
    <w:basedOn w:val="Normal"/>
    <w:link w:val="EndnoteTextChar"/>
    <w:uiPriority w:val="99"/>
    <w:semiHidden/>
    <w:unhideWhenUsed/>
    <w:rsid w:val="0045151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51512"/>
    <w:rPr>
      <w:sz w:val="20"/>
      <w:szCs w:val="20"/>
    </w:rPr>
  </w:style>
  <w:style w:type="character" w:styleId="EndnoteReference">
    <w:name w:val="endnote reference"/>
    <w:basedOn w:val="DefaultParagraphFont"/>
    <w:uiPriority w:val="99"/>
    <w:semiHidden/>
    <w:unhideWhenUsed/>
    <w:rsid w:val="00451512"/>
    <w:rPr>
      <w:vertAlign w:val="superscript"/>
    </w:rPr>
  </w:style>
  <w:style w:type="paragraph" w:styleId="Revision">
    <w:name w:val="Revision"/>
    <w:hidden/>
    <w:uiPriority w:val="99"/>
    <w:semiHidden/>
    <w:rsid w:val="00B30025"/>
    <w:pPr>
      <w:spacing w:after="0" w:line="240" w:lineRule="auto"/>
    </w:pPr>
  </w:style>
  <w:style w:type="character" w:styleId="Strong">
    <w:name w:val="Strong"/>
    <w:basedOn w:val="DefaultParagraphFont"/>
    <w:uiPriority w:val="22"/>
    <w:qFormat/>
    <w:rsid w:val="00357D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641447">
      <w:bodyDiv w:val="1"/>
      <w:marLeft w:val="0"/>
      <w:marRight w:val="0"/>
      <w:marTop w:val="0"/>
      <w:marBottom w:val="0"/>
      <w:divBdr>
        <w:top w:val="none" w:sz="0" w:space="0" w:color="auto"/>
        <w:left w:val="none" w:sz="0" w:space="0" w:color="auto"/>
        <w:bottom w:val="none" w:sz="0" w:space="0" w:color="auto"/>
        <w:right w:val="none" w:sz="0" w:space="0" w:color="auto"/>
      </w:divBdr>
      <w:divsChild>
        <w:div w:id="1680621803">
          <w:marLeft w:val="0"/>
          <w:marRight w:val="0"/>
          <w:marTop w:val="0"/>
          <w:marBottom w:val="0"/>
          <w:divBdr>
            <w:top w:val="none" w:sz="0" w:space="0" w:color="auto"/>
            <w:left w:val="none" w:sz="0" w:space="0" w:color="auto"/>
            <w:bottom w:val="none" w:sz="0" w:space="0" w:color="auto"/>
            <w:right w:val="none" w:sz="0" w:space="0" w:color="auto"/>
          </w:divBdr>
          <w:divsChild>
            <w:div w:id="708259399">
              <w:marLeft w:val="-225"/>
              <w:marRight w:val="-225"/>
              <w:marTop w:val="0"/>
              <w:marBottom w:val="0"/>
              <w:divBdr>
                <w:top w:val="none" w:sz="0" w:space="0" w:color="auto"/>
                <w:left w:val="none" w:sz="0" w:space="0" w:color="auto"/>
                <w:bottom w:val="none" w:sz="0" w:space="0" w:color="auto"/>
                <w:right w:val="none" w:sz="0" w:space="0" w:color="auto"/>
              </w:divBdr>
              <w:divsChild>
                <w:div w:id="1071000657">
                  <w:marLeft w:val="0"/>
                  <w:marRight w:val="0"/>
                  <w:marTop w:val="0"/>
                  <w:marBottom w:val="0"/>
                  <w:divBdr>
                    <w:top w:val="none" w:sz="0" w:space="0" w:color="auto"/>
                    <w:left w:val="none" w:sz="0" w:space="0" w:color="auto"/>
                    <w:bottom w:val="none" w:sz="0" w:space="0" w:color="auto"/>
                    <w:right w:val="none" w:sz="0" w:space="0" w:color="auto"/>
                  </w:divBdr>
                  <w:divsChild>
                    <w:div w:id="636764139">
                      <w:marLeft w:val="-225"/>
                      <w:marRight w:val="-225"/>
                      <w:marTop w:val="0"/>
                      <w:marBottom w:val="0"/>
                      <w:divBdr>
                        <w:top w:val="none" w:sz="0" w:space="0" w:color="auto"/>
                        <w:left w:val="none" w:sz="0" w:space="0" w:color="auto"/>
                        <w:bottom w:val="none" w:sz="0" w:space="0" w:color="auto"/>
                        <w:right w:val="none" w:sz="0" w:space="0" w:color="auto"/>
                      </w:divBdr>
                      <w:divsChild>
                        <w:div w:id="8901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5519394">
      <w:bodyDiv w:val="1"/>
      <w:marLeft w:val="0"/>
      <w:marRight w:val="0"/>
      <w:marTop w:val="0"/>
      <w:marBottom w:val="0"/>
      <w:divBdr>
        <w:top w:val="none" w:sz="0" w:space="0" w:color="auto"/>
        <w:left w:val="none" w:sz="0" w:space="0" w:color="auto"/>
        <w:bottom w:val="none" w:sz="0" w:space="0" w:color="auto"/>
        <w:right w:val="none" w:sz="0" w:space="0" w:color="auto"/>
      </w:divBdr>
    </w:div>
    <w:div w:id="1048799075">
      <w:bodyDiv w:val="1"/>
      <w:marLeft w:val="0"/>
      <w:marRight w:val="0"/>
      <w:marTop w:val="0"/>
      <w:marBottom w:val="0"/>
      <w:divBdr>
        <w:top w:val="none" w:sz="0" w:space="0" w:color="auto"/>
        <w:left w:val="none" w:sz="0" w:space="0" w:color="auto"/>
        <w:bottom w:val="none" w:sz="0" w:space="0" w:color="auto"/>
        <w:right w:val="none" w:sz="0" w:space="0" w:color="auto"/>
      </w:divBdr>
    </w:div>
    <w:div w:id="1278638308">
      <w:bodyDiv w:val="1"/>
      <w:marLeft w:val="0"/>
      <w:marRight w:val="0"/>
      <w:marTop w:val="0"/>
      <w:marBottom w:val="0"/>
      <w:divBdr>
        <w:top w:val="none" w:sz="0" w:space="0" w:color="auto"/>
        <w:left w:val="none" w:sz="0" w:space="0" w:color="auto"/>
        <w:bottom w:val="none" w:sz="0" w:space="0" w:color="auto"/>
        <w:right w:val="none" w:sz="0" w:space="0" w:color="auto"/>
      </w:divBdr>
    </w:div>
    <w:div w:id="1359550192">
      <w:bodyDiv w:val="1"/>
      <w:marLeft w:val="0"/>
      <w:marRight w:val="0"/>
      <w:marTop w:val="0"/>
      <w:marBottom w:val="0"/>
      <w:divBdr>
        <w:top w:val="none" w:sz="0" w:space="0" w:color="auto"/>
        <w:left w:val="none" w:sz="0" w:space="0" w:color="auto"/>
        <w:bottom w:val="none" w:sz="0" w:space="0" w:color="auto"/>
        <w:right w:val="none" w:sz="0" w:space="0" w:color="auto"/>
      </w:divBdr>
      <w:divsChild>
        <w:div w:id="1682389068">
          <w:marLeft w:val="562"/>
          <w:marRight w:val="0"/>
          <w:marTop w:val="0"/>
          <w:marBottom w:val="0"/>
          <w:divBdr>
            <w:top w:val="none" w:sz="0" w:space="0" w:color="auto"/>
            <w:left w:val="none" w:sz="0" w:space="0" w:color="auto"/>
            <w:bottom w:val="none" w:sz="0" w:space="0" w:color="auto"/>
            <w:right w:val="none" w:sz="0" w:space="0" w:color="auto"/>
          </w:divBdr>
        </w:div>
      </w:divsChild>
    </w:div>
    <w:div w:id="1414160299">
      <w:bodyDiv w:val="1"/>
      <w:marLeft w:val="0"/>
      <w:marRight w:val="0"/>
      <w:marTop w:val="0"/>
      <w:marBottom w:val="0"/>
      <w:divBdr>
        <w:top w:val="none" w:sz="0" w:space="0" w:color="auto"/>
        <w:left w:val="none" w:sz="0" w:space="0" w:color="auto"/>
        <w:bottom w:val="none" w:sz="0" w:space="0" w:color="auto"/>
        <w:right w:val="none" w:sz="0" w:space="0" w:color="auto"/>
      </w:divBdr>
    </w:div>
    <w:div w:id="1855728341">
      <w:bodyDiv w:val="1"/>
      <w:marLeft w:val="0"/>
      <w:marRight w:val="0"/>
      <w:marTop w:val="0"/>
      <w:marBottom w:val="0"/>
      <w:divBdr>
        <w:top w:val="none" w:sz="0" w:space="0" w:color="auto"/>
        <w:left w:val="none" w:sz="0" w:space="0" w:color="auto"/>
        <w:bottom w:val="none" w:sz="0" w:space="0" w:color="auto"/>
        <w:right w:val="none" w:sz="0" w:space="0" w:color="auto"/>
      </w:divBdr>
    </w:div>
    <w:div w:id="1923441568">
      <w:bodyDiv w:val="1"/>
      <w:marLeft w:val="0"/>
      <w:marRight w:val="0"/>
      <w:marTop w:val="0"/>
      <w:marBottom w:val="0"/>
      <w:divBdr>
        <w:top w:val="none" w:sz="0" w:space="0" w:color="auto"/>
        <w:left w:val="none" w:sz="0" w:space="0" w:color="auto"/>
        <w:bottom w:val="none" w:sz="0" w:space="0" w:color="auto"/>
        <w:right w:val="none" w:sz="0" w:space="0" w:color="auto"/>
      </w:divBdr>
    </w:div>
    <w:div w:id="1963998226">
      <w:bodyDiv w:val="1"/>
      <w:marLeft w:val="0"/>
      <w:marRight w:val="0"/>
      <w:marTop w:val="0"/>
      <w:marBottom w:val="0"/>
      <w:divBdr>
        <w:top w:val="none" w:sz="0" w:space="0" w:color="auto"/>
        <w:left w:val="none" w:sz="0" w:space="0" w:color="auto"/>
        <w:bottom w:val="none" w:sz="0" w:space="0" w:color="auto"/>
        <w:right w:val="none" w:sz="0" w:space="0" w:color="auto"/>
      </w:divBdr>
      <w:divsChild>
        <w:div w:id="1764718930">
          <w:marLeft w:val="562"/>
          <w:marRight w:val="0"/>
          <w:marTop w:val="0"/>
          <w:marBottom w:val="0"/>
          <w:divBdr>
            <w:top w:val="none" w:sz="0" w:space="0" w:color="auto"/>
            <w:left w:val="none" w:sz="0" w:space="0" w:color="auto"/>
            <w:bottom w:val="none" w:sz="0" w:space="0" w:color="auto"/>
            <w:right w:val="none" w:sz="0" w:space="0" w:color="auto"/>
          </w:divBdr>
        </w:div>
      </w:divsChild>
    </w:div>
    <w:div w:id="2067487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anis.zvigulis@pkc.mk.gov.lv" TargetMode="External"/><Relationship Id="rId5" Type="http://schemas.openxmlformats.org/officeDocument/2006/relationships/settings" Target="settings.xml"/><Relationship Id="rId10" Type="http://schemas.openxmlformats.org/officeDocument/2006/relationships/hyperlink" Target="http://www.ficil.lv/"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ap3.se/en/forvaltning/femarsoversikt/" TargetMode="External"/><Relationship Id="rId13" Type="http://schemas.openxmlformats.org/officeDocument/2006/relationships/hyperlink" Target="http://top101.lv/lv/top101/2016" TargetMode="External"/><Relationship Id="rId18" Type="http://schemas.openxmlformats.org/officeDocument/2006/relationships/hyperlink" Target="http://www.bvb.ro/TradingAndStatistics/Statistics/GeneralStatistics" TargetMode="External"/><Relationship Id="rId26" Type="http://schemas.openxmlformats.org/officeDocument/2006/relationships/hyperlink" Target="http://www.nasdaqbaltic.com/market/?instrument=LV0000801777&amp;list=1&amp;pg=details&amp;tab=company&amp;lang=lv" TargetMode="External"/><Relationship Id="rId3" Type="http://schemas.openxmlformats.org/officeDocument/2006/relationships/hyperlink" Target="http://www.nasdaqomxnordic.com/" TargetMode="External"/><Relationship Id="rId21" Type="http://schemas.openxmlformats.org/officeDocument/2006/relationships/hyperlink" Target="http://ej.uz/mg5d" TargetMode="External"/><Relationship Id="rId34" Type="http://schemas.openxmlformats.org/officeDocument/2006/relationships/hyperlink" Target="http://top101.lv/lv/top101/2016" TargetMode="External"/><Relationship Id="rId7" Type="http://schemas.openxmlformats.org/officeDocument/2006/relationships/hyperlink" Target="http://www.ap2.se/en/news-reports/reports/" TargetMode="External"/><Relationship Id="rId12" Type="http://schemas.openxmlformats.org/officeDocument/2006/relationships/hyperlink" Target="http://ej.uz/6xjj" TargetMode="External"/><Relationship Id="rId17" Type="http://schemas.openxmlformats.org/officeDocument/2006/relationships/hyperlink" Target="http://www.fondulproprietatea.ro/" TargetMode="External"/><Relationship Id="rId25" Type="http://schemas.openxmlformats.org/officeDocument/2006/relationships/hyperlink" Target="https://likumi.lv/doc.php?id=111962" TargetMode="External"/><Relationship Id="rId33" Type="http://schemas.openxmlformats.org/officeDocument/2006/relationships/hyperlink" Target="http://www.dongenergy.com/en/media/the-ipo-of-dong-energy/facts/facts-about-the-owners" TargetMode="External"/><Relationship Id="rId2" Type="http://schemas.openxmlformats.org/officeDocument/2006/relationships/hyperlink" Target="http://www.nasdaqbaltic.com/market/?pg=bulletins&amp;bb_id=304" TargetMode="External"/><Relationship Id="rId16" Type="http://schemas.openxmlformats.org/officeDocument/2006/relationships/hyperlink" Target="http://www.transit.ee/6-estonian-state-owned-transport-companies-to-be-merged-into-consortium" TargetMode="External"/><Relationship Id="rId20" Type="http://schemas.openxmlformats.org/officeDocument/2006/relationships/hyperlink" Target="http://mof.gov.il/gca/about/documents/oecd-broadeningtheownership.pdf" TargetMode="External"/><Relationship Id="rId29" Type="http://schemas.openxmlformats.org/officeDocument/2006/relationships/hyperlink" Target="https://globenewswire.com/news-release/2016/06/09/847240/0/en/Nasdaq-Copenhagen-Welcomes-DONG-Energy-To-List-On-Its-Main-Market.html" TargetMode="External"/><Relationship Id="rId1" Type="http://schemas.openxmlformats.org/officeDocument/2006/relationships/hyperlink" Target="http://www.nasdaqbaltic.com/market/?pg=bulletins&amp;bb_id=308" TargetMode="External"/><Relationship Id="rId6" Type="http://schemas.openxmlformats.org/officeDocument/2006/relationships/hyperlink" Target="http://www.ap1.se/en/Financial-information-and-press/Reports/" TargetMode="External"/><Relationship Id="rId11" Type="http://schemas.openxmlformats.org/officeDocument/2006/relationships/hyperlink" Target="http://newfinancial.eu/report-on-the-benefits-of-capital-markets-to-high-potential-eu-economies-2/" TargetMode="External"/><Relationship Id="rId24" Type="http://schemas.openxmlformats.org/officeDocument/2006/relationships/hyperlink" Target="https://likumi.lv/doc.php?id=111962" TargetMode="External"/><Relationship Id="rId32" Type="http://schemas.openxmlformats.org/officeDocument/2006/relationships/hyperlink" Target="http://assets.dongenergy.com/DONGEnergyDocuments/com/Investor/Annual_Report/2016/dong_energy_annual_report_summary_en.pdf" TargetMode="External"/><Relationship Id="rId37" Type="http://schemas.openxmlformats.org/officeDocument/2006/relationships/hyperlink" Target="https://www.msci.com/documents/10199/15aa5e1b-ce17-4f8f-837a-022168bb069b" TargetMode="External"/><Relationship Id="rId5" Type="http://schemas.openxmlformats.org/officeDocument/2006/relationships/hyperlink" Target="http://www.manapensija.lv/lv/pensiju-2-limenis/aktualie-dati/" TargetMode="External"/><Relationship Id="rId15" Type="http://schemas.openxmlformats.org/officeDocument/2006/relationships/hyperlink" Target="https://www.regjeringen.no/en/aktuelt/Adjustments-in-order-to-increase-distribution-of-power-and-private-ownership-/id764157/" TargetMode="External"/><Relationship Id="rId23" Type="http://schemas.openxmlformats.org/officeDocument/2006/relationships/hyperlink" Target="http://www.baltictimes.com/hansamatrix_ceo_____trust_your_senses_-_my_unwritten_rule_i_follow_in_making_strategic_decisions___/" TargetMode="External"/><Relationship Id="rId28" Type="http://schemas.openxmlformats.org/officeDocument/2006/relationships/hyperlink" Target="https://globenewswire.com/news-release/2016/06/09/847240/0/en/Nasdaq-Copenhagen-Welcomes-DONG-Energy-To-List-On-Its-Main-Market.html" TargetMode="External"/><Relationship Id="rId36" Type="http://schemas.openxmlformats.org/officeDocument/2006/relationships/hyperlink" Target="https://likumi.lv/ta/id/289590-par-finansu-sektora-attistibas-planu-2017-2019-gadam" TargetMode="External"/><Relationship Id="rId10" Type="http://schemas.openxmlformats.org/officeDocument/2006/relationships/hyperlink" Target="http://ej.uz/e6jh" TargetMode="External"/><Relationship Id="rId19" Type="http://schemas.openxmlformats.org/officeDocument/2006/relationships/hyperlink" Target="http://www.bvb.ro/ForCompanies/RegulatedMarket/RecentIpos" TargetMode="External"/><Relationship Id="rId31" Type="http://schemas.openxmlformats.org/officeDocument/2006/relationships/hyperlink" Target="http://www.dongenergy.com/en/investors/company-announcements/company-announcement-detail?omxid=1462911" TargetMode="External"/><Relationship Id="rId4" Type="http://schemas.openxmlformats.org/officeDocument/2006/relationships/hyperlink" Target="https://statdb.bank.lv/lb/Data.aspx?id=159" TargetMode="External"/><Relationship Id="rId9" Type="http://schemas.openxmlformats.org/officeDocument/2006/relationships/hyperlink" Target="http://www.db.lv/finanses/pensiju-fondi-atklata-vestule-aicina-valdibu-latvija-attistit-kapitala-tirgu-469205" TargetMode="External"/><Relationship Id="rId14" Type="http://schemas.openxmlformats.org/officeDocument/2006/relationships/hyperlink" Target="http://mof.gov.il/gca/about/documents/oecd-broadeningtheownership.pdf" TargetMode="External"/><Relationship Id="rId22" Type="http://schemas.openxmlformats.org/officeDocument/2006/relationships/hyperlink" Target="http://www.business.dk/energi/aktionaerforening-tipper-at-danskerne-vil-goere-dong-til-folkeaktie" TargetMode="External"/><Relationship Id="rId27" Type="http://schemas.openxmlformats.org/officeDocument/2006/relationships/hyperlink" Target="https://globenewswire.com/news-release/2017/02/16/918093/0/en/Moody-s-affirms-the-credit-rating-of-Latvenergo-AS.html" TargetMode="External"/><Relationship Id="rId30" Type="http://schemas.openxmlformats.org/officeDocument/2006/relationships/hyperlink" Target="http://assets.dongenergy.com/DONGEnergyDocuments/com/Investor/Annual_Report/2016/dong_energy_annual_report_summary_en.pdf" TargetMode="External"/><Relationship Id="rId35" Type="http://schemas.openxmlformats.org/officeDocument/2006/relationships/hyperlink" Target="http://providus.lv/upload_file/Publikacijas/2011/VALSTS_UZNEMUMU_PETIJUM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5D80FB-6CDD-49AC-AEDA-86993CD2D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32618</Words>
  <Characters>18593</Characters>
  <Application>Microsoft Office Word</Application>
  <DocSecurity>0</DocSecurity>
  <Lines>154</Lines>
  <Paragraphs>102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Informatīvais ziņojums</vt:lpstr>
      <vt:lpstr/>
    </vt:vector>
  </TitlesOfParts>
  <Company>PKC</Company>
  <LinksUpToDate>false</LinksUpToDate>
  <CharactersWithSpaces>51109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dc:title>
  <dc:creator>Jāsnis Zvīgulis</dc:creator>
  <cp:lastModifiedBy>User</cp:lastModifiedBy>
  <cp:revision>2</cp:revision>
  <cp:lastPrinted>2017-06-05T04:52:00Z</cp:lastPrinted>
  <dcterms:created xsi:type="dcterms:W3CDTF">2018-04-09T09:48:00Z</dcterms:created>
  <dcterms:modified xsi:type="dcterms:W3CDTF">2018-04-09T09:48:00Z</dcterms:modified>
</cp:coreProperties>
</file>